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222885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256540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6-K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13a-16 OR 15d-16 UNDER</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April 2026</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FOMENTO ECONÓMICO MEXICANO, S.A.B. DE C.V.</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Mexican Economic Development,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Mexican States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Anaya No. 601 Pte.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Colonia Bella Vista</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Monterrey, Nuevo León 64410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México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cover of Form 20-F or Form 40-F:</w:t>
      </w:r>
    </w:p>
    <w:p>
      <w:pPr>
        <w:spacing w:after="0" w:line="159"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1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101(b)(1): </w:t>
      </w:r>
      <w:r>
        <w:rPr>
          <w:rFonts w:ascii="MS PGothic" w:cs="MS PGothic" w:eastAsia="MS PGothic" w:hAnsi="MS PGothic"/>
          <w:sz w:val="18"/>
          <w:szCs w:val="18"/>
          <w:color w:val="auto"/>
        </w:rPr>
        <w:t>☐</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w:t>
      </w:r>
    </w:p>
    <w:p>
      <w:pPr>
        <w:spacing w:after="0" w:line="1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permitted by Regulation S-T Rule 101(b)(7): </w:t>
      </w:r>
      <w:r>
        <w:rPr>
          <w:rFonts w:ascii="MS PGothic" w:cs="MS PGothic" w:eastAsia="MS PGothic" w:hAnsi="MS PGothic"/>
          <w:sz w:val="18"/>
          <w:szCs w:val="18"/>
          <w:color w:val="auto"/>
        </w:rPr>
        <w:t>☐</w:t>
      </w:r>
    </w:p>
    <w:p>
      <w:pPr>
        <w:spacing w:after="0" w:line="202" w:lineRule="exact"/>
        <w:rPr>
          <w:sz w:val="24"/>
          <w:szCs w:val="24"/>
          <w:color w:val="auto"/>
        </w:rPr>
      </w:pPr>
    </w:p>
    <w:p>
      <w:pPr>
        <w:jc w:val="center"/>
        <w:ind w:left="1540" w:right="1539"/>
        <w:spacing w:after="0" w:line="257" w:lineRule="auto"/>
        <w:rPr>
          <w:sz w:val="20"/>
          <w:szCs w:val="20"/>
          <w:color w:val="auto"/>
        </w:rPr>
      </w:pPr>
      <w:r>
        <w:rPr>
          <w:rFonts w:ascii="Times New Roman" w:cs="Times New Roman" w:eastAsia="Times New Roman" w:hAnsi="Times New Roman"/>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4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w:t>
      </w:r>
    </w:p>
    <w:p>
      <w:pPr>
        <w:spacing w:after="0" w:line="2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connection with Rule 12g3-2(b): 82-_____________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-706755</wp:posOffset>
            </wp:positionH>
            <wp:positionV relativeFrom="paragraph">
              <wp:posOffset>170815</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195580</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-706755</wp:posOffset>
            </wp:positionH>
            <wp:positionV relativeFrom="paragraph">
              <wp:posOffset>497205</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9019"/>
          </w:cols>
          <w:pgMar w:left="1440" w:top="6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 has duly caused this report to be signed on its behalf of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undersigned, thereunto duly authorized.</w:t>
      </w:r>
    </w:p>
    <w:p>
      <w:pPr>
        <w:spacing w:after="0" w:line="197"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FOMENTO ECONÓMICO MEXICANO, S.A. DE C.V.</w:t>
      </w:r>
    </w:p>
    <w:p>
      <w:pPr>
        <w:spacing w:after="0" w:line="215" w:lineRule="exact"/>
        <w:rPr>
          <w:sz w:val="20"/>
          <w:szCs w:val="20"/>
          <w:color w:val="auto"/>
        </w:rPr>
      </w:pPr>
    </w:p>
    <w:tbl>
      <w:tblPr>
        <w:tblLayout w:type="fixed"/>
        <w:tblInd w:w="5640" w:type="dxa"/>
        <w:tblCellMar>
          <w:top w:w="0" w:type="dxa"/>
          <w:left w:w="0" w:type="dxa"/>
          <w:bottom w:w="0" w:type="dxa"/>
          <w:right w:w="0" w:type="dxa"/>
        </w:tblCellMar>
      </w:tblPr>
      <w:tr>
        <w:trPr>
          <w:trHeight w:val="22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Martin Felipe Arias Yaniz</w:t>
            </w:r>
          </w:p>
        </w:tc>
      </w:tr>
      <w:tr>
        <w:trPr>
          <w:trHeight w:val="186"/>
        </w:trPr>
        <w:tc>
          <w:tcPr>
            <w:tcW w:w="320" w:type="dxa"/>
            <w:vAlign w:val="bottom"/>
          </w:tcPr>
          <w:p>
            <w:pPr>
              <w:spacing w:after="0"/>
              <w:rPr>
                <w:sz w:val="16"/>
                <w:szCs w:val="16"/>
                <w:color w:val="auto"/>
              </w:rPr>
            </w:pPr>
          </w:p>
        </w:tc>
        <w:tc>
          <w:tcPr>
            <w:tcW w:w="528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color w:val="auto"/>
                <w:w w:val="97"/>
              </w:rPr>
              <w:t>Martin Felipe Arias Yaniz</w:t>
            </w:r>
          </w:p>
        </w:tc>
      </w:tr>
      <w:tr>
        <w:trPr>
          <w:trHeight w:val="229"/>
        </w:trPr>
        <w:tc>
          <w:tcPr>
            <w:tcW w:w="32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Director of Finance and Corporate Development</w:t>
            </w:r>
          </w:p>
        </w:tc>
      </w:tr>
    </w:tbl>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ind w:left="1016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158750</wp:posOffset>
            </wp:positionV>
            <wp:extent cx="1717040" cy="485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7040" cy="485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1Q 2026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147955</wp:posOffset>
            </wp:positionV>
            <wp:extent cx="5468620" cy="1733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68620" cy="173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 818-328-6167</w:t>
      </w:r>
    </w:p>
    <w:p>
      <w:pPr>
        <w:spacing w:after="0" w:line="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investor@femsa.com</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femsa.gcs-web.com</w:t>
      </w:r>
    </w:p>
    <w:p>
      <w:pPr>
        <w:spacing w:after="0" w:line="19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 555-249-6843</w:t>
      </w:r>
    </w:p>
    <w:p>
      <w:pPr>
        <w:spacing w:after="0" w:line="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comunicacion@femsa.com</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femsa.com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Monterrey, Mexico, April 30, 2026 </w:t>
      </w:r>
      <w:r>
        <w:rPr>
          <w:rFonts w:ascii="Times New Roman" w:cs="Times New Roman" w:eastAsia="Times New Roman" w:hAnsi="Times New Roman"/>
          <w:sz w:val="18"/>
          <w:szCs w:val="18"/>
          <w:color w:val="auto"/>
        </w:rPr>
        <w:t>— Fomento Económico Mexicano, S.A.B. de C.V. (“FEMSA”) (NYSE: FMX; BMV: FEMSAUBD, FEMSAUB)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its operational and financial results for the first quarter of 2026.</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Reporting Segments Update: </w:t>
      </w:r>
      <w:r>
        <w:rPr>
          <w:rFonts w:ascii="Times New Roman" w:cs="Times New Roman" w:eastAsia="Times New Roman" w:hAnsi="Times New Roman"/>
          <w:sz w:val="18"/>
          <w:szCs w:val="18"/>
          <w:color w:val="auto"/>
        </w:rPr>
        <w:t>In our continuous effort to improve our disclosure, we have updated FEMSA’s reporting segment structure to better reflect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scale, stage of development, and strategic differentiation of our various operations. This updated structure should provide investors with greater visibility into the drivers of performance across our operations. Our updated reporting segments are as follows: </w:t>
      </w:r>
      <w:r>
        <w:rPr>
          <w:rFonts w:ascii="Times New Roman" w:cs="Times New Roman" w:eastAsia="Times New Roman" w:hAnsi="Times New Roman"/>
          <w:sz w:val="18"/>
          <w:szCs w:val="18"/>
          <w:b w:val="1"/>
          <w:bCs w:val="1"/>
          <w:color w:val="auto"/>
        </w:rPr>
        <w:t>i) OXXO Mexico; ii) Americas &amp; Mobility</w:t>
      </w:r>
      <w:r>
        <w:rPr>
          <w:rFonts w:ascii="Times New Roman" w:cs="Times New Roman" w:eastAsia="Times New Roman" w:hAnsi="Times New Roman"/>
          <w:sz w:val="18"/>
          <w:szCs w:val="18"/>
          <w:color w:val="auto"/>
        </w:rPr>
        <w:t xml:space="preserve"> which now includes all OXXO operations outside of Mexico (Brazil, Colombia, Chile, Peru and the U.S.), as well as the fuel operations in Mexico and the U.S; </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Europe; iv) Health; and v) Coca-Cola FEMSA. </w:t>
      </w:r>
      <w:r>
        <w:rPr>
          <w:rFonts w:ascii="Times New Roman" w:cs="Times New Roman" w:eastAsia="Times New Roman" w:hAnsi="Times New Roman"/>
          <w:sz w:val="18"/>
          <w:szCs w:val="18"/>
          <w:color w:val="auto"/>
        </w:rPr>
        <w:t>Only segments i) and ii) changed relative to our previous reporting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129540</wp:posOffset>
            </wp:positionV>
            <wp:extent cx="2369820" cy="318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69820" cy="31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line="62" w:lineRule="exact"/>
        <w:rPr>
          <w:sz w:val="20"/>
          <w:szCs w:val="20"/>
          <w:color w:val="auto"/>
        </w:rPr>
      </w:pPr>
    </w:p>
    <w:p>
      <w:pPr>
        <w:ind w:left="320" w:hanging="314"/>
        <w:spacing w:after="0"/>
        <w:tabs>
          <w:tab w:leader="none" w:pos="32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FEMSA: Total Consolidated Revenues grew 6.1%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increased 5.5% </w:t>
      </w:r>
      <w:r>
        <w:rPr>
          <w:rFonts w:ascii="Times New Roman" w:cs="Times New Roman" w:eastAsia="Times New Roman" w:hAnsi="Times New Roman"/>
          <w:sz w:val="18"/>
          <w:szCs w:val="18"/>
          <w:color w:val="auto"/>
        </w:rPr>
        <w:t>compared to 1Q25.</w:t>
      </w:r>
    </w:p>
    <w:p>
      <w:pPr>
        <w:spacing w:after="0" w:line="214" w:lineRule="exact"/>
        <w:rPr>
          <w:rFonts w:ascii="Arial" w:cs="Arial" w:eastAsia="Arial" w:hAnsi="Arial"/>
          <w:sz w:val="18"/>
          <w:szCs w:val="18"/>
          <w:b w:val="1"/>
          <w:bCs w:val="1"/>
          <w:color w:val="auto"/>
        </w:rPr>
      </w:pPr>
    </w:p>
    <w:p>
      <w:pPr>
        <w:ind w:left="320" w:hanging="314"/>
        <w:spacing w:after="0"/>
        <w:tabs>
          <w:tab w:leader="none" w:pos="32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OXXO Mexico: OXXO Mexico total Revenues grew 8.3%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increased 20.9% </w:t>
      </w:r>
      <w:r>
        <w:rPr>
          <w:rFonts w:ascii="Times New Roman" w:cs="Times New Roman" w:eastAsia="Times New Roman" w:hAnsi="Times New Roman"/>
          <w:sz w:val="18"/>
          <w:szCs w:val="18"/>
          <w:color w:val="auto"/>
        </w:rPr>
        <w:t>versus 1Q25.</w:t>
      </w:r>
    </w:p>
    <w:p>
      <w:pPr>
        <w:spacing w:after="0" w:line="217" w:lineRule="exact"/>
        <w:rPr>
          <w:rFonts w:ascii="Arial" w:cs="Arial" w:eastAsia="Arial" w:hAnsi="Arial"/>
          <w:sz w:val="18"/>
          <w:szCs w:val="18"/>
          <w:b w:val="1"/>
          <w:bCs w:val="1"/>
          <w:color w:val="auto"/>
        </w:rPr>
      </w:pPr>
    </w:p>
    <w:p>
      <w:pPr>
        <w:ind w:left="320" w:hanging="314"/>
        <w:spacing w:after="0" w:line="238" w:lineRule="auto"/>
        <w:tabs>
          <w:tab w:leader="none" w:pos="320" w:val="left"/>
        </w:tabs>
        <w:numPr>
          <w:ilvl w:val="0"/>
          <w:numId w:val="1"/>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SPIN: Spin by OXXO had 11.0 million active users</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representing</w:t>
      </w:r>
      <w:r>
        <w:rPr>
          <w:rFonts w:ascii="Times New Roman" w:cs="Times New Roman" w:eastAsia="Times New Roman" w:hAnsi="Times New Roman"/>
          <w:sz w:val="17"/>
          <w:szCs w:val="17"/>
          <w:b w:val="1"/>
          <w:bCs w:val="1"/>
          <w:color w:val="auto"/>
        </w:rPr>
        <w:t xml:space="preserve"> 22.3% growth </w:t>
      </w:r>
      <w:r>
        <w:rPr>
          <w:rFonts w:ascii="Times New Roman" w:cs="Times New Roman" w:eastAsia="Times New Roman" w:hAnsi="Times New Roman"/>
          <w:sz w:val="17"/>
          <w:szCs w:val="17"/>
          <w:color w:val="auto"/>
        </w:rPr>
        <w:t>compared to 1Q25 while</w:t>
      </w:r>
      <w:r>
        <w:rPr>
          <w:rFonts w:ascii="Times New Roman" w:cs="Times New Roman" w:eastAsia="Times New Roman" w:hAnsi="Times New Roman"/>
          <w:sz w:val="17"/>
          <w:szCs w:val="17"/>
          <w:b w:val="1"/>
          <w:bCs w:val="1"/>
          <w:color w:val="auto"/>
        </w:rPr>
        <w:t xml:space="preserve"> Spin Premia had 28.4 million active loyalty users</w:t>
      </w:r>
      <w:r>
        <w:rPr>
          <w:rFonts w:ascii="Times New Roman" w:cs="Times New Roman" w:eastAsia="Times New Roman" w:hAnsi="Times New Roman"/>
          <w:sz w:val="28"/>
          <w:szCs w:val="28"/>
          <w:b w:val="1"/>
          <w:bCs w:val="1"/>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representing</w:t>
      </w:r>
      <w:r>
        <w:rPr>
          <w:rFonts w:ascii="Times New Roman" w:cs="Times New Roman" w:eastAsia="Times New Roman" w:hAnsi="Times New Roman"/>
          <w:sz w:val="17"/>
          <w:szCs w:val="17"/>
          <w:b w:val="1"/>
          <w:bCs w:val="1"/>
          <w:color w:val="auto"/>
        </w:rPr>
        <w:t xml:space="preserve"> 12.8% growth </w:t>
      </w:r>
      <w:r>
        <w:rPr>
          <w:rFonts w:ascii="Times New Roman" w:cs="Times New Roman" w:eastAsia="Times New Roman" w:hAnsi="Times New Roman"/>
          <w:sz w:val="17"/>
          <w:szCs w:val="17"/>
          <w:color w:val="auto"/>
        </w:rPr>
        <w:t>compared to 1Q25, and an average tender</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OXXO Mexico of</w:t>
      </w:r>
      <w:r>
        <w:rPr>
          <w:rFonts w:ascii="Times New Roman" w:cs="Times New Roman" w:eastAsia="Times New Roman" w:hAnsi="Times New Roman"/>
          <w:sz w:val="17"/>
          <w:szCs w:val="17"/>
          <w:b w:val="1"/>
          <w:bCs w:val="1"/>
          <w:color w:val="auto"/>
        </w:rPr>
        <w:t xml:space="preserve"> 50.6</w:t>
      </w:r>
      <w:r>
        <w:rPr>
          <w:rFonts w:ascii="Times New Roman" w:cs="Times New Roman" w:eastAsia="Times New Roman" w:hAnsi="Times New Roman"/>
          <w:sz w:val="17"/>
          <w:szCs w:val="17"/>
          <w:color w:val="auto"/>
        </w:rPr>
        <w:t>% which increased from 42.5% in 1Q25.</w:t>
      </w:r>
    </w:p>
    <w:p>
      <w:pPr>
        <w:spacing w:after="0" w:line="69" w:lineRule="exact"/>
        <w:rPr>
          <w:rFonts w:ascii="Arial" w:cs="Arial" w:eastAsia="Arial" w:hAnsi="Arial"/>
          <w:sz w:val="17"/>
          <w:szCs w:val="17"/>
          <w:b w:val="1"/>
          <w:bCs w:val="1"/>
          <w:color w:val="auto"/>
        </w:rPr>
      </w:pPr>
    </w:p>
    <w:p>
      <w:pPr>
        <w:ind w:left="320" w:hanging="314"/>
        <w:spacing w:after="0"/>
        <w:tabs>
          <w:tab w:leader="none" w:pos="32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COCA-COLA FEMSA: Total Revenues grew 1.1%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Income from Operations decreased 2.3% </w:t>
      </w:r>
      <w:r>
        <w:rPr>
          <w:rFonts w:ascii="Times New Roman" w:cs="Times New Roman" w:eastAsia="Times New Roman" w:hAnsi="Times New Roman"/>
          <w:sz w:val="18"/>
          <w:szCs w:val="18"/>
          <w:color w:val="auto"/>
        </w:rPr>
        <w:t>against 1Q25.</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Summary for the First Quarter 2026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vs. comparable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Income from</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Same-Store</w:t>
            </w:r>
          </w:p>
        </w:tc>
        <w:tc>
          <w:tcPr>
            <w:tcW w:w="0" w:type="dxa"/>
            <w:vAlign w:val="bottom"/>
          </w:tcPr>
          <w:p>
            <w:pPr>
              <w:spacing w:after="0"/>
              <w:rPr>
                <w:sz w:val="1"/>
                <w:szCs w:val="1"/>
                <w:color w:val="auto"/>
              </w:rPr>
            </w:pPr>
          </w:p>
        </w:tc>
      </w:tr>
      <w:tr>
        <w:trPr>
          <w:trHeight w:val="231"/>
        </w:trPr>
        <w:tc>
          <w:tcPr>
            <w:tcW w:w="5300" w:type="dxa"/>
            <w:vAlign w:val="bottom"/>
            <w:gridSpan w:val="2"/>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48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97"/>
              </w:rPr>
              <w:t>Total Revenues</w:t>
            </w:r>
          </w:p>
        </w:tc>
        <w:tc>
          <w:tcPr>
            <w:tcW w:w="150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4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0" w:type="dxa"/>
            <w:vAlign w:val="bottom"/>
          </w:tcPr>
          <w:p>
            <w:pPr>
              <w:spacing w:after="0"/>
              <w:rPr>
                <w:sz w:val="1"/>
                <w:szCs w:val="1"/>
                <w:color w:val="auto"/>
              </w:rPr>
            </w:pPr>
          </w:p>
        </w:tc>
      </w:tr>
      <w:tr>
        <w:trPr>
          <w:trHeight w:val="205"/>
        </w:trPr>
        <w:tc>
          <w:tcPr>
            <w:tcW w:w="5300" w:type="dxa"/>
            <w:vAlign w:val="bottom"/>
            <w:gridSpan w:val="2"/>
            <w:vMerge w:val="continue"/>
          </w:tcPr>
          <w:p>
            <w:pPr>
              <w:spacing w:after="0"/>
              <w:rPr>
                <w:sz w:val="17"/>
                <w:szCs w:val="17"/>
                <w:color w:val="auto"/>
              </w:rPr>
            </w:pPr>
          </w:p>
        </w:tc>
        <w:tc>
          <w:tcPr>
            <w:tcW w:w="1200" w:type="dxa"/>
            <w:vAlign w:val="bottom"/>
            <w:tcBorders>
              <w:top w:val="single" w:sz="8" w:color="auto"/>
            </w:tcBorders>
          </w:tcPr>
          <w:p>
            <w:pPr>
              <w:jc w:val="right"/>
              <w:ind w:right="252"/>
              <w:spacing w:after="0" w:line="205" w:lineRule="exact"/>
              <w:rPr>
                <w:sz w:val="20"/>
                <w:szCs w:val="20"/>
                <w:color w:val="auto"/>
              </w:rPr>
            </w:pPr>
            <w:r>
              <w:rPr>
                <w:rFonts w:ascii="Times New Roman" w:cs="Times New Roman" w:eastAsia="Times New Roman" w:hAnsi="Times New Roman"/>
                <w:sz w:val="18"/>
                <w:szCs w:val="18"/>
                <w:b w:val="1"/>
                <w:bCs w:val="1"/>
                <w:color w:val="auto"/>
              </w:rPr>
              <w:t>1Q26</w:t>
            </w:r>
          </w:p>
        </w:tc>
        <w:tc>
          <w:tcPr>
            <w:tcW w:w="280" w:type="dxa"/>
            <w:vAlign w:val="bottom"/>
          </w:tcPr>
          <w:p>
            <w:pPr>
              <w:spacing w:after="0"/>
              <w:rPr>
                <w:sz w:val="17"/>
                <w:szCs w:val="17"/>
                <w:color w:val="auto"/>
              </w:rPr>
            </w:pPr>
          </w:p>
        </w:tc>
        <w:tc>
          <w:tcPr>
            <w:tcW w:w="1200" w:type="dxa"/>
            <w:vAlign w:val="bottom"/>
            <w:tcBorders>
              <w:top w:val="single" w:sz="8" w:color="auto"/>
            </w:tcBorders>
          </w:tcPr>
          <w:p>
            <w:pPr>
              <w:jc w:val="right"/>
              <w:ind w:right="272"/>
              <w:spacing w:after="0" w:line="205" w:lineRule="exact"/>
              <w:rPr>
                <w:sz w:val="20"/>
                <w:szCs w:val="20"/>
                <w:color w:val="auto"/>
              </w:rPr>
            </w:pPr>
            <w:r>
              <w:rPr>
                <w:rFonts w:ascii="Times New Roman" w:cs="Times New Roman" w:eastAsia="Times New Roman" w:hAnsi="Times New Roman"/>
                <w:sz w:val="18"/>
                <w:szCs w:val="18"/>
                <w:b w:val="1"/>
                <w:bCs w:val="1"/>
                <w:color w:val="auto"/>
              </w:rPr>
              <w:t>1Q26</w:t>
            </w:r>
          </w:p>
        </w:tc>
        <w:tc>
          <w:tcPr>
            <w:tcW w:w="300" w:type="dxa"/>
            <w:vAlign w:val="bottom"/>
          </w:tcPr>
          <w:p>
            <w:pPr>
              <w:spacing w:after="0"/>
              <w:rPr>
                <w:sz w:val="17"/>
                <w:szCs w:val="17"/>
                <w:color w:val="auto"/>
              </w:rPr>
            </w:pPr>
          </w:p>
        </w:tc>
        <w:tc>
          <w:tcPr>
            <w:tcW w:w="1220" w:type="dxa"/>
            <w:vAlign w:val="bottom"/>
            <w:tcBorders>
              <w:top w:val="single" w:sz="8" w:color="auto"/>
            </w:tcBorders>
          </w:tcPr>
          <w:p>
            <w:pPr>
              <w:jc w:val="right"/>
              <w:ind w:right="272"/>
              <w:spacing w:after="0" w:line="205" w:lineRule="exact"/>
              <w:rPr>
                <w:sz w:val="20"/>
                <w:szCs w:val="20"/>
                <w:color w:val="auto"/>
              </w:rPr>
            </w:pPr>
            <w:r>
              <w:rPr>
                <w:rFonts w:ascii="Times New Roman" w:cs="Times New Roman" w:eastAsia="Times New Roman" w:hAnsi="Times New Roman"/>
                <w:sz w:val="18"/>
                <w:szCs w:val="18"/>
                <w:b w:val="1"/>
                <w:bCs w:val="1"/>
                <w:color w:val="auto"/>
              </w:rPr>
              <w:t>1Q26</w:t>
            </w:r>
          </w:p>
        </w:tc>
        <w:tc>
          <w:tcPr>
            <w:tcW w:w="320" w:type="dxa"/>
            <w:vAlign w:val="bottom"/>
          </w:tcPr>
          <w:p>
            <w:pPr>
              <w:spacing w:after="0"/>
              <w:rPr>
                <w:sz w:val="17"/>
                <w:szCs w:val="17"/>
                <w:color w:val="auto"/>
              </w:rPr>
            </w:pPr>
          </w:p>
        </w:tc>
        <w:tc>
          <w:tcPr>
            <w:tcW w:w="1200" w:type="dxa"/>
            <w:vAlign w:val="bottom"/>
            <w:tcBorders>
              <w:top w:val="single" w:sz="8" w:color="auto"/>
            </w:tcBorders>
          </w:tcPr>
          <w:p>
            <w:pPr>
              <w:jc w:val="right"/>
              <w:ind w:right="252"/>
              <w:spacing w:after="0" w:line="205" w:lineRule="exact"/>
              <w:rPr>
                <w:sz w:val="20"/>
                <w:szCs w:val="20"/>
                <w:color w:val="auto"/>
              </w:rPr>
            </w:pPr>
            <w:r>
              <w:rPr>
                <w:rFonts w:ascii="Times New Roman" w:cs="Times New Roman" w:eastAsia="Times New Roman" w:hAnsi="Times New Roman"/>
                <w:sz w:val="18"/>
                <w:szCs w:val="18"/>
                <w:b w:val="1"/>
                <w:bCs w:val="1"/>
                <w:color w:val="auto"/>
              </w:rPr>
              <w:t>1Q26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top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tcBorders>
              <w:top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OXXO Mexico</w:t>
            </w:r>
          </w:p>
        </w:tc>
        <w:tc>
          <w:tcPr>
            <w:tcW w:w="1480" w:type="dxa"/>
            <w:vAlign w:val="bottom"/>
            <w:gridSpan w:val="2"/>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rPr>
              <w:t>8.3%</w:t>
            </w:r>
          </w:p>
        </w:tc>
        <w:tc>
          <w:tcPr>
            <w:tcW w:w="1500" w:type="dxa"/>
            <w:vAlign w:val="bottom"/>
            <w:gridSpan w:val="2"/>
          </w:tcPr>
          <w:p>
            <w:pPr>
              <w:jc w:val="right"/>
              <w:ind w:right="72"/>
              <w:spacing w:after="0" w:line="204" w:lineRule="exact"/>
              <w:rPr>
                <w:sz w:val="20"/>
                <w:szCs w:val="20"/>
                <w:color w:val="auto"/>
              </w:rPr>
            </w:pPr>
            <w:r>
              <w:rPr>
                <w:rFonts w:ascii="Times New Roman" w:cs="Times New Roman" w:eastAsia="Times New Roman" w:hAnsi="Times New Roman"/>
                <w:sz w:val="18"/>
                <w:szCs w:val="18"/>
                <w:color w:val="auto"/>
              </w:rPr>
              <w:t>11.5%</w:t>
            </w:r>
          </w:p>
        </w:tc>
        <w:tc>
          <w:tcPr>
            <w:tcW w:w="1540" w:type="dxa"/>
            <w:vAlign w:val="bottom"/>
            <w:gridSpan w:val="2"/>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rPr>
              <w:t>20.9%</w:t>
            </w:r>
          </w:p>
        </w:tc>
        <w:tc>
          <w:tcPr>
            <w:tcW w:w="1420" w:type="dxa"/>
            <w:vAlign w:val="bottom"/>
            <w:gridSpan w:val="2"/>
          </w:tcPr>
          <w:p>
            <w:pPr>
              <w:jc w:val="right"/>
              <w:ind w:right="80"/>
              <w:spacing w:after="0" w:line="204"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1"/>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Americas &amp; Mobility</w:t>
            </w:r>
          </w:p>
        </w:tc>
        <w:tc>
          <w:tcPr>
            <w:tcW w:w="14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w:t>
            </w:r>
          </w:p>
        </w:tc>
        <w:tc>
          <w:tcPr>
            <w:tcW w:w="15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25.4%</w:t>
            </w:r>
          </w:p>
        </w:tc>
        <w:tc>
          <w:tcPr>
            <w:tcW w:w="15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34.0%</w:t>
            </w:r>
          </w:p>
        </w:tc>
        <w:tc>
          <w:tcPr>
            <w:tcW w:w="1420" w:type="dxa"/>
            <w:vAlign w:val="bottom"/>
            <w:gridSpan w:val="2"/>
            <w:shd w:val="clear" w:color="auto" w:fill="CCEEFF"/>
          </w:tcPr>
          <w:p>
            <w:pPr>
              <w:jc w:val="right"/>
              <w:spacing w:after="0" w:line="251" w:lineRule="exact"/>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1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0.1%</w:t>
            </w:r>
          </w:p>
        </w:tc>
        <w:tc>
          <w:tcPr>
            <w:tcW w:w="15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7.4%</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4"/>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4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0.9%</w:t>
            </w:r>
          </w:p>
        </w:tc>
        <w:tc>
          <w:tcPr>
            <w:tcW w:w="15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5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CCEEFF"/>
            </w:tcBorders>
          </w:tcPr>
          <w:p>
            <w:pPr>
              <w:jc w:val="right"/>
              <w:ind w:right="72"/>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gridSpan w:val="2"/>
            <w:shd w:val="clear" w:color="auto" w:fill="CCEEFF"/>
          </w:tcPr>
          <w:p>
            <w:pPr>
              <w:ind w:left="2020"/>
              <w:spacing w:after="0" w:line="243" w:lineRule="exact"/>
              <w:rPr>
                <w:sz w:val="20"/>
                <w:szCs w:val="20"/>
                <w:color w:val="auto"/>
              </w:rPr>
            </w:pPr>
            <w:r>
              <w:rPr>
                <w:rFonts w:ascii="Times New Roman" w:cs="Times New Roman" w:eastAsia="Times New Roman" w:hAnsi="Times New Roman"/>
                <w:sz w:val="17"/>
                <w:szCs w:val="17"/>
                <w:b w:val="1"/>
                <w:bCs w:val="1"/>
                <w:color w:val="auto"/>
              </w:rPr>
              <w:t>Comparable</w:t>
            </w:r>
            <w:r>
              <w:rPr>
                <w:rFonts w:ascii="Times New Roman" w:cs="Times New Roman" w:eastAsia="Times New Roman" w:hAnsi="Times New Roman"/>
                <w:sz w:val="28"/>
                <w:szCs w:val="28"/>
                <w:b w:val="1"/>
                <w:bCs w:val="1"/>
                <w:color w:val="auto"/>
                <w:vertAlign w:val="superscript"/>
              </w:rPr>
              <w:t>(A)</w:t>
            </w: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c>
          <w:tcPr>
            <w:tcW w:w="15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9.1%</w:t>
            </w:r>
          </w:p>
        </w:tc>
        <w:tc>
          <w:tcPr>
            <w:tcW w:w="15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12.1%</w:t>
            </w: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OXXO Mexico</w:t>
            </w: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line="20" w:lineRule="exact"/>
              <w:rPr>
                <w:sz w:val="1"/>
                <w:szCs w:val="1"/>
                <w:color w:val="auto"/>
              </w:rPr>
            </w:pPr>
          </w:p>
        </w:tc>
      </w:tr>
      <w:tr>
        <w:trPr>
          <w:trHeight w:val="204"/>
        </w:trPr>
        <w:tc>
          <w:tcPr>
            <w:tcW w:w="5300" w:type="dxa"/>
            <w:vAlign w:val="bottom"/>
            <w:gridSpan w:val="2"/>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rPr>
              <w:t>8.3%</w:t>
            </w:r>
          </w:p>
        </w:tc>
        <w:tc>
          <w:tcPr>
            <w:tcW w:w="1500" w:type="dxa"/>
            <w:vAlign w:val="bottom"/>
            <w:gridSpan w:val="2"/>
            <w:shd w:val="clear" w:color="auto" w:fill="CCEEFF"/>
          </w:tcPr>
          <w:p>
            <w:pPr>
              <w:jc w:val="right"/>
              <w:ind w:right="72"/>
              <w:spacing w:after="0" w:line="204" w:lineRule="exact"/>
              <w:rPr>
                <w:sz w:val="20"/>
                <w:szCs w:val="20"/>
                <w:color w:val="auto"/>
              </w:rPr>
            </w:pPr>
            <w:r>
              <w:rPr>
                <w:rFonts w:ascii="Times New Roman" w:cs="Times New Roman" w:eastAsia="Times New Roman" w:hAnsi="Times New Roman"/>
                <w:sz w:val="18"/>
                <w:szCs w:val="18"/>
                <w:color w:val="auto"/>
              </w:rPr>
              <w:t>11.5%</w:t>
            </w:r>
          </w:p>
        </w:tc>
        <w:tc>
          <w:tcPr>
            <w:tcW w:w="1540" w:type="dxa"/>
            <w:vAlign w:val="bottom"/>
            <w:gridSpan w:val="2"/>
            <w:shd w:val="clear" w:color="auto" w:fill="CCEEFF"/>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rPr>
              <w:t>20.9%</w:t>
            </w:r>
          </w:p>
        </w:tc>
        <w:tc>
          <w:tcPr>
            <w:tcW w:w="14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Americas &amp; Mobility</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5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21.5%</w:t>
            </w:r>
          </w:p>
        </w:tc>
        <w:tc>
          <w:tcPr>
            <w:tcW w:w="15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120.7%</w:t>
            </w:r>
          </w:p>
        </w:tc>
        <w:tc>
          <w:tcPr>
            <w:tcW w:w="1420" w:type="dxa"/>
            <w:vAlign w:val="bottom"/>
            <w:gridSpan w:val="2"/>
          </w:tcPr>
          <w:p>
            <w:pPr>
              <w:jc w:val="right"/>
              <w:spacing w:after="0" w:line="251" w:lineRule="exact"/>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r>
        <w:trPr>
          <w:trHeight w:val="211"/>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4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150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5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Health</w:t>
            </w:r>
          </w:p>
        </w:tc>
        <w:tc>
          <w:tcPr>
            <w:tcW w:w="1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15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7"/>
        </w:trPr>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top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Borders>
              <w:top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 Antonio Fernández Garza-Lagüera, FEMSA’s Chief Executive Officer, commented:</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“FEMSA delivered a strong set of results for the first quarter. OXXO improved its operating income by double-digits in its key markets, handily outpacing revenues and expanding margins, while Coca-Cola FEMSA demonstrated its resilience and flexibility in the face of a challenging consumer environment in the core Mexican market, partially offset by a strong performance in South America.</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should highlight the sustained recovery at OXXO Mexico, building on the positive trends we first saw during the fourth quarter of last year, and delivering high-single-digit revenue growth on the back of continued expansion and strong same-store sales despite a volatile environment. During the quarter, we also began to see the benefits from a leaner overhead structure and increased efficiency. Beyond Mexico, our Americas and Mobility operations delivered a compelling set of numbers, particularly Chile, Peru and Colombia showing double-digit growth in same-store sales and a significant narrowing of losses as we steadily improve our footprint.</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For its part, Coca-Cola FEMSA gained market share in most of its markets and categories and achieved record volumes for a first quarter in several markets, including Brazil, Colombia and Guatemala.</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we look ahead towards what we expect should be a strong summer season due in part to the World Cup, we continue to like our current momentum across most of our business units, and we are optimistic as we execute against our long-term strategy in pursuit of sustainable profitable growth and despite the complex international macro environment.”</w:t>
      </w:r>
    </w:p>
    <w:p>
      <w:pPr>
        <w:spacing w:after="0" w:line="1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QUARTERLY RESULTS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Results are compared to the same period of previous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1Q26 Financial Summary</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2"/>
        </w:trPr>
        <w:tc>
          <w:tcPr>
            <w:tcW w:w="550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1Q26</w:t>
            </w: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1Q25</w:t>
            </w:r>
          </w:p>
        </w:tc>
        <w:tc>
          <w:tcPr>
            <w:tcW w:w="200" w:type="dxa"/>
            <w:vAlign w:val="bottom"/>
            <w:tcBorders>
              <w:bottom w:val="single" w:sz="8" w:color="CCEEFF"/>
            </w:tcBorders>
            <w:gridSpan w:val="2"/>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Var.</w:t>
            </w:r>
          </w:p>
        </w:tc>
        <w:tc>
          <w:tcPr>
            <w:tcW w:w="260" w:type="dxa"/>
            <w:vAlign w:val="bottom"/>
            <w:tcBorders>
              <w:bottom w:val="single" w:sz="8" w:color="CCEEFF"/>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160" w:type="dxa"/>
            <w:vAlign w:val="bottom"/>
            <w:tcBorders>
              <w:bottom w:val="single" w:sz="8" w:color="CCEEFF"/>
            </w:tcBorders>
            <w:gridSpan w:val="2"/>
          </w:tcPr>
          <w:p>
            <w:pPr>
              <w:spacing w:after="0"/>
              <w:rPr>
                <w:sz w:val="24"/>
                <w:szCs w:val="24"/>
                <w:color w:val="auto"/>
              </w:rPr>
            </w:pPr>
          </w:p>
        </w:tc>
      </w:tr>
      <w:tr>
        <w:trPr>
          <w:trHeight w:val="204"/>
        </w:trPr>
        <w:tc>
          <w:tcPr>
            <w:tcW w:w="55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Revenues</w:t>
            </w: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207,784</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195,819</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4"/>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8.5%</w:t>
            </w: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84,094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78,918</w:t>
            </w:r>
          </w:p>
        </w:tc>
        <w:tc>
          <w:tcPr>
            <w:tcW w:w="4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1"/>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40.5</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40.3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20 bps</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14,314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13,564</w:t>
            </w:r>
          </w:p>
        </w:tc>
        <w:tc>
          <w:tcPr>
            <w:tcW w:w="4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1"/>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Operating Margin ()%</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6.9</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6.9</w:t>
            </w:r>
          </w:p>
        </w:tc>
        <w:tc>
          <w:tcPr>
            <w:tcW w:w="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1"/>
        </w:trPr>
        <w:tc>
          <w:tcPr>
            <w:tcW w:w="550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9"/>
                <w:szCs w:val="29"/>
                <w:b w:val="1"/>
                <w:bCs w:val="1"/>
                <w:color w:val="auto"/>
                <w:vertAlign w:val="superscript"/>
              </w:rPr>
              <w:t>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28,127</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25,302</w:t>
            </w:r>
          </w:p>
        </w:tc>
        <w:tc>
          <w:tcPr>
            <w:tcW w:w="40" w:type="dxa"/>
            <w:vAlign w:val="bottom"/>
          </w:tcPr>
          <w:p>
            <w:pPr>
              <w:spacing w:after="0"/>
              <w:rPr>
                <w:sz w:val="21"/>
                <w:szCs w:val="21"/>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1"/>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EBITDA Margin ()%</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13.5</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60 bps</w:t>
            </w: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17,639</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8,942</w:t>
            </w:r>
          </w:p>
        </w:tc>
        <w:tc>
          <w:tcPr>
            <w:tcW w:w="40" w:type="dxa"/>
            <w:vAlign w:val="bottom"/>
          </w:tcPr>
          <w:p>
            <w:pPr>
              <w:spacing w:after="0"/>
              <w:rPr>
                <w:sz w:val="20"/>
                <w:szCs w:val="20"/>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97.3%</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ex-KOF</w:t>
            </w:r>
            <w:r>
              <w:rPr>
                <w:rFonts w:ascii="Times New Roman" w:cs="Times New Roman" w:eastAsia="Times New Roman" w:hAnsi="Times New Roman"/>
                <w:sz w:val="29"/>
                <w:szCs w:val="29"/>
                <w:b w:val="1"/>
                <w:bCs w:val="1"/>
                <w:color w:val="auto"/>
                <w:vertAlign w:val="superscript"/>
              </w:rPr>
              <w:t>3</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2"/>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Ps.</w:t>
            </w:r>
          </w:p>
        </w:tc>
        <w:tc>
          <w:tcPr>
            <w:tcW w:w="60" w:type="dxa"/>
            <w:vAlign w:val="bottom"/>
          </w:tcPr>
          <w:p>
            <w:pPr>
              <w:spacing w:after="0"/>
              <w:rPr>
                <w:sz w:val="24"/>
                <w:szCs w:val="24"/>
                <w:color w:val="auto"/>
              </w:rPr>
            </w:pPr>
          </w:p>
        </w:tc>
        <w:tc>
          <w:tcPr>
            <w:tcW w:w="13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29"/>
                <w:szCs w:val="29"/>
                <w:b w:val="1"/>
                <w:bCs w:val="1"/>
                <w:color w:val="auto"/>
                <w:vertAlign w:val="superscript"/>
              </w:rPr>
              <w:t>4</w:t>
            </w:r>
          </w:p>
        </w:tc>
      </w:tr>
      <w:tr>
        <w:trPr>
          <w:trHeight w:val="204"/>
        </w:trPr>
        <w:tc>
          <w:tcPr>
            <w:tcW w:w="55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Cash and Investments</w:t>
            </w: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73,231</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4,061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Financial Debt</w:t>
            </w:r>
          </w:p>
        </w:tc>
        <w:tc>
          <w:tcPr>
            <w:tcW w:w="12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56,915</w:t>
            </w:r>
          </w:p>
        </w:tc>
        <w:tc>
          <w:tcPr>
            <w:tcW w:w="1380" w:type="dxa"/>
            <w:vAlign w:val="bottom"/>
            <w:tcBorders>
              <w:bottom w:val="single" w:sz="8" w:color="CCEEFF"/>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3,156</w:t>
            </w:r>
          </w:p>
        </w:tc>
      </w:tr>
    </w:tbl>
    <w:p>
      <w:pPr>
        <w:sectPr>
          <w:pgSz w:w="11900" w:h="16900" w:orient="portrait"/>
          <w:cols w:equalWidth="0" w:num="1">
            <w:col w:w="11240"/>
          </w:cols>
          <w:pgMar w:left="320" w:top="91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48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109,925</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6,096</w:t>
            </w:r>
          </w:p>
        </w:tc>
      </w:tr>
      <w:tr>
        <w:trPr>
          <w:trHeight w:val="211"/>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48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93,609</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5,191</w:t>
            </w:r>
          </w:p>
        </w:tc>
      </w:tr>
      <w:tr>
        <w:trPr>
          <w:trHeight w:val="21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ND / Adjusted EBITDA</w:t>
            </w:r>
          </w:p>
        </w:tc>
        <w:tc>
          <w:tcPr>
            <w:tcW w:w="48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1.24x</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17837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39" w:lineRule="exact"/>
        <w:rPr>
          <w:sz w:val="20"/>
          <w:szCs w:val="20"/>
          <w:color w:val="auto"/>
        </w:rPr>
      </w:pPr>
    </w:p>
    <w:p>
      <w:pPr>
        <w:ind w:firstLine="6"/>
        <w:spacing w:after="0" w:line="203" w:lineRule="auto"/>
        <w:tabs>
          <w:tab w:leader="none" w:pos="273" w:val="left"/>
        </w:tabs>
        <w:numPr>
          <w:ilvl w:val="0"/>
          <w:numId w:val="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24" w:lineRule="exact"/>
        <w:rPr>
          <w:sz w:val="20"/>
          <w:szCs w:val="20"/>
          <w:color w:val="auto"/>
        </w:rPr>
      </w:pPr>
    </w:p>
    <w:p>
      <w:pPr>
        <w:ind w:right="3440" w:firstLine="6"/>
        <w:spacing w:after="0" w:line="203" w:lineRule="auto"/>
        <w:tabs>
          <w:tab w:leader="none" w:pos="11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Active User for Spin by OXXO: Any user with a balance or that has transacted within the last 56 days. Active User for Spin Premia: User that has transacted at least once with OXXO Premia within the last 90 days.</w:t>
      </w:r>
    </w:p>
    <w:p>
      <w:pPr>
        <w:spacing w:after="0" w:line="1" w:lineRule="exact"/>
        <w:rPr>
          <w:rFonts w:ascii="Times New Roman" w:cs="Times New Roman" w:eastAsia="Times New Roman" w:hAnsi="Times New Roman"/>
          <w:sz w:val="28"/>
          <w:szCs w:val="28"/>
          <w:color w:val="auto"/>
          <w:vertAlign w:val="superscript"/>
        </w:rPr>
      </w:pPr>
    </w:p>
    <w:p>
      <w:pPr>
        <w:jc w:val="both"/>
        <w:ind w:right="3080"/>
        <w:spacing w:after="0" w:line="323"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Tender: OXXO MXN sales with Spin Premia redemption or accrual / Total OXXO MXN Sales, during the period. </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Only includes retail. Same-store Sales includes a weighted average of OXXO Americas (USA, Brazil and Latam).</w:t>
      </w:r>
    </w:p>
    <w:p>
      <w:pPr>
        <w:spacing w:after="0" w:line="38" w:lineRule="exact"/>
        <w:rPr>
          <w:sz w:val="20"/>
          <w:szCs w:val="20"/>
          <w:color w:val="auto"/>
        </w:rPr>
      </w:pPr>
    </w:p>
    <w:p>
      <w:pPr>
        <w:ind w:firstLine="6"/>
        <w:spacing w:after="0" w:line="203" w:lineRule="auto"/>
        <w:tabs>
          <w:tab w:leader="none" w:pos="273"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6.1% in 1Q26 compared to 1Q25, driven by growth in our OXXO Mexico and Americas &amp; Mobility, while our Coca-Cola FEMSA,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Europe and Health remained relatively flat. Revenues reflected a net negative foreign exchange effect as the Mexican peso appreciated relative to other currencies; as a result, revenues grew 8.5% on a comparable basis.</w:t>
      </w:r>
    </w:p>
    <w:p>
      <w:pPr>
        <w:spacing w:after="0" w:line="17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b w:val="1"/>
          <w:bCs w:val="1"/>
          <w:color w:val="auto"/>
        </w:rPr>
        <w:t xml:space="preserve">Gross profit </w:t>
      </w:r>
      <w:r>
        <w:rPr>
          <w:rFonts w:ascii="Times New Roman" w:cs="Times New Roman" w:eastAsia="Times New Roman" w:hAnsi="Times New Roman"/>
          <w:sz w:val="16"/>
          <w:szCs w:val="16"/>
          <w:color w:val="auto"/>
        </w:rPr>
        <w:t>increased 6.6%. Gross margin increased 20 basis points, reaching 40.5%. This reflects margin expansion in OXXO Mexico, Americas &amp; Mobility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Coca-Cola FEMSA, offset by a contraction in Europe and Health. It is important to highlight that these contractions in Europe and Health are explained by the reclassification of distribution expenses from selling expenses to cost of goods sold, which do not impact income from operations; this effect is only reflected in the 1Q26 results. On a comparable basis, the gross margin for the first quarter of 2025 would have been 39.9%, an expansion of 60 basis points.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5.5% driven by growth in OXXO Mexico, Americas &amp; Mobility and Europe. This was partially offset by a decrease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Coca-Cola FEMSA and Health. Similarly, the consolidated operating margin stood at 6.9% remaining stable year over year, reflecting margin contraction at Coca-Cola FEMSA and Health, which was offset by margin expansion in OXXO Mexico, Europe and Americas &amp; Mobility. On a comparable basis, income from operations increased 12.1% showing the strength of the local currency results outside of Mexico.</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effective income tax rate</w:t>
      </w:r>
      <w:r>
        <w:rPr>
          <w:rFonts w:ascii="Times New Roman" w:cs="Times New Roman" w:eastAsia="Times New Roman" w:hAnsi="Times New Roman"/>
          <w:sz w:val="18"/>
          <w:szCs w:val="18"/>
          <w:color w:val="auto"/>
        </w:rPr>
        <w:t xml:space="preserve"> was 17.1% in 1Q26. This is largely explained by a one-time gain related to the BradyPLUS and Imperial Dade merger, reflecting a non-cash gain on an accounting basis, which increased profitability with no current tax effect. Excluding this impact, the effective income tax rate would be 37.9%. The gap between our effective tax rate and the statutory rate of 30% is mainly explained by non-deductible items at OXXO Mexico, specifically labor costs and expenses, and non-creditable tax loss effects, mainly from Spin. Our income tax provision for 1Q26 was Ps. 3,664 million, a decline of 23.3% relative to 1Q25.</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Net consolidated income </w:t>
      </w:r>
      <w:r>
        <w:rPr>
          <w:rFonts w:ascii="Times New Roman" w:cs="Times New Roman" w:eastAsia="Times New Roman" w:hAnsi="Times New Roman"/>
          <w:sz w:val="18"/>
          <w:szCs w:val="18"/>
          <w:color w:val="auto"/>
        </w:rPr>
        <w:t>amounted to Ps. 17,639 million pesos, representing an increase of 97.3% compared to the first quarter of 2025. This increase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a one-time gain related to the BradyPLUS and Imperial Dade merger. Excluding this one-time gain, our net consolidated income amounted to Ps. 5,688, representing a decline of 36.4% compared to the first quarter of 2025. This decrease was caused primarily by higher net financing expenses, mainly reflecting: i) a foreign exchange loss compared to a gain in 2025, representing a swing of Ps. 883 million; ii) an expense of Ps. 189 million related to financial instruments, compared to a gain of Ps. 1,107 million last year from the favorable valuation of the convertible bond associated with Heineken shares; and iii) lower interest income as a result of a lower cash position and lower interest rates. Additional offsets included the absence of income from discontinued operations, which contributed Ps. 2,490 million in the first quarter of last year.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majority income </w:t>
      </w:r>
      <w:r>
        <w:rPr>
          <w:rFonts w:ascii="Times New Roman" w:cs="Times New Roman" w:eastAsia="Times New Roman" w:hAnsi="Times New Roman"/>
          <w:sz w:val="18"/>
          <w:szCs w:val="18"/>
          <w:color w:val="auto"/>
        </w:rPr>
        <w:t>was Ps. 4.34 per FEMSA Units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representing 167.9% growth, and US$2.41 per FEMSA ADS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color w:val="auto"/>
        </w:rPr>
        <w:t xml:space="preserve">Net Debt / EBITDA. </w:t>
      </w:r>
      <w:r>
        <w:rPr>
          <w:rFonts w:ascii="Times New Roman" w:cs="Times New Roman" w:eastAsia="Times New Roman" w:hAnsi="Times New Roman"/>
          <w:sz w:val="18"/>
          <w:szCs w:val="18"/>
          <w:color w:val="auto"/>
        </w:rPr>
        <w:t>On an ex-KOF</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as of March 31, 2026, cash and investments were Ps. 73,231 million and total debt was Ps. 166,840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net debt of Ps. 93,609 million. Our Net Debt / EBITDA ratio ex-KOF was 1.24x up from 0.69x in 1Q25. This increase reflects mainly the cash outflow related to our capital allocation strategy, which has resulted in Ps. 47,218 million of ordinary and extraordinary dividends, as well as Ps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16,055 million of share repurchases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during the last twelve months.</w:t>
      </w:r>
    </w:p>
    <w:p>
      <w:pPr>
        <w:spacing w:after="0" w:line="7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Capital expenditures </w:t>
      </w:r>
      <w:r>
        <w:rPr>
          <w:rFonts w:ascii="Times New Roman" w:cs="Times New Roman" w:eastAsia="Times New Roman" w:hAnsi="Times New Roman"/>
          <w:sz w:val="16"/>
          <w:szCs w:val="16"/>
          <w:color w:val="auto"/>
        </w:rPr>
        <w:t>amounted to Ps. 6,195 million, 3.0% as a percentage of total sales, and a decrease of 29.5% compared to 1Q25, reflecting lower CAPEX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OXXO Mexico, Coca-Cola FEMSA and Health, and primarily driven by a cautious approach to investments across the portfolio. The lower spending in the quarter in OXXO Mexico is partially explained by a demanding comparison base in 2025 where the number of openings in 1Q25 was particularly high. This was partially offset by a higher CAPEX in Americas &amp; Mobility that includes a reactivation of growth in the expansion plans of our stores in Latam after a pause to reset certain operational matters, coupled by the reactivation of our expansion plans in Brazil after the end of our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6661785</wp:posOffset>
            </wp:positionH>
            <wp:positionV relativeFrom="paragraph">
              <wp:posOffset>111125</wp:posOffset>
            </wp:positionV>
            <wp:extent cx="452120"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2120" cy="38544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OXXO MEXICO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1Q26 Financial Summary – OXXO Mexico</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1"/>
        </w:trPr>
        <w:tc>
          <w:tcPr>
            <w:tcW w:w="55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1Q25</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Var.</w:t>
            </w:r>
          </w:p>
        </w:tc>
        <w:tc>
          <w:tcPr>
            <w:tcW w:w="160" w:type="dxa"/>
            <w:vAlign w:val="bottom"/>
            <w:tcBorders>
              <w:bottom w:val="single" w:sz="8" w:color="CCEEFF"/>
            </w:tcBorders>
          </w:tcPr>
          <w:p>
            <w:pPr>
              <w:spacing w:after="0"/>
              <w:rPr>
                <w:sz w:val="20"/>
                <w:szCs w:val="20"/>
                <w:color w:val="auto"/>
              </w:rPr>
            </w:pPr>
          </w:p>
        </w:tc>
      </w:tr>
      <w:tr>
        <w:trPr>
          <w:trHeight w:val="231"/>
        </w:trPr>
        <w:tc>
          <w:tcPr>
            <w:tcW w:w="558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b w:val="1"/>
                <w:bCs w:val="1"/>
                <w:color w:val="101820"/>
              </w:rPr>
              <w:t>Same-store sales (thousands of Ps.)</w:t>
            </w:r>
            <w:r>
              <w:rPr>
                <w:rFonts w:ascii="Times New Roman" w:cs="Times New Roman" w:eastAsia="Times New Roman" w:hAnsi="Times New Roman"/>
                <w:sz w:val="26"/>
                <w:szCs w:val="26"/>
                <w:b w:val="1"/>
                <w:bCs w:val="1"/>
                <w:color w:val="101820"/>
                <w:vertAlign w:val="superscript"/>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1"/>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101820"/>
              </w:rPr>
              <w:t>Total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68,744</w:t>
            </w: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1"/>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44.8</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140 bps</w:t>
            </w:r>
          </w:p>
        </w:tc>
      </w:tr>
      <w:tr>
        <w:trPr>
          <w:trHeight w:val="21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Income from Operations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r>
      <w:tr>
        <w:trPr>
          <w:trHeight w:val="211"/>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101820"/>
              </w:rPr>
              <w:t>Income from Operations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80 bps</w:t>
            </w:r>
          </w:p>
        </w:tc>
      </w:tr>
      <w:tr>
        <w:trPr>
          <w:trHeight w:val="21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Adjusted EBITDA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31"/>
        </w:trPr>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101820"/>
              </w:rPr>
              <w:t>Adjusted EBITDA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14.2</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12.4</w:t>
            </w: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180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121285</wp:posOffset>
            </wp:positionV>
            <wp:extent cx="6717030" cy="1959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7030" cy="19596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 w:name="page7"/>
    <w:bookmarkEnd w:id="6"/>
    <w:p>
      <w:pPr>
        <w:jc w:val="both"/>
        <w:ind w:firstLine="6"/>
        <w:spacing w:after="0" w:line="208" w:lineRule="auto"/>
        <w:tabs>
          <w:tab w:leader="none" w:pos="155"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Adjusted EBITDA: Operating Income + Depreciation + Amortizations + other non-cash charges. Adjusted EBITDA ex-KOF: FEMSA Consolidated Adjusted EBITDA as described above – Coca-Cola FEMSA’s Consolidated Adjusted EBITDA + Dividends received by FEMSA from Coca-Cola FEMSA and other investments.</w:t>
      </w:r>
    </w:p>
    <w:p>
      <w:pPr>
        <w:spacing w:after="0" w:line="2" w:lineRule="exact"/>
        <w:rPr>
          <w:rFonts w:ascii="Times New Roman" w:cs="Times New Roman" w:eastAsia="Times New Roman" w:hAnsi="Times New Roman"/>
          <w:sz w:val="29"/>
          <w:szCs w:val="29"/>
          <w:color w:val="auto"/>
          <w:vertAlign w:val="superscript"/>
        </w:rPr>
      </w:pPr>
    </w:p>
    <w:p>
      <w:pPr>
        <w:ind w:right="820"/>
        <w:spacing w:after="0" w:line="195"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All Net Debt calculations are shown on an Ex-KOF basis. For a detailed reconciliation of this metric please see table on page 16 of this document.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ex-KOF: FEMSA Consolidated reported information – Coca-Cola FEMSA Consolidated reported information.</w:t>
      </w:r>
    </w:p>
    <w:p>
      <w:pPr>
        <w:spacing w:after="0" w:line="1" w:lineRule="exact"/>
        <w:rPr>
          <w:rFonts w:ascii="Times New Roman" w:cs="Times New Roman" w:eastAsia="Times New Roman" w:hAnsi="Times New Roman"/>
          <w:sz w:val="29"/>
          <w:szCs w:val="29"/>
          <w:color w:val="auto"/>
          <w:vertAlign w:val="superscript"/>
        </w:rPr>
      </w:pPr>
    </w:p>
    <w:p>
      <w:pPr>
        <w:spacing w:after="0" w:line="183"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5"/>
          <w:szCs w:val="15"/>
          <w:color w:val="auto"/>
        </w:rPr>
        <w:t xml:space="preserve"> The exchange rate published by the Federal Reserve Bank of New York for March 31, 2026 was 18.0327 MXN per USD.</w:t>
      </w:r>
    </w:p>
    <w:p>
      <w:pPr>
        <w:spacing w:after="0" w:line="20" w:lineRule="exact"/>
        <w:rPr>
          <w:sz w:val="20"/>
          <w:szCs w:val="20"/>
          <w:color w:val="auto"/>
        </w:rPr>
      </w:pPr>
    </w:p>
    <w:p>
      <w:pPr>
        <w:jc w:val="both"/>
        <w:ind w:firstLine="6"/>
        <w:spacing w:after="0" w:line="208" w:lineRule="auto"/>
        <w:tabs>
          <w:tab w:leader="none" w:pos="117"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FEMSA Units consist of FEMSA BD Units and FEMSA B Units. Each FEMSA BD Unit is comprised of one Series B Share, two Series D-B Shares and two Series D-L Shares. Each FEMSA B Unit is comprised of five Series B Shares. The number of FEMSA Units outstanding as of March 31, 2026 was 3,412,732,415, equivalent to the total number of FEMSA Shares outstanding as of the same date, divided by 5.</w:t>
      </w:r>
    </w:p>
    <w:p>
      <w:pPr>
        <w:spacing w:after="0" w:line="25" w:lineRule="exact"/>
        <w:rPr>
          <w:sz w:val="20"/>
          <w:szCs w:val="20"/>
          <w:color w:val="auto"/>
        </w:rPr>
      </w:pPr>
    </w:p>
    <w:p>
      <w:pPr>
        <w:jc w:val="both"/>
        <w:ind w:firstLine="6"/>
        <w:spacing w:after="0" w:line="208" w:lineRule="auto"/>
        <w:tabs>
          <w:tab w:leader="none" w:pos="132"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Share repurchases considers the disbursed amount for the local market repurchases and the ASRs of the last twelve months, that include the first ASR of US$250 million, the second ASR of US$260 million and the third ASR of US$300, this is translated to Mexican pesos with the exchange rate for the end of the period of March 31, 2026, which was 18.0327 MXN per USD.</w:t>
      </w:r>
    </w:p>
    <w:p>
      <w:pPr>
        <w:spacing w:after="0" w:line="131" w:lineRule="exact"/>
        <w:rPr>
          <w:sz w:val="20"/>
          <w:szCs w:val="20"/>
          <w:color w:val="auto"/>
        </w:rPr>
      </w:pPr>
    </w:p>
    <w:p>
      <w:pPr>
        <w:ind w:left="120" w:hanging="114"/>
        <w:spacing w:after="0"/>
        <w:tabs>
          <w:tab w:leader="none" w:pos="12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Same-store Sales OXXO Mexico.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7" w:name="page8"/>
    <w:bookmarkEnd w:id="7"/>
    <w:p>
      <w:pPr>
        <w:ind w:right="140"/>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16"/>
          <w:szCs w:val="16"/>
          <w:color w:val="auto"/>
        </w:rPr>
        <w:t>increased 8.3% in 1Q26 compared to 1Q25, reflecting a 6.0% increase in same-store sales, coupled with 3.8% store expansion. The growth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same-store sales was driven by an increase of 6.6% in the average ticket, and a decrease of 0.5% in store traffic. During the quarter, results were supported by</w:t>
      </w:r>
    </w:p>
    <w:p>
      <w:pPr>
        <w:ind w:right="680" w:firstLine="6"/>
        <w:spacing w:after="0" w:line="275" w:lineRule="auto"/>
        <w:tabs>
          <w:tab w:leader="none" w:pos="21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continued execution of our affordability strategy, which has successfully increased competitiveness across our key categories through increased promotional activity and price-package architecture, (ii) coupled with increased pricing caused by new taxes on cigarettes, soft drinks and beer, and</w:t>
      </w:r>
    </w:p>
    <w:p>
      <w:pPr>
        <w:jc w:val="both"/>
        <w:ind w:firstLine="6"/>
        <w:spacing w:after="0" w:line="247" w:lineRule="auto"/>
        <w:tabs>
          <w:tab w:leader="none" w:pos="3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weather conditions relative to last year. These results at OXXO Mexico contrast with a soft consumer environment at a national level. During the quarter, the OXXO store base in Mexico expanded by 158 stores, and it added 888 total net stores during the last twelve months. As of March 31, 2026, OXXO Mexico had a total of 24,455 stores.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reached 46.2% of total revenues, representing a 140-basis point expansion which reflects sustained income from key suppliers, as well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 from financial services, coupled with revenue growth management initiatives which contributed to a net positive price-mix effect, led by a solid performance in certain key categories.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by 20.9% compared to 1Q25 and reached 7.6% of total revenues, which represents an 80-basis point expansion.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was mainly explained by revenue growth and increased gross margin combined with cost containment and the operational efficiencies implemented during last year. Operating expenses increased 9.8%, slightly above revenue growth, reflecting higher labor expenses, partially offset by operating leverage, cost containment, and efficiency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6661785</wp:posOffset>
            </wp:positionH>
            <wp:positionV relativeFrom="paragraph">
              <wp:posOffset>128905</wp:posOffset>
            </wp:positionV>
            <wp:extent cx="452120" cy="385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2120" cy="38544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&amp; MOBILITY</w:t>
      </w:r>
      <w:r>
        <w:rPr>
          <w:rFonts w:ascii="Times New Roman" w:cs="Times New Roman" w:eastAsia="Times New Roman" w:hAnsi="Times New Roman"/>
          <w:sz w:val="29"/>
          <w:szCs w:val="29"/>
          <w:b w:val="1"/>
          <w:bCs w:val="1"/>
          <w:color w:val="auto"/>
          <w:vertAlign w:val="superscript"/>
        </w:rPr>
        <w:t>2</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1Q26 Financial Summary – Americas &amp; Mobility</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43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1Q25</w:t>
            </w: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Var.</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Comp.</w:t>
            </w:r>
            <w:r>
              <w:rPr>
                <w:rFonts w:ascii="Times New Roman" w:cs="Times New Roman" w:eastAsia="Times New Roman" w:hAnsi="Times New Roman"/>
                <w:sz w:val="29"/>
                <w:szCs w:val="29"/>
                <w:b w:val="1"/>
                <w:bCs w:val="1"/>
                <w:color w:val="auto"/>
                <w:w w:val="99"/>
                <w:vertAlign w:val="superscript"/>
              </w:rPr>
              <w:t>(A)</w:t>
            </w:r>
          </w:p>
        </w:tc>
        <w:tc>
          <w:tcPr>
            <w:tcW w:w="160" w:type="dxa"/>
            <w:vAlign w:val="bottom"/>
            <w:tcBorders>
              <w:bottom w:val="single" w:sz="8" w:color="CCEEFF"/>
            </w:tcBorders>
          </w:tcPr>
          <w:p>
            <w:pPr>
              <w:spacing w:after="0"/>
              <w:rPr>
                <w:sz w:val="24"/>
                <w:szCs w:val="24"/>
                <w:color w:val="auto"/>
              </w:rPr>
            </w:pPr>
          </w:p>
        </w:tc>
      </w:tr>
      <w:tr>
        <w:trPr>
          <w:trHeight w:val="231"/>
        </w:trPr>
        <w:tc>
          <w:tcPr>
            <w:tcW w:w="436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b w:val="1"/>
                <w:bCs w:val="1"/>
                <w:color w:val="101820"/>
              </w:rPr>
              <w:t>Same-store sales (thousands of Ps.)</w:t>
            </w:r>
            <w:r>
              <w:rPr>
                <w:rFonts w:ascii="Times New Roman" w:cs="Times New Roman" w:eastAsia="Times New Roman" w:hAnsi="Times New Roman"/>
                <w:sz w:val="26"/>
                <w:szCs w:val="26"/>
                <w:b w:val="1"/>
                <w:bCs w:val="1"/>
                <w:color w:val="101820"/>
                <w:vertAlign w:val="superscript"/>
              </w:rPr>
              <w:t>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r>
        <w:trPr>
          <w:trHeight w:val="251"/>
        </w:trPr>
        <w:tc>
          <w:tcPr>
            <w:tcW w:w="4360" w:type="dxa"/>
            <w:vAlign w:val="bottom"/>
          </w:tcPr>
          <w:p>
            <w:pPr>
              <w:ind w:left="220"/>
              <w:spacing w:after="0" w:line="251" w:lineRule="exact"/>
              <w:rPr>
                <w:sz w:val="20"/>
                <w:szCs w:val="20"/>
                <w:color w:val="auto"/>
              </w:rPr>
            </w:pPr>
            <w:r>
              <w:rPr>
                <w:rFonts w:ascii="Times New Roman" w:cs="Times New Roman" w:eastAsia="Times New Roman" w:hAnsi="Times New Roman"/>
                <w:sz w:val="18"/>
                <w:szCs w:val="18"/>
                <w:color w:val="101820"/>
              </w:rPr>
              <w:t>Merchandise</w:t>
            </w:r>
            <w:r>
              <w:rPr>
                <w:rFonts w:ascii="Times New Roman" w:cs="Times New Roman" w:eastAsia="Times New Roman" w:hAnsi="Times New Roman"/>
                <w:sz w:val="29"/>
                <w:szCs w:val="29"/>
                <w:color w:val="101820"/>
                <w:vertAlign w:val="superscript"/>
              </w:rPr>
              <w:t>1</w:t>
            </w:r>
            <w:r>
              <w:rPr>
                <w:rFonts w:ascii="Times New Roman" w:cs="Times New Roman" w:eastAsia="Times New Roman" w:hAnsi="Times New Roman"/>
                <w:sz w:val="18"/>
                <w:szCs w:val="18"/>
                <w:color w:val="101820"/>
              </w:rPr>
              <w:t xml:space="preserve"> Sales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51"/>
        </w:trPr>
        <w:tc>
          <w:tcPr>
            <w:tcW w:w="4360" w:type="dxa"/>
            <w:vAlign w:val="bottom"/>
            <w:shd w:val="clear" w:color="auto" w:fill="CCEEFF"/>
          </w:tcPr>
          <w:p>
            <w:pPr>
              <w:ind w:left="220"/>
              <w:spacing w:after="0" w:line="251" w:lineRule="exact"/>
              <w:rPr>
                <w:sz w:val="20"/>
                <w:szCs w:val="20"/>
                <w:color w:val="auto"/>
              </w:rPr>
            </w:pPr>
            <w:r>
              <w:rPr>
                <w:rFonts w:ascii="Times New Roman" w:cs="Times New Roman" w:eastAsia="Times New Roman" w:hAnsi="Times New Roman"/>
                <w:sz w:val="18"/>
                <w:szCs w:val="18"/>
                <w:color w:val="101820"/>
              </w:rPr>
              <w:t>Fuel</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101820"/>
              </w:rPr>
              <w:t xml:space="preserve"> 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101820"/>
              </w:rPr>
              <w:t>Total Revenues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22,142</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51"/>
        </w:trPr>
        <w:tc>
          <w:tcPr>
            <w:tcW w:w="4360" w:type="dxa"/>
            <w:vAlign w:val="bottom"/>
            <w:shd w:val="clear" w:color="auto" w:fill="CCEEFF"/>
          </w:tcPr>
          <w:p>
            <w:pPr>
              <w:ind w:left="220"/>
              <w:spacing w:after="0" w:line="251" w:lineRule="exact"/>
              <w:rPr>
                <w:sz w:val="20"/>
                <w:szCs w:val="20"/>
                <w:color w:val="auto"/>
              </w:rPr>
            </w:pPr>
            <w:r>
              <w:rPr>
                <w:rFonts w:ascii="Times New Roman" w:cs="Times New Roman" w:eastAsia="Times New Roman" w:hAnsi="Times New Roman"/>
                <w:sz w:val="18"/>
                <w:szCs w:val="18"/>
                <w:color w:val="101820"/>
              </w:rPr>
              <w:t>Merchandise</w:t>
            </w:r>
            <w:r>
              <w:rPr>
                <w:rFonts w:ascii="Times New Roman" w:cs="Times New Roman" w:eastAsia="Times New Roman" w:hAnsi="Times New Roman"/>
                <w:sz w:val="29"/>
                <w:szCs w:val="29"/>
                <w:color w:val="101820"/>
                <w:vertAlign w:val="superscript"/>
              </w:rPr>
              <w:t>1</w:t>
            </w:r>
            <w:r>
              <w:rPr>
                <w:rFonts w:ascii="Times New Roman" w:cs="Times New Roman" w:eastAsia="Times New Roman" w:hAnsi="Times New Roman"/>
                <w:sz w:val="18"/>
                <w:szCs w:val="18"/>
                <w:color w:val="101820"/>
              </w:rPr>
              <w:t xml:space="preserve"> 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r>
      <w:tr>
        <w:trPr>
          <w:trHeight w:val="251"/>
        </w:trPr>
        <w:tc>
          <w:tcPr>
            <w:tcW w:w="4360" w:type="dxa"/>
            <w:vAlign w:val="bottom"/>
          </w:tcPr>
          <w:p>
            <w:pPr>
              <w:ind w:left="220"/>
              <w:spacing w:after="0" w:line="251" w:lineRule="exact"/>
              <w:rPr>
                <w:sz w:val="20"/>
                <w:szCs w:val="20"/>
                <w:color w:val="auto"/>
              </w:rPr>
            </w:pPr>
            <w:r>
              <w:rPr>
                <w:rFonts w:ascii="Times New Roman" w:cs="Times New Roman" w:eastAsia="Times New Roman" w:hAnsi="Times New Roman"/>
                <w:sz w:val="18"/>
                <w:szCs w:val="18"/>
                <w:color w:val="101820"/>
              </w:rPr>
              <w:t>Fuel</w:t>
            </w:r>
            <w:r>
              <w:rPr>
                <w:rFonts w:ascii="Times New Roman" w:cs="Times New Roman" w:eastAsia="Times New Roman" w:hAnsi="Times New Roman"/>
                <w:sz w:val="29"/>
                <w:szCs w:val="29"/>
                <w:color w:val="101820"/>
                <w:vertAlign w:val="superscript"/>
              </w:rPr>
              <w:t>2</w:t>
            </w:r>
            <w:r>
              <w:rPr>
                <w:rFonts w:ascii="Times New Roman" w:cs="Times New Roman" w:eastAsia="Times New Roman" w:hAnsi="Times New Roman"/>
                <w:sz w:val="18"/>
                <w:szCs w:val="18"/>
                <w:color w:val="101820"/>
              </w:rPr>
              <w:t xml:space="preserve"> Gross Profit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w:t>
            </w: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r>
      <w:tr>
        <w:trPr>
          <w:trHeight w:val="211"/>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15.5</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170 bps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Income from Operations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120.7%</w:t>
            </w:r>
          </w:p>
        </w:tc>
      </w:tr>
      <w:tr>
        <w:trPr>
          <w:trHeight w:val="211"/>
        </w:trPr>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101820"/>
              </w:rPr>
              <w:t>Income from Operations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 bps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Adjusted EBITDA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r>
      <w:tr>
        <w:trPr>
          <w:trHeight w:val="231"/>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101820"/>
              </w:rPr>
              <w:t>Adjusted EBITDA Margin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92075</wp:posOffset>
            </wp:positionV>
            <wp:extent cx="6281420" cy="2286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1420" cy="2286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6"/>
        <w:spacing w:after="0" w:line="203" w:lineRule="auto"/>
        <w:tabs>
          <w:tab w:leader="none" w:pos="273"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Americas: OXXO Brazil, Chile, Colombia, Peru and USA.</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Mobility: Fuel operations in Mexico and the USA, and Mecanica Tek.</w:t>
      </w:r>
    </w:p>
    <w:p>
      <w:pPr>
        <w:spacing w:after="0" w:line="237"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Same-store Sales is a weighted average of OXXO USA, Brazil and Latam.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160" w:gutter="0" w:footer="0" w:header="0"/>
        </w:sectPr>
      </w:pPr>
    </w:p>
    <w:bookmarkStart w:id="8" w:name="page9"/>
    <w:bookmarkEnd w:id="8"/>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12.9% in 1Q26 compared to 1Q25, reflecting a 7.5% increase in our Fuel sales, coupled with 36.6% increase in our Merchandise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The growth in our Fuel sales mainly reflects an increase in volume and traffic across our Mexican service stations, coupled with growth in the wholesale business. In the US, Fuel revenues grew supported by a more disciplined commercial strategy and pricing discipline, that more than offset softer volumes. The solid results in our Merchandise sales mainly reflect the positive performance of our OXXO stores in Latam with consistent growth in same-store sales, reflecting our initiatives to drive traffic and new revenue opportunities, complemented by operational improvements across different countries. We also benefited from the integration of OXXO Brazil, that we began consolidating on February 1st, 2026. This was partially offset by negative translation effects from all our operating currencies outside of Mexico. On a comparable basis, which excludes the addition of OXXO Brazil as well as currency fluctuations, total revenues increased a solid 10.5%. During the quarter, the store base expanded by 45 stores. Americas &amp; Mobility had 48 total net store additions for the last twelve months and a total of 1,942 stores as of March 31, 2026. This was a result of softer expansion during the year, in which we paused expansion in different countries to redefine the value proposition that will help for more sustainable growth going forward.</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reached 17.2% of total revenues, a 170-basis point increase driven by a solid margin expansion in our Fuel operations and stable margins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Merchandise. The growth reflects a favorable sales mix, with growth at our gas stations compared to our wholesale business, resulting in higher margin contribution, coupled with expansion in most of our Merchandise operations, reflecting the benefits of scale and a more proactive commercial negotiation with suppliers.</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by 34.0% compared to 1Q25 and represented 1.1% of total revenues, which represents a 20-basis point expansion.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was mainly explained by an operating margin expansion at our fuel operations, benefited by a higher gross margin, coupled with improved operating performance across our store operations. Operating expenses increased 24.9%, above total revenues, reflecting the incorporation of Brazil and higher labor costs across our operations, coupled with increased expenses in Latam as we build capabilities to support future growth. This was partially offset by efficiency initiatives and continued improvements in our US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6594475</wp:posOffset>
            </wp:positionH>
            <wp:positionV relativeFrom="paragraph">
              <wp:posOffset>129540</wp:posOffset>
            </wp:positionV>
            <wp:extent cx="452120" cy="351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2120" cy="3517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Bara</w:t>
      </w:r>
      <w:r>
        <w:rPr>
          <w:rFonts w:ascii="Times New Roman" w:cs="Times New Roman" w:eastAsia="Times New Roman" w:hAnsi="Times New Roman"/>
          <w:sz w:val="29"/>
          <w:szCs w:val="29"/>
          <w:color w:val="auto"/>
          <w:vertAlign w:val="superscript"/>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Bara</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revenues increased by 31.5% in 1Q26 compared to 1Q25, reflecting an average same-store sales increase of 11.8%, with an ongoing strong performance in the grocery, homecare and convenience categories and the addition of 164 net new Bara stores during the last twelve months, a 32.2% year-over-year increase in the store base. During the quarter, the Bara store base expanded by 68 units reaching a total of 674 Bara stores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7837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5" w:lineRule="exact"/>
        <w:rPr>
          <w:sz w:val="20"/>
          <w:szCs w:val="20"/>
          <w:color w:val="auto"/>
        </w:rPr>
      </w:pPr>
    </w:p>
    <w:p>
      <w:pPr>
        <w:ind w:left="4820" w:right="4200" w:hanging="4814"/>
        <w:spacing w:after="0" w:line="662" w:lineRule="auto"/>
        <w:tabs>
          <w:tab w:leader="none" w:pos="132"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Bara store count and results are not consolidated within the Americas &amp; Mobility reported figures. April 30, 2026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-349885</wp:posOffset>
            </wp:positionV>
            <wp:extent cx="71354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EUROPE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1Q26 Financial Summary – Europe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42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1Q25</w:t>
            </w: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Var.</w:t>
            </w:r>
          </w:p>
        </w:tc>
        <w:tc>
          <w:tcPr>
            <w:tcW w:w="3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200" w:type="dxa"/>
            <w:vAlign w:val="bottom"/>
            <w:tcBorders>
              <w:bottom w:val="single" w:sz="8" w:color="CCEEFF"/>
            </w:tcBorders>
          </w:tcPr>
          <w:p>
            <w:pPr>
              <w:spacing w:after="0"/>
              <w:rPr>
                <w:sz w:val="24"/>
                <w:szCs w:val="24"/>
                <w:color w:val="auto"/>
              </w:rPr>
            </w:pPr>
          </w:p>
        </w:tc>
      </w:tr>
      <w:tr>
        <w:trPr>
          <w:trHeight w:val="231"/>
        </w:trPr>
        <w:tc>
          <w:tcPr>
            <w:tcW w:w="420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b w:val="1"/>
                <w:bCs w:val="1"/>
                <w:color w:val="auto"/>
              </w:rPr>
              <w:t>Same-store sales (thousands of Ps.)</w:t>
            </w:r>
            <w:r>
              <w:rPr>
                <w:rFonts w:ascii="Times New Roman" w:cs="Times New Roman" w:eastAsia="Times New Roman" w:hAnsi="Times New Roman"/>
                <w:sz w:val="26"/>
                <w:szCs w:val="26"/>
                <w:b w:val="1"/>
                <w:bCs w:val="1"/>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1,769.3</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211"/>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(60bps)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r>
      <w:tr>
        <w:trPr>
          <w:trHeight w:val="211"/>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Income from Operations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 bps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31"/>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Adjusted EBITDA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 bps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0.1% in 1Q26 compared to 1Q25. On a currency-neutral basis total revenues grew 1.5%, reflecting higher sales from our Swiss retail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consumer food service operations, which were partially offset by lower sales in B2B and soft traffic trends in our retail and consumer food service operations in Germany.</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represented 41.5% of total revenues, a 60 basis-point margin contraction, reflecting a reclassification of distribution expenses from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to cost of goods sold, which is not reflected in 1Q25. Gross profit decreased 1.3% compared to 1Q25 but was basically flat on a currency-neutral basis, reflecting the effects mentioned above. On a comparable basis excluding the effects of this reclassification, gross profit would have increased 2.4% in 1Q26, and the comparable gross profit margin would have expanded 90 basis points from a base of 40.6% in 1Q25, reflecting continued implementation of commercial income strategies and strong performance in Swiss retail and consumer food service.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increased 7.4% versus 1Q25 and represented 2.8% of total revenues, a 20 basis-point increase year-on-year, reflecting a strong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with higher retail sales in Switzerland and solid promotional income, coupled with effective expense control. On a comparable basis, income from operations increased 9.1%. Operating expenses decreased by 1.8% to Ps. 5,007 million, reflecting sustained cost discipline.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1783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5" w:lineRule="exact"/>
        <w:rPr>
          <w:sz w:val="20"/>
          <w:szCs w:val="20"/>
          <w:color w:val="auto"/>
        </w:rPr>
      </w:pPr>
    </w:p>
    <w:p>
      <w:pPr>
        <w:ind w:firstLine="6"/>
        <w:spacing w:after="0" w:line="203" w:lineRule="auto"/>
        <w:tabs>
          <w:tab w:leader="none" w:pos="273"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Same-store Sales reflects a weighted average from our foodservice and retail operations.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6847840</wp:posOffset>
            </wp:positionH>
            <wp:positionV relativeFrom="page">
              <wp:posOffset>574675</wp:posOffset>
            </wp:positionV>
            <wp:extent cx="469265"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69265" cy="368300"/>
                    </a:xfrm>
                    <a:prstGeom prst="rect">
                      <a:avLst/>
                    </a:prstGeom>
                    <a:noFill/>
                  </pic:spPr>
                </pic:pic>
              </a:graphicData>
            </a:graphic>
          </wp:anchor>
        </w:drawing>
        <w:t>HEALTH</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1Q26 Financial Summary - Health</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7800" w:type="dxa"/>
            <w:vAlign w:val="bottom"/>
            <w:gridSpan w:val="7"/>
          </w:tcPr>
          <w:p>
            <w:pPr>
              <w:ind w:left="1660"/>
              <w:spacing w:after="0"/>
              <w:rPr>
                <w:sz w:val="20"/>
                <w:szCs w:val="20"/>
                <w:color w:val="auto"/>
              </w:rPr>
            </w:pPr>
            <w:r>
              <w:rPr>
                <w:rFonts w:ascii="Times New Roman" w:cs="Times New Roman" w:eastAsia="Times New Roman" w:hAnsi="Times New Roman"/>
                <w:sz w:val="18"/>
                <w:szCs w:val="18"/>
                <w:color w:val="auto"/>
              </w:rPr>
              <w:t>Amounts expressed in millions of Mexican Pesos (Ps.) except same-store sales</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71"/>
        </w:trPr>
        <w:tc>
          <w:tcPr>
            <w:tcW w:w="42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1Q25</w:t>
            </w:r>
          </w:p>
        </w:tc>
        <w:tc>
          <w:tcPr>
            <w:tcW w:w="1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Var.</w:t>
            </w:r>
          </w:p>
        </w:tc>
        <w:tc>
          <w:tcPr>
            <w:tcW w:w="3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Comp.</w:t>
            </w:r>
            <w:r>
              <w:rPr>
                <w:rFonts w:ascii="Times New Roman" w:cs="Times New Roman" w:eastAsia="Times New Roman" w:hAnsi="Times New Roman"/>
                <w:sz w:val="29"/>
                <w:szCs w:val="29"/>
                <w:b w:val="1"/>
                <w:bCs w:val="1"/>
                <w:color w:val="auto"/>
                <w:vertAlign w:val="superscript"/>
              </w:rPr>
              <w:t>(A)</w:t>
            </w:r>
          </w:p>
        </w:tc>
        <w:tc>
          <w:tcPr>
            <w:tcW w:w="200" w:type="dxa"/>
            <w:vAlign w:val="bottom"/>
            <w:tcBorders>
              <w:bottom w:val="single" w:sz="8" w:color="CCEEFF"/>
            </w:tcBorders>
          </w:tcPr>
          <w:p>
            <w:pPr>
              <w:spacing w:after="0"/>
              <w:rPr>
                <w:sz w:val="24"/>
                <w:szCs w:val="24"/>
                <w:color w:val="auto"/>
              </w:rPr>
            </w:pPr>
          </w:p>
        </w:tc>
      </w:tr>
      <w:tr>
        <w:trPr>
          <w:trHeight w:val="204"/>
        </w:trPr>
        <w:tc>
          <w:tcPr>
            <w:tcW w:w="42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101820"/>
              </w:rPr>
              <w:t>Same-store sales (thousands of Ps.)</w:t>
            </w:r>
          </w:p>
        </w:tc>
        <w:tc>
          <w:tcPr>
            <w:tcW w:w="9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1,035.0</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1,035.1</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7.2%</w:t>
            </w:r>
          </w:p>
        </w:tc>
      </w:tr>
      <w:tr>
        <w:trPr>
          <w:trHeight w:val="211"/>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101820"/>
              </w:rPr>
              <w:t>Total Revenues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Gross Profit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29.4</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(320bps)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Income from Operations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11"/>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101820"/>
              </w:rPr>
              <w:t>Income from Operations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(50bps)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101820"/>
              </w:rPr>
              <w:t>Adjusted EBITDA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r>
      <w:tr>
        <w:trPr>
          <w:trHeight w:val="231"/>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101820"/>
              </w:rPr>
              <w:t>Adjusted EBITDA Margin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9.0</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(10bps)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272415</wp:posOffset>
            </wp:positionV>
            <wp:extent cx="7197090" cy="2043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2043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16"/>
          <w:szCs w:val="16"/>
          <w:color w:val="auto"/>
        </w:rPr>
        <w:t>increased 0.9% in 1Q26 compared to 1Q25, impacted by currency translation effects, but grew 6.5% on a currency-neutral basis. This reflected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positive performance in Colombia retail, Chile and Ecuador on a currency neutral basis, which was partially offset by challenging results in Mexico, primarily due to the closing of 335 stores for the last twelve months. During the quarter, the net store base increased by 24 units, reaching a total of 4,527 locations across our territories as of March 31, 2026. During the last twelve months, there were 67 net closings. Same-store sales remained flat in Mexican pesos and increased 7.2% on a currency-neutral basis despite the underperformance of stores in Mexico, reflecting the strong results of Colombia retail.</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26.2% of total revenues, representing a decrease of 320 basis points, reflecting a reclassification of distribution expenses from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to cost of goods sold; this effect is not reflected in 1Q25. The decrease is also driven by the underperformance of Mexico and an unfavorable product mix in Chile. Gross profit decreased 10.0% compared to 1Q25, reflecting the effects mentioned above. On a comparable basis excluding the effects of this reclassification, the comparable gross profit would have marginally increased by 0.4% in 1Q26 versus the previous year, and the comparable gross profit margin would have contracted 20 basis points from a base of 26.4%.</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represented 3.0% of total revenues, a reduction of 50 basis points from 3.5%. On a comparable basis, income from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contracted by 4.9%, reflecting a negative performance in Chile driven by a stable gross margin and increased expenses relating primarily to labor, as well as ongoing pressure in Mexico. This was partially offset by improved results in Colombia, supported by the expansion of retail stores, and in Ecuador, driven by operating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17837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30" w:lineRule="exact"/>
        <w:rPr>
          <w:sz w:val="20"/>
          <w:szCs w:val="20"/>
          <w:color w:val="auto"/>
        </w:rPr>
      </w:pPr>
    </w:p>
    <w:p>
      <w:pPr>
        <w:ind w:firstLine="6"/>
        <w:spacing w:after="0" w:line="203" w:lineRule="auto"/>
        <w:tabs>
          <w:tab w:leader="none" w:pos="273"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6923405</wp:posOffset>
            </wp:positionH>
            <wp:positionV relativeFrom="page">
              <wp:posOffset>574675</wp:posOffset>
            </wp:positionV>
            <wp:extent cx="393700" cy="477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93700" cy="477520"/>
                    </a:xfrm>
                    <a:prstGeom prst="rect">
                      <a:avLst/>
                    </a:prstGeom>
                    <a:noFill/>
                  </pic:spPr>
                </pic:pic>
              </a:graphicData>
            </a:graphic>
          </wp:anchor>
        </w:drawing>
        <w:t>SPIN</w:t>
      </w:r>
      <w:r>
        <w:rPr>
          <w:rFonts w:ascii="Times New Roman" w:cs="Times New Roman" w:eastAsia="Times New Roman" w:hAnsi="Times New Roman"/>
          <w:sz w:val="29"/>
          <w:szCs w:val="29"/>
          <w:b w:val="1"/>
          <w:bCs w:val="1"/>
          <w:color w:val="auto"/>
          <w:vertAlign w:val="superscript"/>
        </w:rPr>
        <w:t>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 by OXXO</w:t>
      </w:r>
    </w:p>
    <w:p>
      <w:pPr>
        <w:spacing w:after="0" w:line="217"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Spin by OXXO acquired 0.8 million users during the quarter to reach 16.9 million total acquired users in 1Q26, compared to 13.8 million users in 1Q25. This represents an increase of 22.3% YoY and a 1.7% compound monthly growth rate. Active users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represented 65.0% of the total acquired user base representing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18"/>
          <w:szCs w:val="18"/>
          <w:color w:val="auto"/>
        </w:rPr>
        <w:t>22.3% growth YoY and reaching 11.0 million. Total transactions per month increased 60.9%</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YoY to reach an average of 103.0 million per month in 1Q26, reflecting an increase in user engagement.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 Premia</w:t>
      </w:r>
    </w:p>
    <w:p>
      <w:pPr>
        <w:spacing w:after="0" w:line="21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Spin Premia acquired 2.0 million users during the quarter to reach 65.1 million total acquired users in 1Q26, compared to 55.7 million users in 1Q25. This represents an increase of 16.9% YoY and a 1.3% compound monthly growth rate. Active users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represented 43.6% of the total acquired user base representing 12.8% growth YoY and reaching 28.4 million. The average tender during the quarter was 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6979920</wp:posOffset>
            </wp:positionH>
            <wp:positionV relativeFrom="paragraph">
              <wp:posOffset>135890</wp:posOffset>
            </wp:positionV>
            <wp:extent cx="133985"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985" cy="3771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00" w:lineRule="exact"/>
        <w:rPr>
          <w:sz w:val="20"/>
          <w:szCs w:val="20"/>
          <w:color w:val="auto"/>
        </w:rPr>
      </w:pPr>
    </w:p>
    <w:p>
      <w:pPr>
        <w:spacing w:after="0" w:line="2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Coca-Cola FEMSA’s financial results and discussion thereof are incorporated by reference from Coca-Cola FEMSA’s press release, which is attached to this press release or may be accessed by visiting coca-colafemsa.com.</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5" w:lineRule="exact"/>
        <w:rPr>
          <w:sz w:val="20"/>
          <w:szCs w:val="20"/>
          <w:color w:val="auto"/>
        </w:rPr>
      </w:pPr>
    </w:p>
    <w:p>
      <w:pPr>
        <w:jc w:val="both"/>
        <w:ind w:left="320" w:hanging="314"/>
        <w:spacing w:after="0" w:line="257" w:lineRule="auto"/>
        <w:tabs>
          <w:tab w:leader="none" w:pos="32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April 24, 2026</w:t>
      </w:r>
      <w:r>
        <w:rPr>
          <w:rFonts w:ascii="Times New Roman" w:cs="Times New Roman" w:eastAsia="Times New Roman" w:hAnsi="Times New Roman"/>
          <w:sz w:val="18"/>
          <w:szCs w:val="18"/>
          <w:color w:val="auto"/>
        </w:rPr>
        <w:t>, FEMSA announced that it has filed its annual report on Form 20-F for the fiscal year ended December 31, 2025 with the U.S. Securities and Exchange Commission (SEC) followed by its annual report, for the same period, with the Comisión Nacional Bancaria y de Valores (Mexican Banking and Securities Commission) and the Bolsa Mexicana de Valores (Mexican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1783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21" w:lineRule="exact"/>
        <w:rPr>
          <w:sz w:val="20"/>
          <w:szCs w:val="20"/>
          <w:color w:val="auto"/>
        </w:rPr>
      </w:pPr>
    </w:p>
    <w:p>
      <w:pPr>
        <w:ind w:left="120" w:hanging="114"/>
        <w:spacing w:after="0"/>
        <w:tabs>
          <w:tab w:leader="none" w:pos="120" w:val="left"/>
        </w:tabs>
        <w:numPr>
          <w:ilvl w:val="0"/>
          <w:numId w:val="1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Spin results are included within the Other business segment</w:t>
      </w:r>
    </w:p>
    <w:p>
      <w:pPr>
        <w:ind w:left="120" w:hanging="114"/>
        <w:spacing w:after="0" w:line="180" w:lineRule="auto"/>
        <w:tabs>
          <w:tab w:leader="none" w:pos="1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Active User for Spin by OXXO: Any user with a balance or that has transacted within the last 56 days.</w:t>
      </w:r>
    </w:p>
    <w:p>
      <w:pPr>
        <w:ind w:left="120" w:hanging="114"/>
        <w:spacing w:after="0" w:line="180" w:lineRule="auto"/>
        <w:tabs>
          <w:tab w:leader="none" w:pos="1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Represents the growth of average monthly transactions in 1Q26 compared to average monthly transactions in 1Q25.</w:t>
      </w:r>
    </w:p>
    <w:p>
      <w:pPr>
        <w:spacing w:after="0" w:line="42" w:lineRule="exact"/>
        <w:rPr>
          <w:rFonts w:ascii="Times New Roman" w:cs="Times New Roman" w:eastAsia="Times New Roman" w:hAnsi="Times New Roman"/>
          <w:sz w:val="29"/>
          <w:szCs w:val="29"/>
          <w:color w:val="auto"/>
          <w:vertAlign w:val="superscript"/>
        </w:rPr>
      </w:pPr>
    </w:p>
    <w:p>
      <w:pPr>
        <w:spacing w:after="0" w:line="237"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Active User for Spin Premia: User that has transacted at least once with OXXO Premia within the last 90 days.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2" w:name="page13"/>
    <w:bookmarkEnd w:id="12"/>
    <w:p>
      <w:pPr>
        <w:ind w:left="320"/>
        <w:spacing w:after="0"/>
        <w:rPr>
          <w:sz w:val="20"/>
          <w:szCs w:val="20"/>
          <w:color w:val="auto"/>
        </w:rPr>
      </w:pPr>
      <w:r>
        <w:rPr>
          <w:rFonts w:ascii="Times New Roman" w:cs="Times New Roman" w:eastAsia="Times New Roman" w:hAnsi="Times New Roman"/>
          <w:sz w:val="18"/>
          <w:szCs w:val="18"/>
          <w:color w:val="auto"/>
        </w:rPr>
        <w:t xml:space="preserve">These reports are available on FEMSA's investor relations website at </w:t>
      </w:r>
      <w:r>
        <w:rPr>
          <w:rFonts w:ascii="Times New Roman" w:cs="Times New Roman" w:eastAsia="Times New Roman" w:hAnsi="Times New Roman"/>
          <w:sz w:val="18"/>
          <w:szCs w:val="18"/>
          <w:u w:val="single" w:color="auto"/>
          <w:color w:val="auto"/>
        </w:rPr>
        <w:t>http://ir.femsa.com</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Shareholders may receive a hard copy of the report, which includes FEMSA’s audited financial statements, free of charge through the contact listed below.</w:t>
      </w:r>
    </w:p>
    <w:p>
      <w:pPr>
        <w:spacing w:after="0" w:line="236" w:lineRule="exact"/>
        <w:rPr>
          <w:sz w:val="20"/>
          <w:szCs w:val="20"/>
          <w:color w:val="auto"/>
        </w:rPr>
      </w:pPr>
    </w:p>
    <w:p>
      <w:pPr>
        <w:jc w:val="both"/>
        <w:ind w:left="320" w:hanging="314"/>
        <w:spacing w:after="0" w:line="249" w:lineRule="auto"/>
        <w:tabs>
          <w:tab w:leader="none" w:pos="3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April 12, 2026</w:t>
      </w:r>
      <w:r>
        <w:rPr>
          <w:rFonts w:ascii="Times New Roman" w:cs="Times New Roman" w:eastAsia="Times New Roman" w:hAnsi="Times New Roman"/>
          <w:sz w:val="18"/>
          <w:szCs w:val="18"/>
          <w:color w:val="auto"/>
        </w:rPr>
        <w:t>, Cruz Verde Colombia (CV), FEMSA’s health business in Colombia, notified EPS Sanitas its decision not to renew the medication dispensing agreement under the Mandatory Health Plan (Plan de Beneficios en Salud – PBS), which is scheduled to expire on September 30, 2026. The notification was made in accordance with the contractual terms and applicable regulations and provided advance notice to EPS Sanitas to facilitate an orderly transition. Until the expiration of the agreement, and subject to EPS Sanitas’s compliance with its contractual obligations, Cruz Verde Colombia expects to maintain continuity in the dispensing of medications under the PBS and to support the transition to any newly designated dispensing providers, in coordination with EPS Sanitas and the relevant authorities.</w:t>
      </w:r>
    </w:p>
    <w:p>
      <w:pPr>
        <w:spacing w:after="0" w:line="187" w:lineRule="exact"/>
        <w:rPr>
          <w:rFonts w:ascii="Arial" w:cs="Arial" w:eastAsia="Arial" w:hAnsi="Arial"/>
          <w:sz w:val="18"/>
          <w:szCs w:val="18"/>
          <w:b w:val="1"/>
          <w:bCs w:val="1"/>
          <w:color w:val="auto"/>
        </w:rPr>
      </w:pPr>
    </w:p>
    <w:p>
      <w:pPr>
        <w:jc w:val="both"/>
        <w:ind w:left="320" w:hanging="314"/>
        <w:spacing w:after="0" w:line="257" w:lineRule="auto"/>
        <w:tabs>
          <w:tab w:leader="none" w:pos="3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March 27, 2026</w:t>
      </w:r>
      <w:r>
        <w:rPr>
          <w:rFonts w:ascii="Times New Roman" w:cs="Times New Roman" w:eastAsia="Times New Roman" w:hAnsi="Times New Roman"/>
          <w:sz w:val="18"/>
          <w:szCs w:val="18"/>
          <w:color w:val="auto"/>
        </w:rPr>
        <w:t>, FEMSA announced that it held its Annual Ordinary and Extraordinary Shareholders’ Meeting today (the “Shareholders’ Meetings”), during which the shareholders approved the amendment to Article 6 of the Company's Bylaws, the consolidated financial statements for the year ended December 31, 2025, the 2025 CEO’s annual report and the opinion of the Board of Directors for the year 2025.</w:t>
      </w:r>
    </w:p>
    <w:p>
      <w:pPr>
        <w:spacing w:after="0" w:line="180" w:lineRule="exact"/>
        <w:rPr>
          <w:rFonts w:ascii="Arial" w:cs="Arial" w:eastAsia="Arial" w:hAnsi="Arial"/>
          <w:sz w:val="18"/>
          <w:szCs w:val="18"/>
          <w:b w:val="1"/>
          <w:bCs w:val="1"/>
          <w:color w:val="auto"/>
        </w:rPr>
      </w:pPr>
    </w:p>
    <w:p>
      <w:pPr>
        <w:ind w:left="320"/>
        <w:spacing w:after="0" w:line="269"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Annual Ordinary Shareholders’ Meeting elected the members of the board of directors and the members of each of the Audit Committee, the Corporate Practices and Nominations Committee and the Operations and Strategy Committee of the Board for 2026.</w:t>
      </w:r>
    </w:p>
    <w:p>
      <w:pPr>
        <w:spacing w:after="0" w:line="16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The list of the elected directors can be found in the following link: </w:t>
      </w:r>
      <w:r>
        <w:rPr>
          <w:rFonts w:ascii="Times New Roman" w:cs="Times New Roman" w:eastAsia="Times New Roman" w:hAnsi="Times New Roman"/>
          <w:sz w:val="18"/>
          <w:szCs w:val="18"/>
          <w:u w:val="single" w:color="auto"/>
          <w:color w:val="auto"/>
        </w:rPr>
        <w:t>https://femsa.gcs-web.com/corporate-governance/board-of-directors</w:t>
      </w:r>
      <w:r>
        <w:rPr>
          <w:rFonts w:ascii="Times New Roman" w:cs="Times New Roman" w:eastAsia="Times New Roman" w:hAnsi="Times New Roman"/>
          <w:sz w:val="18"/>
          <w:szCs w:val="18"/>
          <w:color w:val="auto"/>
        </w:rPr>
        <w:t>.</w:t>
      </w:r>
    </w:p>
    <w:p>
      <w:pPr>
        <w:spacing w:after="0" w:line="215" w:lineRule="exact"/>
        <w:rPr>
          <w:rFonts w:ascii="Arial" w:cs="Arial" w:eastAsia="Arial" w:hAnsi="Arial"/>
          <w:sz w:val="18"/>
          <w:szCs w:val="18"/>
          <w:b w:val="1"/>
          <w:bCs w:val="1"/>
          <w:color w:val="auto"/>
        </w:rPr>
      </w:pPr>
    </w:p>
    <w:p>
      <w:pPr>
        <w:jc w:val="both"/>
        <w:ind w:left="320"/>
        <w:spacing w:after="0" w:line="25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Annual Ordinary Shareholders’ Meeting declared and approved the payment of an ordinary cash dividend of Ps. 0.2475 per each Series "D" share and Ps. 0.1980 per each Series "B" share, which amounts to Ps. 4.7520 per "BD" Unit (BMV: FEMSAUBD) or Ps. 47.520 per ADS (NYSE: FMX), and Ps. 3.9600 per "B" Unit (BMV: FEMSAUB), to be paid in four equal installments, payable on April 23 of 2026, July 16 of 2026, October 15 of 2026 and January 14 of 2027.</w:t>
      </w:r>
    </w:p>
    <w:p>
      <w:pPr>
        <w:spacing w:after="0" w:line="182" w:lineRule="exact"/>
        <w:rPr>
          <w:rFonts w:ascii="Arial" w:cs="Arial" w:eastAsia="Arial" w:hAnsi="Arial"/>
          <w:sz w:val="18"/>
          <w:szCs w:val="18"/>
          <w:b w:val="1"/>
          <w:bCs w:val="1"/>
          <w:color w:val="auto"/>
        </w:rPr>
      </w:pPr>
    </w:p>
    <w:p>
      <w:pPr>
        <w:jc w:val="both"/>
        <w:ind w:left="320"/>
        <w:spacing w:after="0" w:line="253"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Additionally, the Annual Ordinary Shareholders’ Meeting declared and approved the payment of an extraordinary cash dividend of Ps. 0.41975 per each Series "D" share and Ps. 0.335825 per each Series "B" share, which amounts to Ps. 8.0597 per "BD" Unit (BMV: FEMSAUBD) or Ps. 80.597 per ADS (NYSE: FMX), and Ps. 6.7165 per "B" Unit (BMV: FEMSAUB), to be paid in four equal installments, payable on payable on April 23 of 2026, July 16 of 2026, October 15 of 2026 and January 14 of 2027.</w:t>
      </w:r>
    </w:p>
    <w:p>
      <w:pPr>
        <w:spacing w:after="0" w:line="182" w:lineRule="exact"/>
        <w:rPr>
          <w:rFonts w:ascii="Arial" w:cs="Arial" w:eastAsia="Arial" w:hAnsi="Arial"/>
          <w:sz w:val="18"/>
          <w:szCs w:val="18"/>
          <w:b w:val="1"/>
          <w:bCs w:val="1"/>
          <w:color w:val="auto"/>
        </w:rPr>
      </w:pPr>
    </w:p>
    <w:p>
      <w:pPr>
        <w:ind w:left="320"/>
        <w:spacing w:after="0" w:line="269"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For additional information, please refer to the Summary of Resolutions in the Shareholders Meeting section of our corporate website at: </w:t>
      </w:r>
      <w:r>
        <w:rPr>
          <w:rFonts w:ascii="Times New Roman" w:cs="Times New Roman" w:eastAsia="Times New Roman" w:hAnsi="Times New Roman"/>
          <w:sz w:val="18"/>
          <w:szCs w:val="18"/>
          <w:u w:val="single" w:color="auto"/>
          <w:color w:val="auto"/>
        </w:rPr>
        <w:t>https://femsa.gcsweb.com/shareholder-meeting-information</w:t>
      </w:r>
      <w:r>
        <w:rPr>
          <w:rFonts w:ascii="Times New Roman" w:cs="Times New Roman" w:eastAsia="Times New Roman" w:hAnsi="Times New Roman"/>
          <w:sz w:val="18"/>
          <w:szCs w:val="18"/>
          <w:color w:val="auto"/>
        </w:rPr>
        <w:t>.</w:t>
      </w:r>
    </w:p>
    <w:p>
      <w:pPr>
        <w:spacing w:after="0" w:line="167" w:lineRule="exact"/>
        <w:rPr>
          <w:rFonts w:ascii="Arial" w:cs="Arial" w:eastAsia="Arial" w:hAnsi="Arial"/>
          <w:sz w:val="18"/>
          <w:szCs w:val="18"/>
          <w:b w:val="1"/>
          <w:bCs w:val="1"/>
          <w:color w:val="auto"/>
        </w:rPr>
      </w:pPr>
    </w:p>
    <w:p>
      <w:pPr>
        <w:ind w:left="320" w:hanging="314"/>
        <w:spacing w:after="0" w:line="271" w:lineRule="auto"/>
        <w:tabs>
          <w:tab w:leader="none" w:pos="320" w:val="left"/>
        </w:tabs>
        <w:numPr>
          <w:ilvl w:val="0"/>
          <w:numId w:val="1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b w:val="1"/>
          <w:bCs w:val="1"/>
          <w:color w:val="auto"/>
        </w:rPr>
        <w:t>March 12, 2026</w:t>
      </w:r>
      <w:r>
        <w:rPr>
          <w:rFonts w:ascii="Times New Roman" w:cs="Times New Roman" w:eastAsia="Times New Roman" w:hAnsi="Times New Roman"/>
          <w:sz w:val="18"/>
          <w:szCs w:val="18"/>
          <w:color w:val="auto"/>
        </w:rPr>
        <w:t>, FEMSA announced the closing of the merger between BradyPLUS and Imperial Dade through an all-equity merger transaction. FEMSA remains invested in the combined company with approximately 19% ownership and representation on its board of managers.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17"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8"/>
          <w:szCs w:val="18"/>
          <w:color w:val="auto"/>
        </w:rPr>
        <w:t>Our first quarter 2026 Conference Call will be held on: Thursday, April 30, 2026, 11:00 AM Eastern Time (9:00 AM Mexico City Time). The conference call will be live through our Zoom link. For registration, please visit:</w:t>
      </w:r>
    </w:p>
    <w:p>
      <w:pPr>
        <w:spacing w:after="0" w:line="167" w:lineRule="exact"/>
        <w:rPr>
          <w:sz w:val="20"/>
          <w:szCs w:val="20"/>
          <w:color w:val="auto"/>
        </w:rPr>
      </w:pPr>
    </w:p>
    <w:p>
      <w:pPr>
        <w:ind w:left="3720"/>
        <w:spacing w:after="0"/>
        <w:tabs>
          <w:tab w:leader="none" w:pos="5440" w:val="left"/>
        </w:tabs>
        <w:rPr>
          <w:sz w:val="20"/>
          <w:szCs w:val="20"/>
          <w:color w:val="auto"/>
        </w:rPr>
      </w:pPr>
      <w:r>
        <w:rPr>
          <w:rFonts w:ascii="Times New Roman" w:cs="Times New Roman" w:eastAsia="Times New Roman" w:hAnsi="Times New Roman"/>
          <w:sz w:val="18"/>
          <w:szCs w:val="18"/>
          <w:b w:val="1"/>
          <w:bCs w:val="1"/>
          <w:u w:val="single" w:color="auto"/>
          <w:color w:val="auto"/>
        </w:rPr>
        <w:t>Registration:</w:t>
      </w:r>
      <w:r>
        <w:rPr>
          <w:sz w:val="20"/>
          <w:szCs w:val="20"/>
          <w:color w:val="auto"/>
        </w:rPr>
        <w:tab/>
      </w:r>
      <w:r>
        <w:rPr>
          <w:rFonts w:ascii="Times New Roman" w:cs="Times New Roman" w:eastAsia="Times New Roman" w:hAnsi="Times New Roman"/>
          <w:sz w:val="18"/>
          <w:szCs w:val="18"/>
          <w:u w:val="single" w:color="auto"/>
          <w:color w:val="auto"/>
        </w:rPr>
        <w:t>https://bit.ly/FEMSA__1Q26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are unable to participate live, the conference call audio will be available on </w:t>
      </w:r>
      <w:r>
        <w:rPr>
          <w:rFonts w:ascii="Times New Roman" w:cs="Times New Roman" w:eastAsia="Times New Roman" w:hAnsi="Times New Roman"/>
          <w:sz w:val="18"/>
          <w:szCs w:val="18"/>
          <w:u w:val="single" w:color="auto"/>
          <w:color w:val="auto"/>
        </w:rPr>
        <w:t>https://femsa.gcs-web.com/financial-reports/quarterly-results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FEMSA</w:t>
      </w:r>
    </w:p>
    <w:p>
      <w:pPr>
        <w:spacing w:after="0" w:line="2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 w:name="page14"/>
    <w:bookmarkEnd w:id="13"/>
    <w:p>
      <w:pPr>
        <w:ind w:left="100" w:right="400"/>
        <w:spacing w:after="0" w:line="26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207010</wp:posOffset>
            </wp:positionH>
            <wp:positionV relativeFrom="page">
              <wp:posOffset>574675</wp:posOffset>
            </wp:positionV>
            <wp:extent cx="7135495" cy="418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418465"/>
                    </a:xfrm>
                    <a:prstGeom prst="rect">
                      <a:avLst/>
                    </a:prstGeom>
                    <a:noFill/>
                  </pic:spPr>
                </pic:pic>
              </a:graphicData>
            </a:graphic>
          </wp:anchor>
        </w:drawing>
        <w:t>The translations of Mexican pesos into US dollars are included solely for the convenience of the reader, using the noon buying rate for Mexican pesos as published by the Federal Reserve Bank of New York on March 31, 2026, which was 18.0327 Mexican pesos per US dollar.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report may contain certain forward-looking statements concerning our future performance that should be considered as good faith estimates made by us. These forward-looking statements reflect management’s expectations and are based upon currently available data. Actual results are subject to future events and uncertainties, which could materially impact our actual performance.</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consolidated financial statements as of and for the year ended December 31, 2026, are not yet available, and the independent audit of those financial statements is ongoing and has not yet been completed. The unaudited preliminary financial information as of and for the year ended December 31, 2026, presented herein, is preliminary and subject to change as we complete our financial closing procedures and prepare our consolidated financial statements, and as our independent registered public accounting firm completes its audit of such consolidated financial statements. As of the date of this release, our independent registered public accounting firm has not expressed an opinion or any other form of assurance on any financial information as of or for the year ended December 31, 2026, or on our internal control over financial reporting as of December 31, 2026. Our audited consolidated financial statements may differ materially from this preliminary information and will also include notes providing additional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w:t>
      </w:r>
    </w:p>
    <w:p>
      <w:pPr>
        <w:spacing w:after="0" w:line="2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“comparable” term means, with respect to a year-over-year comparison, the change of a given measure excluding the effects of: (i) mergers, acquisitions, and divestitures; and (ii) translation effects resulting from exchange rate movements. In preparing this measure, management has used its best judgment, estimates, and assumptions to maintain comparability.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 pages of tables to follow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FEMSA – Consolidated Income Statement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3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Comp.</w:t>
            </w:r>
            <w:r>
              <w:rPr>
                <w:rFonts w:ascii="Times New Roman" w:cs="Times New Roman" w:eastAsia="Times New Roman" w:hAnsi="Times New Roman"/>
                <w:sz w:val="29"/>
                <w:szCs w:val="29"/>
                <w:b w:val="1"/>
                <w:bCs w:val="1"/>
                <w:color w:val="auto"/>
                <w:vertAlign w:val="superscript"/>
              </w:rPr>
              <w:t>(A)</w:t>
            </w:r>
          </w:p>
        </w:tc>
        <w:tc>
          <w:tcPr>
            <w:tcW w:w="0" w:type="dxa"/>
            <w:vAlign w:val="bottom"/>
          </w:tcPr>
          <w:p>
            <w:pPr>
              <w:spacing w:after="0"/>
              <w:rPr>
                <w:sz w:val="1"/>
                <w:szCs w:val="1"/>
                <w:color w:val="auto"/>
              </w:rPr>
            </w:pPr>
          </w:p>
        </w:tc>
      </w:tr>
      <w:tr>
        <w:trPr>
          <w:trHeight w:val="231"/>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440" w:type="dxa"/>
            <w:vAlign w:val="bottom"/>
            <w:gridSpan w:val="2"/>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 Var.</w:t>
            </w: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60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207,784</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195,819</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123,690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0" w:type="dxa"/>
            <w:vAlign w:val="bottom"/>
            <w:tcBorders>
              <w:top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84,094</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40.5</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78,918</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40.3</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gridSpan w:val="2"/>
          </w:tcPr>
          <w:p>
            <w:pPr>
              <w:ind w:left="160"/>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10,195</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9,967</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59,433</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7.2</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6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operating expenses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600" w:type="dxa"/>
            <w:vAlign w:val="bottom"/>
            <w:gridSpan w:val="2"/>
          </w:tcPr>
          <w:p>
            <w:pPr>
              <w:spacing w:after="0" w:line="278" w:lineRule="exact"/>
              <w:rPr>
                <w:sz w:val="20"/>
                <w:szCs w:val="20"/>
                <w:color w:val="auto"/>
              </w:rPr>
            </w:pPr>
            <w:r>
              <w:rPr>
                <w:rFonts w:ascii="Times New Roman" w:cs="Times New Roman" w:eastAsia="Times New Roman" w:hAnsi="Times New Roman"/>
                <w:sz w:val="18"/>
                <w:szCs w:val="18"/>
                <w:color w:val="auto"/>
              </w:rPr>
              <w:t xml:space="preserve">(income), net </w:t>
            </w:r>
            <w:r>
              <w:rPr>
                <w:rFonts w:ascii="Times New Roman" w:cs="Times New Roman" w:eastAsia="Times New Roman" w:hAnsi="Times New Roman"/>
                <w:sz w:val="29"/>
                <w:szCs w:val="2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(522.2)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 xml:space="preserve">Income from operations </w:t>
            </w:r>
            <w:r>
              <w:rPr>
                <w:rFonts w:ascii="Times New Roman" w:cs="Times New Roman" w:eastAsia="Times New Roman" w:hAnsi="Times New Roman"/>
                <w:sz w:val="29"/>
                <w:szCs w:val="29"/>
                <w:color w:val="auto"/>
                <w:vertAlign w:val="superscript"/>
              </w:rPr>
              <w:t>(2)</w:t>
            </w: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600" w:type="dxa"/>
            <w:vAlign w:val="bottom"/>
            <w:gridSpan w:val="2"/>
            <w:vMerge w:val="continue"/>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73"/>
        </w:trPr>
        <w:tc>
          <w:tcPr>
            <w:tcW w:w="260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Other non-operating expenses</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(11,925)</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(1,536.7)</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600" w:type="dxa"/>
            <w:vAlign w:val="bottom"/>
            <w:tcBorders>
              <w:top w:val="single" w:sz="8" w:color="CCEEFF"/>
            </w:tcBorders>
            <w:gridSpan w:val="2"/>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5,470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5,180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1,173</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2,134</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(45.0)</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4,296</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3,046</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41.0</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(201.1)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gridSpan w:val="2"/>
            <w:shd w:val="clear" w:color="auto" w:fill="CCEEFF"/>
          </w:tcPr>
          <w:p>
            <w:pPr>
              <w:ind w:left="160"/>
              <w:spacing w:after="0" w:line="193" w:lineRule="exact"/>
              <w:rPr>
                <w:sz w:val="20"/>
                <w:szCs w:val="20"/>
                <w:color w:val="auto"/>
              </w:rPr>
            </w:pPr>
            <w:r>
              <w:rPr>
                <w:rFonts w:ascii="Times New Roman" w:cs="Times New Roman" w:eastAsia="Times New Roman" w:hAnsi="Times New Roman"/>
                <w:sz w:val="18"/>
                <w:szCs w:val="18"/>
                <w:color w:val="auto"/>
              </w:rPr>
              <w:t>Other financial expenses</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net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(108.0)</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Financing expenses, net</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4,837</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1,412</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242.6</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600" w:type="dxa"/>
            <w:vAlign w:val="bottom"/>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Income before income tax and</w:t>
            </w: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participation in associates results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21,402</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11,321</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89.0</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3,664</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4,780</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Participation in associates results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12.5</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60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Continued Operations net income</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17,639</w:t>
            </w:r>
          </w:p>
        </w:tc>
        <w:tc>
          <w:tcPr>
            <w:tcW w:w="1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6,453</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173.3</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600" w:type="dxa"/>
            <w:vAlign w:val="bottom"/>
            <w:tcBorders>
              <w:top w:val="single" w:sz="8" w:color="CCEEFF"/>
            </w:tcBorders>
            <w:gridSpan w:val="2"/>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Discontinued Operations net</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Consolidated net income (Loss)</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17,639</w:t>
            </w:r>
          </w:p>
        </w:tc>
        <w:tc>
          <w:tcPr>
            <w:tcW w:w="24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8,942</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97.3</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majority income</w:t>
            </w:r>
          </w:p>
        </w:tc>
        <w:tc>
          <w:tcPr>
            <w:tcW w:w="12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14,826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5,804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155.4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minority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2,813</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3,136</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Operative Cash Flow &amp; CAPEX</w:t>
            </w: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 Comp.</w:t>
            </w:r>
            <w:r>
              <w:rPr>
                <w:rFonts w:ascii="Times New Roman" w:cs="Times New Roman" w:eastAsia="Times New Roman" w:hAnsi="Times New Roman"/>
                <w:sz w:val="29"/>
                <w:szCs w:val="29"/>
                <w:b w:val="1"/>
                <w:bCs w:val="1"/>
                <w:color w:val="auto"/>
                <w:vertAlign w:val="superscript"/>
              </w:rPr>
              <w:t>(A)</w:t>
            </w:r>
          </w:p>
        </w:tc>
        <w:tc>
          <w:tcPr>
            <w:tcW w:w="0" w:type="dxa"/>
            <w:vAlign w:val="bottom"/>
          </w:tcPr>
          <w:p>
            <w:pPr>
              <w:spacing w:after="0"/>
              <w:rPr>
                <w:sz w:val="1"/>
                <w:szCs w:val="1"/>
                <w:color w:val="auto"/>
              </w:rPr>
            </w:pPr>
          </w:p>
        </w:tc>
      </w:tr>
      <w:tr>
        <w:trPr>
          <w:trHeight w:val="231"/>
        </w:trPr>
        <w:tc>
          <w:tcPr>
            <w:tcW w:w="2600" w:type="dxa"/>
            <w:vAlign w:val="bottom"/>
            <w:gridSpan w:val="2"/>
            <w:vMerge w:val="continue"/>
          </w:tcPr>
          <w:p>
            <w:pPr>
              <w:spacing w:after="0"/>
              <w:rPr>
                <w:sz w:val="20"/>
                <w:szCs w:val="20"/>
                <w:color w:val="auto"/>
              </w:rPr>
            </w:pP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24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44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 Var.</w:t>
            </w:r>
          </w:p>
        </w:tc>
        <w:tc>
          <w:tcPr>
            <w:tcW w:w="13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6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10,455</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9,732</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Amortization &amp; other non-cash</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3,358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67.4</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28,127</w:t>
            </w:r>
          </w:p>
        </w:tc>
        <w:tc>
          <w:tcPr>
            <w:tcW w:w="2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25,302</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11.2</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17837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39" w:lineRule="exact"/>
        <w:rPr>
          <w:sz w:val="20"/>
          <w:szCs w:val="20"/>
          <w:color w:val="auto"/>
        </w:rPr>
      </w:pPr>
    </w:p>
    <w:p>
      <w:pPr>
        <w:ind w:right="640" w:firstLine="6"/>
        <w:spacing w:after="0"/>
        <w:tabs>
          <w:tab w:leader="none" w:pos="247" w:val="left"/>
        </w:tabs>
        <w:numPr>
          <w:ilvl w:val="0"/>
          <w:numId w:val="2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Please refer to page 11 for our definition of “comparable” and a description of the factors affecting the comparability of our financial and operating performance.</w:t>
      </w:r>
    </w:p>
    <w:p>
      <w:pPr>
        <w:spacing w:after="0" w:line="140" w:lineRule="exact"/>
        <w:rPr>
          <w:rFonts w:ascii="Times New Roman" w:cs="Times New Roman" w:eastAsia="Times New Roman" w:hAnsi="Times New Roman"/>
          <w:sz w:val="26"/>
          <w:szCs w:val="26"/>
          <w:color w:val="auto"/>
          <w:vertAlign w:val="superscript"/>
        </w:rPr>
      </w:pPr>
    </w:p>
    <w:p>
      <w:pPr>
        <w:spacing w:after="0" w:line="21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Other operating expenses (income), net = other operating expenses (income) +(-) equity method from operated associates.</w:t>
      </w:r>
    </w:p>
    <w:p>
      <w:pPr>
        <w:spacing w:after="0" w:line="23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Income from operations = gross profit – administrative and selling expenses – other operating expenses (income), net.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FEMSA – Consolidated Balance Sheet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Mar-26</w:t>
            </w:r>
          </w:p>
        </w:tc>
        <w:tc>
          <w:tcPr>
            <w:tcW w:w="240" w:type="dxa"/>
            <w:vAlign w:val="bottom"/>
            <w:tcBorders>
              <w:bottom w:val="single" w:sz="8" w:color="CCEEFF"/>
            </w:tcBorders>
            <w:gridSpan w:val="3"/>
          </w:tcPr>
          <w:p>
            <w:pPr>
              <w:spacing w:after="0"/>
              <w:rPr>
                <w:sz w:val="20"/>
                <w:szCs w:val="20"/>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Mar-25</w:t>
            </w:r>
          </w:p>
        </w:tc>
        <w:tc>
          <w:tcPr>
            <w:tcW w:w="220" w:type="dxa"/>
            <w:vAlign w:val="bottom"/>
            <w:tcBorders>
              <w:bottom w:val="single" w:sz="8" w:color="CCEEFF"/>
            </w:tcBorders>
            <w:gridSpan w:val="3"/>
          </w:tcPr>
          <w:p>
            <w:pPr>
              <w:spacing w:after="0"/>
              <w:rPr>
                <w:sz w:val="20"/>
                <w:szCs w:val="20"/>
                <w:color w:val="auto"/>
              </w:rPr>
            </w:pPr>
          </w:p>
        </w:tc>
        <w:tc>
          <w:tcPr>
            <w:tcW w:w="12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 Inc.</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106,905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107,980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48,319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67,656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69,452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 Available for sale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283,117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in shares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25,726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189,674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 of use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102,556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99,543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1"/>
        </w:trPr>
        <w:tc>
          <w:tcPr>
            <w:tcW w:w="2820" w:type="dxa"/>
            <w:vAlign w:val="bottom"/>
            <w:gridSpan w:val="3"/>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145,503</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52,919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52,315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4"/>
        </w:trPr>
        <w:tc>
          <w:tcPr>
            <w:tcW w:w="2820" w:type="dxa"/>
            <w:vAlign w:val="bottom"/>
            <w:tcBorders>
              <w:top w:val="single" w:sz="8" w:color="CCEEFF"/>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801,333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795,878</w:t>
            </w: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43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Mar-26</w:t>
            </w:r>
          </w:p>
        </w:tc>
        <w:tc>
          <w:tcPr>
            <w:tcW w:w="240" w:type="dxa"/>
            <w:vAlign w:val="bottom"/>
            <w:tcBorders>
              <w:bottom w:val="single" w:sz="8" w:color="CCEEFF"/>
            </w:tcBorders>
            <w:gridSpan w:val="3"/>
          </w:tcPr>
          <w:p>
            <w:pPr>
              <w:spacing w:after="0"/>
              <w:rPr>
                <w:sz w:val="24"/>
                <w:szCs w:val="24"/>
                <w:color w:val="auto"/>
              </w:rPr>
            </w:pPr>
          </w:p>
        </w:tc>
        <w:tc>
          <w:tcPr>
            <w:tcW w:w="12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Mar-25</w:t>
            </w:r>
          </w:p>
        </w:tc>
        <w:tc>
          <w:tcPr>
            <w:tcW w:w="220" w:type="dxa"/>
            <w:vAlign w:val="bottom"/>
            <w:tcBorders>
              <w:bottom w:val="single" w:sz="8" w:color="CCEEFF"/>
            </w:tcBorders>
            <w:gridSpan w:val="3"/>
          </w:tcPr>
          <w:p>
            <w:pPr>
              <w:spacing w:after="0"/>
              <w:rPr>
                <w:sz w:val="24"/>
                <w:szCs w:val="24"/>
                <w:color w:val="auto"/>
              </w:rPr>
            </w:pPr>
          </w:p>
        </w:tc>
        <w:tc>
          <w:tcPr>
            <w:tcW w:w="12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 Inc.</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2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Bank loans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5,862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14,812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maturities of long-term leases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15,920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15,188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liabilities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172,361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 term liabilities available for sale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210,013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1"/>
        </w:trPr>
        <w:tc>
          <w:tcPr>
            <w:tcW w:w="2820" w:type="dxa"/>
            <w:vAlign w:val="bottom"/>
            <w:gridSpan w:val="3"/>
          </w:tcPr>
          <w:p>
            <w:pPr>
              <w:spacing w:after="0" w:line="251"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9"/>
                <w:szCs w:val="29"/>
                <w:color w:val="auto"/>
                <w:vertAlign w:val="superscript"/>
              </w:rPr>
              <w:t>(2)</w:t>
            </w: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137,330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126,992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97,814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94,703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1"/>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Laboral obligations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10,791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10,719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4"/>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24,100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4"/>
        </w:trPr>
        <w:tc>
          <w:tcPr>
            <w:tcW w:w="282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507,031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466,527</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329,351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4"/>
        </w:trPr>
        <w:tc>
          <w:tcPr>
            <w:tcW w:w="438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b w:val="1"/>
                <w:bCs w:val="1"/>
                <w:color w:val="auto"/>
                <w:w w:val="97"/>
              </w:rPr>
              <w:t>TOTAL LIABILITIES AND STOCKHOLERS’ EQUITY</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801,333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795,878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DEBT MIX </w:t>
            </w:r>
            <w:r>
              <w:rPr>
                <w:rFonts w:ascii="Times New Roman" w:cs="Times New Roman" w:eastAsia="Times New Roman" w:hAnsi="Times New Roman"/>
                <w:sz w:val="29"/>
                <w:szCs w:val="29"/>
                <w:b w:val="1"/>
                <w:bCs w:val="1"/>
                <w:color w:val="auto"/>
                <w:vertAlign w:val="superscript"/>
              </w:rPr>
              <w:t>(2)</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820" w:type="dxa"/>
            <w:vAlign w:val="bottom"/>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3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Average Rate</w:t>
            </w:r>
          </w:p>
        </w:tc>
        <w:tc>
          <w:tcPr>
            <w:tcW w:w="0" w:type="dxa"/>
            <w:vAlign w:val="bottom"/>
          </w:tcPr>
          <w:p>
            <w:pPr>
              <w:spacing w:after="0"/>
              <w:rPr>
                <w:sz w:val="1"/>
                <w:szCs w:val="1"/>
                <w:color w:val="auto"/>
              </w:rPr>
            </w:pPr>
          </w:p>
        </w:tc>
      </w:tr>
      <w:tr>
        <w:trPr>
          <w:trHeight w:val="204"/>
        </w:trPr>
        <w:tc>
          <w:tcPr>
            <w:tcW w:w="2820" w:type="dxa"/>
            <w:vAlign w:val="bottom"/>
            <w:tcBorders>
              <w:top w:val="single" w:sz="8" w:color="auto"/>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Denominated in:</w:t>
            </w: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Mexican pesos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Dollars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1"/>
        </w:trPr>
        <w:tc>
          <w:tcPr>
            <w:tcW w:w="2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Euros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Swiss Francs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1"/>
        </w:trPr>
        <w:tc>
          <w:tcPr>
            <w:tcW w:w="2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Colombian pesos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1"/>
        </w:trPr>
        <w:tc>
          <w:tcPr>
            <w:tcW w:w="28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Argentine pesos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1"/>
        </w:trPr>
        <w:tc>
          <w:tcPr>
            <w:tcW w:w="28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Brazilian reais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4"/>
        </w:trPr>
        <w:tc>
          <w:tcPr>
            <w:tcW w:w="28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Chilean pesos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4"/>
        </w:trPr>
        <w:tc>
          <w:tcPr>
            <w:tcW w:w="2820" w:type="dxa"/>
            <w:vAlign w:val="bottom"/>
            <w:tcBorders>
              <w:bottom w:val="single" w:sz="8" w:color="CCEEFF"/>
            </w:tcBorders>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debt</w:t>
            </w:r>
          </w:p>
        </w:tc>
        <w:tc>
          <w:tcPr>
            <w:tcW w:w="9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100.0</w:t>
            </w:r>
          </w:p>
        </w:tc>
        <w:tc>
          <w:tcPr>
            <w:tcW w:w="2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71"/>
              </w:rPr>
              <w:t>%</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7.2</w:t>
            </w:r>
          </w:p>
        </w:tc>
        <w:tc>
          <w:tcPr>
            <w:tcW w:w="180" w:type="dxa"/>
            <w:vAlign w:val="bottom"/>
            <w:tcBorders>
              <w:bottom w:val="single" w:sz="8" w:color="CCEE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4"/>
        </w:trPr>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20" w:type="dxa"/>
            <w:vAlign w:val="bottom"/>
            <w:gridSpan w:val="3"/>
          </w:tcPr>
          <w:p>
            <w:pPr>
              <w:spacing w:after="0" w:line="263" w:lineRule="exact"/>
              <w:rPr>
                <w:sz w:val="20"/>
                <w:szCs w:val="20"/>
                <w:color w:val="auto"/>
              </w:rPr>
            </w:pPr>
            <w:r>
              <w:rPr>
                <w:rFonts w:ascii="Times New Roman" w:cs="Times New Roman" w:eastAsia="Times New Roman" w:hAnsi="Times New Roman"/>
                <w:sz w:val="18"/>
                <w:szCs w:val="18"/>
                <w:color w:val="auto"/>
              </w:rPr>
              <w:t xml:space="preserve">Fixed rate </w:t>
            </w:r>
            <w:r>
              <w:rPr>
                <w:rFonts w:ascii="Times New Roman" w:cs="Times New Roman" w:eastAsia="Times New Roman" w:hAnsi="Times New Roman"/>
                <w:sz w:val="29"/>
                <w:szCs w:val="29"/>
                <w:color w:val="auto"/>
                <w:vertAlign w:val="superscript"/>
              </w:rPr>
              <w:t>(2)</w:t>
            </w: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gridSpan w:val="3"/>
            <w:vMerge w:val="restart"/>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 xml:space="preserve">Variable rate </w:t>
            </w:r>
            <w:r>
              <w:rPr>
                <w:rFonts w:ascii="Times New Roman" w:cs="Times New Roman" w:eastAsia="Times New Roman" w:hAnsi="Times New Roman"/>
                <w:sz w:val="29"/>
                <w:szCs w:val="29"/>
                <w:color w:val="auto"/>
                <w:vertAlign w:val="superscript"/>
              </w:rPr>
              <w:t>(2)</w:t>
            </w: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20" w:type="dxa"/>
            <w:vAlign w:val="bottom"/>
            <w:gridSpan w:val="3"/>
            <w:vMerge w:val="continue"/>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DEBT MATURITY PROFILE</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99"/>
              </w:rPr>
              <w:t>2027</w:t>
            </w:r>
          </w:p>
        </w:tc>
        <w:tc>
          <w:tcPr>
            <w:tcW w:w="26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2028</w:t>
            </w: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2029</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 of Total Debt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13.9%</w:t>
            </w: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5" w:lineRule="exact"/>
              <w:rPr>
                <w:sz w:val="20"/>
                <w:szCs w:val="20"/>
                <w:color w:val="auto"/>
              </w:rPr>
            </w:pPr>
            <w:r>
              <w:rPr>
                <w:rFonts w:ascii="Times New Roman" w:cs="Times New Roman" w:eastAsia="Times New Roman" w:hAnsi="Times New Roman"/>
                <w:sz w:val="18"/>
                <w:szCs w:val="18"/>
                <w:color w:val="auto"/>
              </w:rPr>
              <w:t>7.9%</w:t>
            </w:r>
          </w:p>
        </w:tc>
        <w:tc>
          <w:tcPr>
            <w:tcW w:w="1420" w:type="dxa"/>
            <w:vAlign w:val="bottom"/>
            <w:gridSpan w:val="2"/>
            <w:shd w:val="clear" w:color="auto" w:fill="CCEEFF"/>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40" w:type="dxa"/>
            <w:vAlign w:val="bottom"/>
            <w:gridSpan w:val="4"/>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ind w:left="820"/>
              <w:spacing w:after="0" w:line="205" w:lineRule="exact"/>
              <w:rPr>
                <w:sz w:val="20"/>
                <w:szCs w:val="20"/>
                <w:color w:val="auto"/>
              </w:rPr>
            </w:pPr>
            <w:r>
              <w:rPr>
                <w:rFonts w:ascii="Times New Roman" w:cs="Times New Roman" w:eastAsia="Times New Roman" w:hAnsi="Times New Roman"/>
                <w:sz w:val="18"/>
                <w:szCs w:val="18"/>
                <w:color w:val="auto"/>
              </w:rPr>
              <w:t>12.2%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1783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57" w:lineRule="exact"/>
        <w:rPr>
          <w:sz w:val="20"/>
          <w:szCs w:val="20"/>
          <w:color w:val="auto"/>
        </w:rPr>
      </w:pPr>
    </w:p>
    <w:p>
      <w:pPr>
        <w:ind w:left="220" w:hanging="214"/>
        <w:spacing w:after="0"/>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Includes mainly the intangible assets generated by acquisitions.</w:t>
      </w:r>
    </w:p>
    <w:p>
      <w:pPr>
        <w:spacing w:after="0" w:line="41" w:lineRule="exact"/>
        <w:rPr>
          <w:rFonts w:ascii="Times New Roman" w:cs="Times New Roman" w:eastAsia="Times New Roman" w:hAnsi="Times New Roman"/>
          <w:sz w:val="27"/>
          <w:szCs w:val="27"/>
          <w:color w:val="auto"/>
          <w:vertAlign w:val="superscript"/>
        </w:rPr>
      </w:pPr>
    </w:p>
    <w:p>
      <w:pPr>
        <w:ind w:left="220" w:hanging="214"/>
        <w:spacing w:after="0" w:line="181" w:lineRule="auto"/>
        <w:tabs>
          <w:tab w:leader="none" w:pos="22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Includes the effect of derivative financial instruments on long-term debt.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Net Debt &amp; Adjusted EBITDA ex-KOF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US Dollars (US.)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i w:val="1"/>
                <w:iCs w:val="1"/>
                <w:color w:val="auto"/>
              </w:rPr>
              <w:t>(In million of U.S. dollars)</w:t>
            </w:r>
          </w:p>
        </w:tc>
        <w:tc>
          <w:tcPr>
            <w:tcW w:w="4260" w:type="dxa"/>
            <w:vAlign w:val="bottom"/>
            <w:gridSpan w:val="6"/>
            <w:vMerge w:val="restart"/>
          </w:tcPr>
          <w:p>
            <w:pPr>
              <w:jc w:val="right"/>
              <w:ind w:right="800"/>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March 31, 2026</w:t>
            </w:r>
          </w:p>
        </w:tc>
        <w:tc>
          <w:tcPr>
            <w:tcW w:w="0" w:type="dxa"/>
            <w:vAlign w:val="bottom"/>
          </w:tcPr>
          <w:p>
            <w:pPr>
              <w:spacing w:after="0"/>
              <w:rPr>
                <w:sz w:val="1"/>
                <w:szCs w:val="1"/>
                <w:color w:val="auto"/>
              </w:rPr>
            </w:pPr>
          </w:p>
        </w:tc>
      </w:tr>
      <w:tr>
        <w:trPr>
          <w:trHeight w:val="231"/>
        </w:trPr>
        <w:tc>
          <w:tcPr>
            <w:tcW w:w="6980" w:type="dxa"/>
            <w:vAlign w:val="bottom"/>
            <w:gridSpan w:val="2"/>
          </w:tcPr>
          <w:p>
            <w:pPr>
              <w:ind w:left="2120"/>
              <w:spacing w:after="0"/>
              <w:rPr>
                <w:sz w:val="20"/>
                <w:szCs w:val="20"/>
                <w:color w:val="auto"/>
              </w:rPr>
            </w:pPr>
            <w:r>
              <w:rPr>
                <w:rFonts w:ascii="Times New Roman" w:cs="Times New Roman" w:eastAsia="Times New Roman" w:hAnsi="Times New Roman"/>
                <w:sz w:val="18"/>
                <w:szCs w:val="18"/>
                <w:i w:val="1"/>
                <w:iCs w:val="1"/>
                <w:color w:val="auto"/>
              </w:rPr>
              <w:t>Non IFRS Financial data (unaudited)</w:t>
            </w:r>
          </w:p>
        </w:tc>
        <w:tc>
          <w:tcPr>
            <w:tcW w:w="426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280"/>
              <w:spacing w:after="0" w:line="192" w:lineRule="exact"/>
              <w:rPr>
                <w:sz w:val="20"/>
                <w:szCs w:val="20"/>
                <w:color w:val="auto"/>
              </w:rPr>
            </w:pPr>
            <w:r>
              <w:rPr>
                <w:rFonts w:ascii="Times New Roman" w:cs="Times New Roman" w:eastAsia="Times New Roman" w:hAnsi="Times New Roman"/>
                <w:sz w:val="18"/>
                <w:szCs w:val="18"/>
                <w:b w:val="1"/>
                <w:bCs w:val="1"/>
                <w:color w:val="auto"/>
              </w:rPr>
              <w:t>Reported Adj.</w:t>
            </w: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Adj. EBITDA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20" w:type="dxa"/>
            <w:vAlign w:val="bottom"/>
            <w:gridSpan w:val="2"/>
          </w:tcPr>
          <w:p>
            <w:pPr>
              <w:jc w:val="right"/>
              <w:ind w:right="320"/>
              <w:spacing w:after="0" w:line="263" w:lineRule="exact"/>
              <w:rPr>
                <w:sz w:val="20"/>
                <w:szCs w:val="20"/>
                <w:color w:val="auto"/>
              </w:rPr>
            </w:pPr>
            <w:r>
              <w:rPr>
                <w:rFonts w:ascii="Times New Roman" w:cs="Times New Roman" w:eastAsia="Times New Roman" w:hAnsi="Times New Roman"/>
                <w:sz w:val="18"/>
                <w:szCs w:val="18"/>
                <w:b w:val="1"/>
                <w:bCs w:val="1"/>
                <w:color w:val="auto"/>
              </w:rPr>
              <w:t>ex-KOF</w:t>
            </w:r>
            <w:r>
              <w:rPr>
                <w:rFonts w:ascii="Times New Roman" w:cs="Times New Roman" w:eastAsia="Times New Roman" w:hAnsi="Times New Roman"/>
                <w:sz w:val="29"/>
                <w:szCs w:val="29"/>
                <w:b w:val="1"/>
                <w:bCs w:val="1"/>
                <w:color w:val="auto"/>
                <w:vertAlign w:val="superscript"/>
              </w:rPr>
              <w:t>3</w:t>
            </w: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OXXO Mexico, Americas &amp; Mobility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 Division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Envoy Solutions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Coca-Cola FEMSA</w:t>
            </w:r>
            <w:r>
              <w:rPr>
                <w:rFonts w:ascii="Times New Roman" w:cs="Times New Roman" w:eastAsia="Times New Roman" w:hAnsi="Times New Roman"/>
                <w:sz w:val="28"/>
                <w:szCs w:val="28"/>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(3,285)</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line="26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9"/>
                <w:szCs w:val="29"/>
                <w:color w:val="auto"/>
                <w:vertAlign w:val="superscript"/>
              </w:rPr>
              <w:t>2</w:t>
            </w: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980" w:type="dxa"/>
            <w:vAlign w:val="bottom"/>
            <w:gridSpan w:val="2"/>
            <w:vMerge w:val="continue"/>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7,103</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Dividends Received</w:t>
            </w:r>
            <w:r>
              <w:rPr>
                <w:rFonts w:ascii="Times New Roman" w:cs="Times New Roman" w:eastAsia="Times New Roman" w:hAnsi="Times New Roman"/>
                <w:sz w:val="28"/>
                <w:szCs w:val="28"/>
                <w:color w:val="auto"/>
                <w:vertAlign w:val="superscript"/>
              </w:rPr>
              <w:t>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Consolidated ex-KOF</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7,103</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(2,906)</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4,197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18"/>
          <w:szCs w:val="18"/>
          <w:color w:val="auto"/>
        </w:rPr>
        <w:t>Translated to USD for readers’ convenience using the exchange rate published by the Federal Reserve Bank of New York for March 31, 2026 which was 18.0327 MXN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1783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10" w:lineRule="exact"/>
        <w:rPr>
          <w:sz w:val="20"/>
          <w:szCs w:val="20"/>
          <w:color w:val="auto"/>
        </w:rPr>
      </w:pPr>
    </w:p>
    <w:p>
      <w:pPr>
        <w:ind w:left="120" w:hanging="114"/>
        <w:spacing w:after="0"/>
        <w:tabs>
          <w:tab w:leader="none" w:pos="1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Coca-Cola FEMSA adjustment represents 100% of its LTM EBITDA.</w:t>
      </w:r>
    </w:p>
    <w:p>
      <w:pPr>
        <w:ind w:left="120" w:hanging="114"/>
        <w:spacing w:after="0" w:line="180" w:lineRule="auto"/>
        <w:tabs>
          <w:tab w:leader="none" w:pos="1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Includes FEMSA Other Businesses (including Bara and Spin), FEMSA corporate expenses and the effects of consolidation adjustments</w:t>
      </w:r>
    </w:p>
    <w:p>
      <w:pPr>
        <w:spacing w:after="0" w:line="42" w:lineRule="exact"/>
        <w:rPr>
          <w:rFonts w:ascii="Times New Roman" w:cs="Times New Roman" w:eastAsia="Times New Roman" w:hAnsi="Times New Roman"/>
          <w:sz w:val="29"/>
          <w:szCs w:val="29"/>
          <w:color w:val="auto"/>
          <w:vertAlign w:val="superscript"/>
        </w:rPr>
      </w:pPr>
    </w:p>
    <w:p>
      <w:pPr>
        <w:spacing w:after="0" w:line="237"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Reflects cash dividends received from Coca-Cola FEMSA for approximately US$378 mm during the last twelve months.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i w:val="1"/>
                <w:iCs w:val="1"/>
                <w:color w:val="auto"/>
              </w:rPr>
              <w:t>(In million of U.S. dollars)</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w w:val="97"/>
              </w:rPr>
              <w:t>As of March 31, 2026</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980" w:type="dxa"/>
            <w:vAlign w:val="bottom"/>
            <w:gridSpan w:val="2"/>
          </w:tcPr>
          <w:p>
            <w:pPr>
              <w:ind w:left="2120"/>
              <w:spacing w:after="0"/>
              <w:rPr>
                <w:sz w:val="20"/>
                <w:szCs w:val="20"/>
                <w:color w:val="auto"/>
              </w:rPr>
            </w:pPr>
            <w:r>
              <w:rPr>
                <w:rFonts w:ascii="Times New Roman" w:cs="Times New Roman" w:eastAsia="Times New Roman" w:hAnsi="Times New Roman"/>
                <w:sz w:val="18"/>
                <w:szCs w:val="18"/>
                <w:i w:val="1"/>
                <w:iCs w:val="1"/>
                <w:color w:val="auto"/>
              </w:rPr>
              <w:t>Non IFRS Financial data (unaudited)</w:t>
            </w: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2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exKOF</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&amp; Equivalents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Coca-Cola FEMSA Cash &amp; Equivalents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&amp; Equivalents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Financial Debt</w:t>
            </w:r>
            <w:r>
              <w:rPr>
                <w:rFonts w:ascii="Times New Roman" w:cs="Times New Roman" w:eastAsia="Times New Roman" w:hAnsi="Times New Roman"/>
                <w:sz w:val="28"/>
                <w:szCs w:val="28"/>
                <w:color w:val="auto"/>
                <w:vertAlign w:val="superscript"/>
              </w:rPr>
              <w:t>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2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3,156</w:t>
            </w: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Coca-Cola FEMSA Financial Debt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Coca-Cola FEMSA Lease Liabilities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14,294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(5,042)</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FEMSA Net Debt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7,940</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(2,749)</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5,191</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EPS with Repurchased Shares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Reported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Shares Outstanding</w:t>
      </w:r>
      <w:r>
        <w:rPr>
          <w:rFonts w:ascii="Times New Roman" w:cs="Times New Roman" w:eastAsia="Times New Roman" w:hAnsi="Times New Roman"/>
          <w:sz w:val="29"/>
          <w:szCs w:val="29"/>
          <w:b w:val="1"/>
          <w:bCs w:val="1"/>
          <w:color w:val="auto"/>
          <w:vertAlign w:val="superscript"/>
        </w:rPr>
        <w:t>(1) (2)</w:t>
      </w:r>
    </w:p>
    <w:tbl>
      <w:tblPr>
        <w:tblLayout w:type="fixed"/>
        <w:tblInd w:w="0" w:type="dxa"/>
        <w:tblCellMar>
          <w:top w:w="0" w:type="dxa"/>
          <w:left w:w="0" w:type="dxa"/>
          <w:bottom w:w="0" w:type="dxa"/>
          <w:right w:w="0" w:type="dxa"/>
        </w:tblCellMar>
      </w:tblPr>
      <w:tr>
        <w:trPr>
          <w:trHeight w:val="244"/>
        </w:trPr>
        <w:tc>
          <w:tcPr>
            <w:tcW w:w="3120" w:type="dxa"/>
            <w:vAlign w:val="bottom"/>
            <w:tcBorders>
              <w:top w:val="single" w:sz="8" w:color="auto"/>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FEMSA Units Outstanding</w:t>
            </w:r>
            <w:r>
              <w:rPr>
                <w:rFonts w:ascii="Times New Roman" w:cs="Times New Roman" w:eastAsia="Times New Roman" w:hAnsi="Times New Roman"/>
                <w:sz w:val="28"/>
                <w:szCs w:val="28"/>
                <w:color w:val="auto"/>
                <w:vertAlign w:val="superscript"/>
              </w:rPr>
              <w:t>(1)</w:t>
            </w:r>
          </w:p>
        </w:tc>
        <w:tc>
          <w:tcPr>
            <w:tcW w:w="53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3,412,732,415</w:t>
            </w:r>
          </w:p>
        </w:tc>
      </w:tr>
      <w:tr>
        <w:trPr>
          <w:trHeight w:val="435"/>
        </w:trPr>
        <w:tc>
          <w:tcPr>
            <w:tcW w:w="31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YTD</w:t>
            </w:r>
          </w:p>
        </w:tc>
        <w:tc>
          <w:tcPr>
            <w:tcW w:w="100" w:type="dxa"/>
            <w:vAlign w:val="bottom"/>
          </w:tcPr>
          <w:p>
            <w:pPr>
              <w:spacing w:after="0"/>
              <w:rPr>
                <w:sz w:val="24"/>
                <w:szCs w:val="24"/>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1Q26</w:t>
            </w:r>
          </w:p>
        </w:tc>
      </w:tr>
      <w:tr>
        <w:trPr>
          <w:trHeight w:val="205"/>
        </w:trPr>
        <w:tc>
          <w:tcPr>
            <w:tcW w:w="31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majority income</w:t>
            </w:r>
          </w:p>
        </w:tc>
        <w:tc>
          <w:tcPr>
            <w:tcW w:w="53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14,826</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14,826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31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1"/>
        </w:trPr>
        <w:tc>
          <w:tcPr>
            <w:tcW w:w="312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FEMSA Units Outstanding</w:t>
            </w:r>
            <w:r>
              <w:rPr>
                <w:rFonts w:ascii="Times New Roman" w:cs="Times New Roman" w:eastAsia="Times New Roman" w:hAnsi="Times New Roman"/>
                <w:sz w:val="29"/>
                <w:szCs w:val="29"/>
                <w:color w:val="auto"/>
                <w:vertAlign w:val="superscript"/>
              </w:rPr>
              <w:t>(1)</w:t>
            </w:r>
          </w:p>
        </w:tc>
        <w:tc>
          <w:tcPr>
            <w:tcW w:w="8020" w:type="dxa"/>
            <w:vAlign w:val="bottom"/>
            <w:gridSpan w:val="6"/>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3,412,732,415</w:t>
            </w:r>
          </w:p>
        </w:tc>
        <w:tc>
          <w:tcPr>
            <w:tcW w:w="100" w:type="dxa"/>
            <w:vAlign w:val="bottom"/>
            <w:shd w:val="clear" w:color="auto" w:fill="CCEEFF"/>
          </w:tcPr>
          <w:p>
            <w:pPr>
              <w:spacing w:after="0"/>
              <w:rPr>
                <w:sz w:val="21"/>
                <w:szCs w:val="21"/>
                <w:color w:val="auto"/>
              </w:rPr>
            </w:pPr>
          </w:p>
        </w:tc>
      </w:tr>
      <w:tr>
        <w:trPr>
          <w:trHeight w:val="224"/>
        </w:trPr>
        <w:tc>
          <w:tcPr>
            <w:tcW w:w="31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4"/>
        </w:trPr>
        <w:tc>
          <w:tcPr>
            <w:tcW w:w="3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EPS (Mxn Ps. / Unit)</w:t>
            </w:r>
          </w:p>
        </w:tc>
        <w:tc>
          <w:tcPr>
            <w:tcW w:w="5320" w:type="dxa"/>
            <w:vAlign w:val="bottom"/>
            <w:shd w:val="clear" w:color="auto" w:fill="CCEEFF"/>
          </w:tcPr>
          <w:p>
            <w:pPr>
              <w:spacing w:after="0"/>
              <w:rPr>
                <w:sz w:val="17"/>
                <w:szCs w:val="17"/>
                <w:color w:val="auto"/>
              </w:rPr>
            </w:pPr>
          </w:p>
        </w:tc>
        <w:tc>
          <w:tcPr>
            <w:tcW w:w="1260" w:type="dxa"/>
            <w:vAlign w:val="bottom"/>
            <w:tcBorders>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4.34</w:t>
            </w:r>
          </w:p>
        </w:tc>
        <w:tc>
          <w:tcPr>
            <w:tcW w:w="220" w:type="dxa"/>
            <w:vAlign w:val="bottom"/>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shd w:val="clear" w:color="auto" w:fill="CCEEFF"/>
          </w:tcPr>
          <w:p>
            <w:pPr>
              <w:spacing w:after="0"/>
              <w:rPr>
                <w:sz w:val="17"/>
                <w:szCs w:val="17"/>
                <w:color w:val="auto"/>
              </w:rPr>
            </w:pPr>
          </w:p>
        </w:tc>
      </w:tr>
      <w:tr>
        <w:trPr>
          <w:trHeight w:val="414"/>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Proforma</w:t>
            </w: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2"/>
        </w:trPr>
        <w:tc>
          <w:tcPr>
            <w:tcW w:w="3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Total Shares Excluding Shares in Treasury</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57"/>
        </w:trPr>
        <w:tc>
          <w:tcPr>
            <w:tcW w:w="3120" w:type="dxa"/>
            <w:vAlign w:val="bottom"/>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FEMSA Units Outstanding</w:t>
            </w:r>
            <w:r>
              <w:rPr>
                <w:rFonts w:ascii="Times New Roman" w:cs="Times New Roman" w:eastAsia="Times New Roman" w:hAnsi="Times New Roman"/>
                <w:sz w:val="29"/>
                <w:szCs w:val="29"/>
                <w:color w:val="auto"/>
                <w:vertAlign w:val="superscript"/>
              </w:rPr>
              <w:t>(1)</w:t>
            </w:r>
          </w:p>
        </w:tc>
        <w:tc>
          <w:tcPr>
            <w:tcW w:w="5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3,412,732,415</w:t>
            </w:r>
          </w:p>
        </w:tc>
      </w:tr>
      <w:tr>
        <w:trPr>
          <w:trHeight w:val="415"/>
        </w:trPr>
        <w:tc>
          <w:tcPr>
            <w:tcW w:w="31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4"/>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6"/>
              </w:rPr>
              <w:t>Shares in Treasury</w:t>
            </w:r>
          </w:p>
        </w:tc>
        <w:tc>
          <w:tcPr>
            <w:tcW w:w="10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57"/>
        </w:trPr>
        <w:tc>
          <w:tcPr>
            <w:tcW w:w="3120" w:type="dxa"/>
            <w:vAlign w:val="bottom"/>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FEMSA Units Outstanding</w:t>
            </w:r>
            <w:r>
              <w:rPr>
                <w:rFonts w:ascii="Times New Roman" w:cs="Times New Roman" w:eastAsia="Times New Roman" w:hAnsi="Times New Roman"/>
                <w:sz w:val="29"/>
                <w:szCs w:val="29"/>
                <w:color w:val="auto"/>
                <w:vertAlign w:val="superscript"/>
              </w:rPr>
              <w:t>(1)</w:t>
            </w:r>
          </w:p>
        </w:tc>
        <w:tc>
          <w:tcPr>
            <w:tcW w:w="5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5,917,740</w:t>
            </w:r>
          </w:p>
        </w:tc>
        <w:tc>
          <w:tcPr>
            <w:tcW w:w="100" w:type="dxa"/>
            <w:vAlign w:val="bottom"/>
            <w:shd w:val="clear" w:color="auto" w:fill="CCEEFF"/>
          </w:tcPr>
          <w:p>
            <w:pPr>
              <w:spacing w:after="0"/>
              <w:rPr>
                <w:sz w:val="22"/>
                <w:szCs w:val="22"/>
                <w:color w:val="auto"/>
              </w:rPr>
            </w:pPr>
          </w:p>
        </w:tc>
      </w:tr>
      <w:tr>
        <w:trPr>
          <w:trHeight w:val="428"/>
        </w:trPr>
        <w:tc>
          <w:tcPr>
            <w:tcW w:w="31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YTD</w:t>
            </w:r>
          </w:p>
        </w:tc>
        <w:tc>
          <w:tcPr>
            <w:tcW w:w="100" w:type="dxa"/>
            <w:vAlign w:val="bottom"/>
          </w:tcPr>
          <w:p>
            <w:pPr>
              <w:spacing w:after="0"/>
              <w:rPr>
                <w:sz w:val="24"/>
                <w:szCs w:val="24"/>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1Q26</w:t>
            </w:r>
          </w:p>
        </w:tc>
      </w:tr>
      <w:tr>
        <w:trPr>
          <w:trHeight w:val="205"/>
        </w:trPr>
        <w:tc>
          <w:tcPr>
            <w:tcW w:w="312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Net majority income</w:t>
            </w:r>
          </w:p>
        </w:tc>
        <w:tc>
          <w:tcPr>
            <w:tcW w:w="5440" w:type="dxa"/>
            <w:vAlign w:val="bottom"/>
            <w:tcBorders>
              <w:top w:val="single" w:sz="8" w:color="CCEEFF"/>
            </w:tcBorders>
            <w:gridSpan w:val="2"/>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14,826</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14,826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3120" w:type="dxa"/>
            <w:vAlign w:val="bottom"/>
          </w:tcPr>
          <w:p>
            <w:pPr>
              <w:spacing w:after="0"/>
              <w:rPr>
                <w:sz w:val="18"/>
                <w:szCs w:val="18"/>
                <w:color w:val="auto"/>
              </w:rPr>
            </w:pPr>
          </w:p>
        </w:tc>
        <w:tc>
          <w:tcPr>
            <w:tcW w:w="5440" w:type="dxa"/>
            <w:vAlign w:val="bottom"/>
            <w:gridSpan w:val="2"/>
          </w:tcPr>
          <w:p>
            <w:pPr>
              <w:spacing w:after="0"/>
              <w:rPr>
                <w:sz w:val="18"/>
                <w:szCs w:val="18"/>
                <w:color w:val="auto"/>
              </w:rPr>
            </w:pPr>
          </w:p>
        </w:tc>
        <w:tc>
          <w:tcPr>
            <w:tcW w:w="146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FEMSA Units Outstanding</w:t>
            </w:r>
          </w:p>
        </w:tc>
        <w:tc>
          <w:tcPr>
            <w:tcW w:w="8020" w:type="dxa"/>
            <w:vAlign w:val="bottom"/>
            <w:gridSpan w:val="6"/>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3,406,814,675</w:t>
            </w:r>
          </w:p>
        </w:tc>
        <w:tc>
          <w:tcPr>
            <w:tcW w:w="100" w:type="dxa"/>
            <w:vAlign w:val="bottom"/>
            <w:shd w:val="clear" w:color="auto" w:fill="CCEEFF"/>
          </w:tcPr>
          <w:p>
            <w:pPr>
              <w:spacing w:after="0"/>
              <w:rPr>
                <w:sz w:val="18"/>
                <w:szCs w:val="18"/>
                <w:color w:val="auto"/>
              </w:rPr>
            </w:pPr>
          </w:p>
        </w:tc>
      </w:tr>
      <w:tr>
        <w:trPr>
          <w:trHeight w:val="224"/>
        </w:trPr>
        <w:tc>
          <w:tcPr>
            <w:tcW w:w="3120" w:type="dxa"/>
            <w:vAlign w:val="bottom"/>
          </w:tcPr>
          <w:p>
            <w:pPr>
              <w:spacing w:after="0"/>
              <w:rPr>
                <w:sz w:val="19"/>
                <w:szCs w:val="19"/>
                <w:color w:val="auto"/>
              </w:rPr>
            </w:pPr>
          </w:p>
        </w:tc>
        <w:tc>
          <w:tcPr>
            <w:tcW w:w="544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r>
      <w:tr>
        <w:trPr>
          <w:trHeight w:val="204"/>
        </w:trPr>
        <w:tc>
          <w:tcPr>
            <w:tcW w:w="31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EPS (Mxn Ps. / Unit)</w:t>
            </w:r>
          </w:p>
        </w:tc>
        <w:tc>
          <w:tcPr>
            <w:tcW w:w="53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4.35</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4.35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32" w:lineRule="exact"/>
        <w:rPr>
          <w:sz w:val="20"/>
          <w:szCs w:val="20"/>
          <w:color w:val="auto"/>
        </w:rPr>
      </w:pPr>
    </w:p>
    <w:p>
      <w:pPr>
        <w:ind w:firstLine="6"/>
        <w:spacing w:after="0" w:line="208" w:lineRule="auto"/>
        <w:tabs>
          <w:tab w:leader="none" w:pos="221"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FEMSA Units Outstanding consist of FEMSA BD Units and FEMSA B Units. The number of FEMSA Units outstanding is equivalent to the total number of FEMSA Shares outstanding as of the same date, divided by 5.</w:t>
      </w:r>
    </w:p>
    <w:p>
      <w:pPr>
        <w:spacing w:after="0" w:line="23" w:lineRule="exact"/>
        <w:rPr>
          <w:rFonts w:ascii="Times New Roman" w:cs="Times New Roman" w:eastAsia="Times New Roman" w:hAnsi="Times New Roman"/>
          <w:sz w:val="27"/>
          <w:szCs w:val="27"/>
          <w:color w:val="auto"/>
          <w:vertAlign w:val="superscript"/>
        </w:rPr>
      </w:pPr>
    </w:p>
    <w:p>
      <w:pPr>
        <w:ind w:firstLine="6"/>
        <w:spacing w:after="0" w:line="218" w:lineRule="auto"/>
        <w:tabs>
          <w:tab w:leader="none" w:pos="213" w:val="left"/>
        </w:tabs>
        <w:numPr>
          <w:ilvl w:val="0"/>
          <w:numId w:val="2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At our Shareholders meeting held on March 27 of 2026, the cancellation of the shares acquired from the stock repurchase program during the period from April 2025 to March 2026 was approved. The total FEMSA Units Cancelled are for the amount of 56,737,112 units.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OXXO Mexico – Results of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4"/>
        </w:trPr>
        <w:tc>
          <w:tcPr>
            <w:tcW w:w="4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3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4060" w:type="dxa"/>
            <w:vAlign w:val="bottom"/>
          </w:tcPr>
          <w:p>
            <w:pPr>
              <w:spacing w:after="0"/>
              <w:rPr>
                <w:sz w:val="20"/>
                <w:szCs w:val="20"/>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320" w:type="dxa"/>
            <w:vAlign w:val="bottom"/>
            <w:gridSpan w:val="2"/>
          </w:tcPr>
          <w:p>
            <w:pPr>
              <w:jc w:val="right"/>
              <w:ind w:right="422"/>
              <w:spacing w:after="0"/>
              <w:rPr>
                <w:sz w:val="20"/>
                <w:szCs w:val="20"/>
                <w:color w:val="auto"/>
              </w:rPr>
            </w:pPr>
            <w:r>
              <w:rPr>
                <w:rFonts w:ascii="Times New Roman" w:cs="Times New Roman" w:eastAsia="Times New Roman" w:hAnsi="Times New Roman"/>
                <w:sz w:val="18"/>
                <w:szCs w:val="18"/>
                <w:b w:val="1"/>
                <w:bCs w:val="1"/>
                <w:color w:val="auto"/>
              </w:rPr>
              <w:t>% Var.</w:t>
            </w:r>
          </w:p>
        </w:tc>
      </w:tr>
      <w:tr>
        <w:trPr>
          <w:trHeight w:val="205"/>
        </w:trPr>
        <w:tc>
          <w:tcPr>
            <w:tcW w:w="40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74,424</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68,744</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right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7"/>
                <w:szCs w:val="17"/>
                <w:color w:val="auto"/>
              </w:rPr>
            </w:pPr>
          </w:p>
        </w:tc>
      </w:tr>
      <w:tr>
        <w:trPr>
          <w:trHeight w:val="2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40,074</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37,925</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r>
      <w:tr>
        <w:trPr>
          <w:trHeight w:val="204"/>
        </w:trPr>
        <w:tc>
          <w:tcPr>
            <w:tcW w:w="40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34,350</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46.2</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30,819</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44.8</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40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2,233</w:t>
            </w:r>
          </w:p>
        </w:tc>
        <w:tc>
          <w:tcPr>
            <w:tcW w:w="240" w:type="dxa"/>
            <w:vAlign w:val="bottom"/>
          </w:tcPr>
          <w:p>
            <w:pPr>
              <w:spacing w:after="0"/>
              <w:rPr>
                <w:sz w:val="17"/>
                <w:szCs w:val="17"/>
                <w:color w:val="auto"/>
              </w:rPr>
            </w:pP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1,960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7"/>
                <w:szCs w:val="17"/>
                <w:color w:val="auto"/>
              </w:rPr>
            </w:pPr>
          </w:p>
        </w:tc>
      </w:tr>
      <w:tr>
        <w:trPr>
          <w:trHeight w:val="21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26,394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24,098</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r>
      <w:tr>
        <w:trPr>
          <w:trHeight w:val="2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(12.4)</w:t>
            </w:r>
          </w:p>
        </w:tc>
      </w:tr>
      <w:tr>
        <w:trPr>
          <w:trHeight w:val="204"/>
        </w:trPr>
        <w:tc>
          <w:tcPr>
            <w:tcW w:w="40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5,629</w:t>
            </w: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4,655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right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40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3,770</w:t>
            </w:r>
          </w:p>
        </w:tc>
        <w:tc>
          <w:tcPr>
            <w:tcW w:w="240" w:type="dxa"/>
            <w:vAlign w:val="bottom"/>
          </w:tcPr>
          <w:p>
            <w:pPr>
              <w:spacing w:after="0"/>
              <w:rPr>
                <w:sz w:val="17"/>
                <w:szCs w:val="17"/>
                <w:color w:val="auto"/>
              </w:rPr>
            </w:pP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7"/>
                <w:szCs w:val="17"/>
                <w:color w:val="auto"/>
              </w:rPr>
            </w:pPr>
          </w:p>
        </w:tc>
        <w:tc>
          <w:tcPr>
            <w:tcW w:w="12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3,476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7"/>
                <w:szCs w:val="17"/>
                <w:color w:val="auto"/>
              </w:rPr>
            </w:pPr>
          </w:p>
        </w:tc>
      </w:tr>
      <w:tr>
        <w:trPr>
          <w:trHeight w:val="22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&amp; other non-cash charges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80" w:type="dxa"/>
            <w:vAlign w:val="bottom"/>
            <w:shd w:val="clear" w:color="auto" w:fill="CCEEFF"/>
          </w:tcPr>
          <w:p>
            <w:pPr>
              <w:spacing w:after="0"/>
              <w:rPr>
                <w:sz w:val="19"/>
                <w:szCs w:val="19"/>
                <w:color w:val="auto"/>
              </w:rPr>
            </w:pPr>
          </w:p>
        </w:tc>
      </w:tr>
      <w:tr>
        <w:trPr>
          <w:trHeight w:val="204"/>
        </w:trPr>
        <w:tc>
          <w:tcPr>
            <w:tcW w:w="406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10,545</w:t>
            </w:r>
          </w:p>
        </w:tc>
        <w:tc>
          <w:tcPr>
            <w:tcW w:w="24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8,492</w:t>
            </w:r>
          </w:p>
        </w:tc>
        <w:tc>
          <w:tcPr>
            <w:tcW w:w="2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12.4</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tcPr>
          <w:p>
            <w:pPr>
              <w:spacing w:after="0"/>
              <w:rPr>
                <w:sz w:val="17"/>
                <w:szCs w:val="17"/>
                <w:color w:val="auto"/>
              </w:rPr>
            </w:pPr>
          </w:p>
        </w:tc>
      </w:tr>
      <w:tr>
        <w:trPr>
          <w:trHeight w:val="21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r>
        <w:trPr>
          <w:trHeight w:val="204"/>
        </w:trPr>
        <w:tc>
          <w:tcPr>
            <w:tcW w:w="4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Information of OXXO Stores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24,455</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23,567</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r>
      <w:tr>
        <w:trPr>
          <w:trHeight w:val="204"/>
        </w:trPr>
        <w:tc>
          <w:tcPr>
            <w:tcW w:w="40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new convenience stores: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1"/>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vs. Last quarter</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(56.2)</w:t>
            </w:r>
          </w:p>
        </w:tc>
      </w:tr>
      <w:tr>
        <w:trPr>
          <w:trHeight w:val="211"/>
        </w:trPr>
        <w:tc>
          <w:tcPr>
            <w:tcW w:w="4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Year-to-date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(56.2)</w:t>
            </w:r>
          </w:p>
        </w:tc>
      </w:tr>
      <w:tr>
        <w:trPr>
          <w:trHeight w:val="224"/>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Last-twelve-months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888</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(28.4)</w:t>
            </w:r>
          </w:p>
        </w:tc>
      </w:tr>
      <w:tr>
        <w:trPr>
          <w:trHeight w:val="204"/>
        </w:trPr>
        <w:tc>
          <w:tcPr>
            <w:tcW w:w="40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406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Same-store data: </w:t>
            </w:r>
            <w:r>
              <w:rPr>
                <w:rFonts w:ascii="Times New Roman" w:cs="Times New Roman" w:eastAsia="Times New Roman" w:hAnsi="Times New Roman"/>
                <w:sz w:val="29"/>
                <w:szCs w:val="29"/>
                <w:color w:val="auto"/>
                <w:vertAlign w:val="superscript"/>
              </w:rPr>
              <w:t>(1)</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1"/>
        </w:trPr>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(thousands of pesos)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952.9</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898.6</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8"/>
                <w:szCs w:val="18"/>
                <w:color w:val="auto"/>
              </w:rPr>
            </w:pPr>
          </w:p>
        </w:tc>
      </w:tr>
      <w:tr>
        <w:trPr>
          <w:trHeight w:val="211"/>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Traffic (thousands of transactions)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(0.5)</w:t>
            </w:r>
          </w:p>
        </w:tc>
      </w:tr>
      <w:tr>
        <w:trPr>
          <w:trHeight w:val="224"/>
        </w:trPr>
        <w:tc>
          <w:tcPr>
            <w:tcW w:w="4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Ticket (pesos)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17837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39" w:lineRule="exact"/>
        <w:rPr>
          <w:sz w:val="20"/>
          <w:szCs w:val="20"/>
          <w:color w:val="auto"/>
        </w:rPr>
      </w:pPr>
    </w:p>
    <w:p>
      <w:pPr>
        <w:ind w:right="640" w:firstLine="6"/>
        <w:spacing w:after="0"/>
        <w:tabs>
          <w:tab w:leader="none" w:pos="247"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Please refer to page 11 for our definition of “comparable” and a description of the factors affecting the comparability of our financial and operating performance.</w:t>
      </w:r>
    </w:p>
    <w:p>
      <w:pPr>
        <w:spacing w:after="0" w:line="140" w:lineRule="exact"/>
        <w:rPr>
          <w:rFonts w:ascii="Times New Roman" w:cs="Times New Roman" w:eastAsia="Times New Roman" w:hAnsi="Times New Roman"/>
          <w:sz w:val="26"/>
          <w:szCs w:val="26"/>
          <w:color w:val="auto"/>
          <w:vertAlign w:val="superscript"/>
        </w:rPr>
      </w:pPr>
    </w:p>
    <w:p>
      <w:pPr>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considering same stores with more than twelve months of operations, income from services are included.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71354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Americas &amp; Mobility – Results of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45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ind w:right="13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Comp.</w:t>
            </w:r>
            <w:r>
              <w:rPr>
                <w:rFonts w:ascii="Times New Roman" w:cs="Times New Roman" w:eastAsia="Times New Roman" w:hAnsi="Times New Roman"/>
                <w:sz w:val="29"/>
                <w:szCs w:val="29"/>
                <w:b w:val="1"/>
                <w:bCs w:val="1"/>
                <w:color w:val="auto"/>
                <w:vertAlign w:val="superscript"/>
              </w:rPr>
              <w:t>(A)</w:t>
            </w:r>
          </w:p>
        </w:tc>
        <w:tc>
          <w:tcPr>
            <w:tcW w:w="0" w:type="dxa"/>
            <w:vAlign w:val="bottom"/>
          </w:tcPr>
          <w:p>
            <w:pPr>
              <w:spacing w:after="0"/>
              <w:rPr>
                <w:sz w:val="1"/>
                <w:szCs w:val="1"/>
                <w:color w:val="auto"/>
              </w:rPr>
            </w:pPr>
          </w:p>
        </w:tc>
      </w:tr>
      <w:tr>
        <w:trPr>
          <w:trHeight w:val="231"/>
        </w:trPr>
        <w:tc>
          <w:tcPr>
            <w:tcW w:w="260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3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Var.</w:t>
            </w:r>
          </w:p>
        </w:tc>
        <w:tc>
          <w:tcPr>
            <w:tcW w:w="80" w:type="dxa"/>
            <w:vAlign w:val="bottom"/>
          </w:tcPr>
          <w:p>
            <w:pPr>
              <w:spacing w:after="0"/>
              <w:rPr>
                <w:sz w:val="20"/>
                <w:szCs w:val="20"/>
                <w:color w:val="auto"/>
              </w:rPr>
            </w:pPr>
          </w:p>
        </w:tc>
        <w:tc>
          <w:tcPr>
            <w:tcW w:w="1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6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revenues</w:t>
            </w:r>
          </w:p>
        </w:tc>
        <w:tc>
          <w:tcPr>
            <w:tcW w:w="12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24,988</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22,142</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20,691</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18,716</w:t>
            </w:r>
          </w:p>
        </w:tc>
        <w:tc>
          <w:tcPr>
            <w:tcW w:w="4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4,297</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3,426</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15.5</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3,268</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2,676</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60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Other operating expenses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(income), net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60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gridSpan w:val="3"/>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34.0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676</w:t>
            </w:r>
          </w:p>
        </w:tc>
        <w:tc>
          <w:tcPr>
            <w:tcW w:w="240" w:type="dxa"/>
            <w:vAlign w:val="bottom"/>
          </w:tcPr>
          <w:p>
            <w:pPr>
              <w:spacing w:after="0"/>
              <w:rPr>
                <w:sz w:val="17"/>
                <w:szCs w:val="17"/>
                <w:color w:val="auto"/>
              </w:rPr>
            </w:pPr>
          </w:p>
        </w:tc>
        <w:tc>
          <w:tcPr>
            <w:tcW w:w="12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607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Amortization &amp; other non-cash</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60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1,087</w:t>
            </w:r>
          </w:p>
        </w:tc>
        <w:tc>
          <w:tcPr>
            <w:tcW w:w="2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942</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of Stores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1,894</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Stores Brazil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Colombia</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Stores Chile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Peru</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Stores USA</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6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new stores:</w:t>
            </w:r>
          </w:p>
        </w:tc>
        <w:tc>
          <w:tcPr>
            <w:tcW w:w="1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vs. Last quarter</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Year-to-date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Last-twelve-months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600" w:type="dxa"/>
            <w:vAlign w:val="bottom"/>
            <w:tcBorders>
              <w:top w:val="single" w:sz="8" w:color="CCEEFF"/>
            </w:tcBorders>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 xml:space="preserve">Same-store data: </w:t>
            </w:r>
            <w:r>
              <w:rPr>
                <w:rFonts w:ascii="Times New Roman" w:cs="Times New Roman" w:eastAsia="Times New Roman" w:hAnsi="Times New Roman"/>
                <w:sz w:val="26"/>
                <w:szCs w:val="26"/>
                <w:color w:val="auto"/>
                <w:vertAlign w:val="superscript"/>
              </w:rPr>
              <w:t>(1)</w:t>
            </w:r>
          </w:p>
        </w:tc>
        <w:tc>
          <w:tcPr>
            <w:tcW w:w="12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(thousands of pesos)</w:t>
            </w: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999.0</w:t>
            </w:r>
          </w:p>
        </w:tc>
        <w:tc>
          <w:tcPr>
            <w:tcW w:w="20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404"/>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 Neutral</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6"/>
              </w:rPr>
              <w:t>Total Revenue</w:t>
            </w:r>
          </w:p>
        </w:tc>
        <w:tc>
          <w:tcPr>
            <w:tcW w:w="13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5"/>
              </w:rPr>
              <w:t>Total Unit</w:t>
            </w:r>
          </w:p>
        </w:tc>
        <w:tc>
          <w:tcPr>
            <w:tcW w:w="80" w:type="dxa"/>
            <w:vAlign w:val="bottom"/>
          </w:tcPr>
          <w:p>
            <w:pPr>
              <w:spacing w:after="0"/>
              <w:rPr>
                <w:sz w:val="24"/>
                <w:szCs w:val="24"/>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Same-Store</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96"/>
              </w:rPr>
              <w:t>Growth</w:t>
            </w:r>
          </w:p>
        </w:tc>
        <w:tc>
          <w:tcPr>
            <w:tcW w:w="320" w:type="dxa"/>
            <w:vAlign w:val="bottom"/>
            <w:tcBorders>
              <w:bottom w:val="single" w:sz="8" w:color="CCEEFF"/>
            </w:tcBorders>
            <w:gridSpan w:val="2"/>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Growth</w:t>
            </w:r>
          </w:p>
        </w:tc>
        <w:tc>
          <w:tcPr>
            <w:tcW w:w="360" w:type="dxa"/>
            <w:vAlign w:val="bottom"/>
            <w:tcBorders>
              <w:bottom w:val="single" w:sz="8" w:color="CCEEFF"/>
            </w:tcBorders>
            <w:gridSpan w:val="2"/>
          </w:tcPr>
          <w:p>
            <w:pPr>
              <w:spacing w:after="0"/>
              <w:rPr>
                <w:sz w:val="22"/>
                <w:szCs w:val="22"/>
                <w:color w:val="auto"/>
              </w:rPr>
            </w:pPr>
          </w:p>
        </w:tc>
        <w:tc>
          <w:tcPr>
            <w:tcW w:w="1220" w:type="dxa"/>
            <w:vAlign w:val="bottom"/>
            <w:tcBorders>
              <w:bottom w:val="single" w:sz="8" w:color="auto"/>
            </w:tcBorders>
            <w:gridSpan w:val="2"/>
          </w:tcPr>
          <w:p>
            <w:pPr>
              <w:jc w:val="right"/>
              <w:spacing w:after="0" w:line="263" w:lineRule="exact"/>
              <w:rPr>
                <w:sz w:val="20"/>
                <w:szCs w:val="20"/>
                <w:color w:val="auto"/>
              </w:rPr>
            </w:pPr>
            <w:r>
              <w:rPr>
                <w:rFonts w:ascii="Times New Roman" w:cs="Times New Roman" w:eastAsia="Times New Roman" w:hAnsi="Times New Roman"/>
                <w:sz w:val="18"/>
                <w:szCs w:val="18"/>
                <w:b w:val="1"/>
                <w:bCs w:val="1"/>
                <w:color w:val="auto"/>
                <w:w w:val="93"/>
              </w:rPr>
              <w:t>Sales Growth</w:t>
            </w:r>
            <w:r>
              <w:rPr>
                <w:rFonts w:ascii="Times New Roman" w:cs="Times New Roman" w:eastAsia="Times New Roman" w:hAnsi="Times New Roman"/>
                <w:sz w:val="29"/>
                <w:szCs w:val="29"/>
                <w:b w:val="1"/>
                <w:bCs w:val="1"/>
                <w:color w:val="auto"/>
                <w:w w:val="93"/>
                <w:vertAlign w:val="superscript"/>
              </w:rPr>
              <w:t>(2)</w:t>
            </w:r>
          </w:p>
        </w:tc>
        <w:tc>
          <w:tcPr>
            <w:tcW w:w="1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OXXO Americas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b w:val="1"/>
                <w:bCs w:val="1"/>
                <w:color w:val="auto"/>
              </w:rPr>
              <w:t>10.8%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b w:val="1"/>
                <w:bCs w:val="1"/>
                <w:color w:val="auto"/>
              </w:rPr>
              <w:t>(2.5)%</w:t>
            </w:r>
          </w:p>
        </w:tc>
        <w:tc>
          <w:tcPr>
            <w:tcW w:w="1400" w:type="dxa"/>
            <w:vAlign w:val="bottom"/>
            <w:gridSpan w:val="4"/>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13.1%</w:t>
            </w:r>
          </w:p>
        </w:tc>
        <w:tc>
          <w:tcPr>
            <w:tcW w:w="0" w:type="dxa"/>
            <w:vAlign w:val="bottom"/>
          </w:tcPr>
          <w:p>
            <w:pPr>
              <w:spacing w:after="0"/>
              <w:rPr>
                <w:sz w:val="1"/>
                <w:szCs w:val="1"/>
                <w:color w:val="auto"/>
              </w:rPr>
            </w:pPr>
          </w:p>
        </w:tc>
      </w:tr>
      <w:tr>
        <w:trPr>
          <w:trHeight w:val="251"/>
        </w:trPr>
        <w:tc>
          <w:tcPr>
            <w:tcW w:w="2600" w:type="dxa"/>
            <w:vAlign w:val="bottom"/>
          </w:tcPr>
          <w:p>
            <w:pPr>
              <w:spacing w:after="0" w:line="251" w:lineRule="exact"/>
              <w:rPr>
                <w:sz w:val="20"/>
                <w:szCs w:val="20"/>
                <w:color w:val="auto"/>
              </w:rPr>
            </w:pPr>
            <w:r>
              <w:rPr>
                <w:rFonts w:ascii="Times New Roman" w:cs="Times New Roman" w:eastAsia="Times New Roman" w:hAnsi="Times New Roman"/>
                <w:sz w:val="18"/>
                <w:szCs w:val="18"/>
                <w:color w:val="auto"/>
              </w:rPr>
              <w:t>Brazil</w:t>
            </w:r>
            <w:r>
              <w:rPr>
                <w:rFonts w:ascii="Times New Roman" w:cs="Times New Roman" w:eastAsia="Times New Roman" w:hAnsi="Times New Roman"/>
                <w:sz w:val="29"/>
                <w:szCs w:val="29"/>
                <w:color w:val="auto"/>
                <w:vertAlign w:val="superscript"/>
              </w:rPr>
              <w:t>(3)</w:t>
            </w: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1"/>
        </w:trPr>
        <w:tc>
          <w:tcPr>
            <w:tcW w:w="26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Latam</w:t>
            </w:r>
            <w:r>
              <w:rPr>
                <w:rFonts w:ascii="Times New Roman" w:cs="Times New Roman" w:eastAsia="Times New Roman" w:hAnsi="Times New Roman"/>
                <w:sz w:val="29"/>
                <w:szCs w:val="29"/>
                <w:color w:val="auto"/>
                <w:vertAlign w:val="superscript"/>
              </w:rPr>
              <w:t>(4)</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38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USA</w:t>
            </w:r>
            <w:r>
              <w:rPr>
                <w:rFonts w:ascii="Times New Roman" w:cs="Times New Roman" w:eastAsia="Times New Roman" w:hAnsi="Times New Roman"/>
                <w:sz w:val="29"/>
                <w:szCs w:val="29"/>
                <w:color w:val="auto"/>
                <w:vertAlign w:val="superscript"/>
              </w:rPr>
              <w:t>(5)</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4"/>
                <w:szCs w:val="24"/>
                <w:color w:val="auto"/>
              </w:rPr>
            </w:pPr>
          </w:p>
        </w:tc>
        <w:tc>
          <w:tcPr>
            <w:tcW w:w="1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Information of Gas Stations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stations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new service stores: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vs. Last quarter</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Year-to-date</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Last-twelve-months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 (millions of liters) total stations</w:t>
      </w:r>
      <w:r>
        <w:rPr>
          <w:rFonts w:ascii="Times New Roman" w:cs="Times New Roman" w:eastAsia="Times New Roman" w:hAnsi="Times New Roman"/>
          <w:sz w:val="28"/>
          <w:szCs w:val="28"/>
          <w:color w:val="auto"/>
          <w:vertAlign w:val="superscript"/>
        </w:rPr>
        <w:t>(6)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margin (pesos per liter)</w:t>
      </w:r>
      <w:r>
        <w:rPr>
          <w:rFonts w:ascii="Times New Roman" w:cs="Times New Roman" w:eastAsia="Times New Roman" w:hAnsi="Times New Roman"/>
          <w:sz w:val="29"/>
          <w:szCs w:val="29"/>
          <w:color w:val="auto"/>
          <w:vertAlign w:val="superscript"/>
        </w:rPr>
        <w:t>(6) (7)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Var.</w:t>
            </w:r>
          </w:p>
        </w:tc>
        <w:tc>
          <w:tcPr>
            <w:tcW w:w="40" w:type="dxa"/>
            <w:vAlign w:val="bottom"/>
          </w:tcPr>
          <w:p>
            <w:pPr>
              <w:spacing w:after="0"/>
              <w:rPr>
                <w:sz w:val="20"/>
                <w:szCs w:val="20"/>
                <w:color w:val="auto"/>
              </w:rPr>
            </w:pPr>
          </w:p>
        </w:tc>
      </w:tr>
      <w:tr>
        <w:trPr>
          <w:trHeight w:val="187"/>
        </w:trPr>
        <w:tc>
          <w:tcPr>
            <w:tcW w:w="12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6"/>
                <w:szCs w:val="16"/>
                <w:color w:val="auto"/>
              </w:rPr>
            </w:pPr>
          </w:p>
        </w:tc>
        <w:tc>
          <w:tcPr>
            <w:tcW w:w="12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807</w:t>
            </w:r>
          </w:p>
        </w:tc>
        <w:tc>
          <w:tcPr>
            <w:tcW w:w="220" w:type="dxa"/>
            <w:vAlign w:val="bottom"/>
          </w:tcPr>
          <w:p>
            <w:pPr>
              <w:spacing w:after="0"/>
              <w:rPr>
                <w:sz w:val="16"/>
                <w:szCs w:val="16"/>
                <w:color w:val="auto"/>
              </w:rPr>
            </w:pPr>
          </w:p>
        </w:tc>
        <w:tc>
          <w:tcPr>
            <w:tcW w:w="128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color w:val="auto"/>
              </w:rPr>
              <w:t>(3.1)</w:t>
            </w:r>
          </w:p>
        </w:tc>
      </w:tr>
      <w:tr>
        <w:trPr>
          <w:trHeight w:val="211"/>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2"/>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08"/>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1"/>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2"/>
        </w:trPr>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468"/>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4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2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4"/>
                <w:szCs w:val="24"/>
                <w:color w:val="auto"/>
              </w:rPr>
            </w:pPr>
          </w:p>
        </w:tc>
      </w:tr>
      <w:tr>
        <w:trPr>
          <w:trHeight w:val="45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-1439545</wp:posOffset>
            </wp:positionV>
            <wp:extent cx="7135495" cy="142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-1154430</wp:posOffset>
            </wp:positionV>
            <wp:extent cx="7135495" cy="133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-886460</wp:posOffset>
            </wp:positionV>
            <wp:extent cx="7135495" cy="133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-610235</wp:posOffset>
            </wp:positionV>
            <wp:extent cx="7135495" cy="142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-300355</wp:posOffset>
            </wp:positionV>
            <wp:extent cx="7135495" cy="142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-1715770</wp:posOffset>
            </wp:positionV>
            <wp:extent cx="7135495" cy="142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6260" w:space="720"/>
            <w:col w:w="4260"/>
          </w:cols>
          <w:pgMar w:left="320" w:top="897" w:right="339" w:bottom="1440" w:gutter="0" w:footer="0" w:header="0"/>
        </w:sectPr>
      </w:pPr>
    </w:p>
    <w:p>
      <w:pPr>
        <w:ind w:firstLine="6"/>
        <w:spacing w:after="0" w:line="203" w:lineRule="auto"/>
        <w:tabs>
          <w:tab w:leader="none" w:pos="273"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Please refer to page 11 for our definition of “comparable” and a description of the factors affecting the comparability of our financial and operating performance.</w:t>
      </w:r>
    </w:p>
    <w:p>
      <w:pPr>
        <w:spacing w:after="0" w:line="1" w:lineRule="exact"/>
        <w:rPr>
          <w:rFonts w:ascii="Times New Roman" w:cs="Times New Roman" w:eastAsia="Times New Roman" w:hAnsi="Times New Roman"/>
          <w:sz w:val="28"/>
          <w:szCs w:val="28"/>
          <w:color w:val="auto"/>
          <w:vertAlign w:val="superscript"/>
        </w:rPr>
      </w:pPr>
    </w:p>
    <w:p>
      <w:pPr>
        <w:spacing w:after="0" w:line="21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considering same stores with more than twelve months of operations, income from services are included.</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Same-store Sales includes a weighted average of OXXO USA, Brazil and Latam.</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Local currency (BRL).</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Includes a weighted average of OXXO Colombia, Chile and Peru.</w:t>
      </w:r>
    </w:p>
    <w:p>
      <w:pPr>
        <w:spacing w:after="0" w:line="180"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Local currency (USD).</w:t>
      </w:r>
    </w:p>
    <w:p>
      <w:pPr>
        <w:spacing w:after="0" w:line="183" w:lineRule="auto"/>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5"/>
          <w:szCs w:val="15"/>
          <w:color w:val="auto"/>
        </w:rPr>
        <w:t xml:space="preserve"> Includes fuel operations in Mexico and in the US, with U.S. volumes converted to Liters.</w:t>
      </w:r>
    </w:p>
    <w:p>
      <w:pPr>
        <w:spacing w:after="0" w:line="20" w:lineRule="exact"/>
        <w:rPr>
          <w:sz w:val="20"/>
          <w:szCs w:val="20"/>
          <w:color w:val="auto"/>
        </w:rPr>
      </w:pPr>
    </w:p>
    <w:p>
      <w:pPr>
        <w:ind w:firstLine="6"/>
        <w:spacing w:after="0" w:line="195" w:lineRule="auto"/>
        <w:tabs>
          <w:tab w:leader="none" w:pos="239"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readers’ convenience in calculating the equivalent price in U.S. cents per gallon, please refer to the exchange rate of 18.0327 MXN per USD, as published by the Federal Reserve Bank of New York for March 31, 2026, and a conversion factor of 3.785 liters per US gallon.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Europe – Results of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 Comp.</w:t>
            </w:r>
          </w:p>
        </w:tc>
        <w:tc>
          <w:tcPr>
            <w:tcW w:w="100" w:type="dxa"/>
            <w:vAlign w:val="bottom"/>
          </w:tcPr>
          <w:p>
            <w:pPr>
              <w:spacing w:after="0"/>
              <w:rPr>
                <w:sz w:val="16"/>
                <w:szCs w:val="16"/>
                <w:color w:val="auto"/>
              </w:rPr>
            </w:pPr>
          </w:p>
        </w:tc>
      </w:tr>
      <w:tr>
        <w:trPr>
          <w:trHeight w:val="231"/>
        </w:trPr>
        <w:tc>
          <w:tcPr>
            <w:tcW w:w="394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22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 Var.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r>
      <w:tr>
        <w:trPr>
          <w:trHeight w:val="205"/>
        </w:trPr>
        <w:tc>
          <w:tcPr>
            <w:tcW w:w="39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12,919</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12,909</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7,557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57.9</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5,363</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41.5</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5,431</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918</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902</w:t>
            </w: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(46.3)</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356</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1,321</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1,319</w:t>
            </w: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&amp; other non-cash charges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27.3</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4"/>
        </w:trPr>
        <w:tc>
          <w:tcPr>
            <w:tcW w:w="394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1,804</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1,750</w:t>
            </w:r>
          </w:p>
        </w:tc>
        <w:tc>
          <w:tcPr>
            <w:tcW w:w="2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7"/>
                <w:szCs w:val="17"/>
                <w:color w:val="auto"/>
              </w:rPr>
            </w:pPr>
          </w:p>
        </w:tc>
      </w:tr>
      <w:tr>
        <w:trPr>
          <w:trHeight w:val="21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of Stores</w:t>
            </w:r>
          </w:p>
        </w:tc>
        <w:tc>
          <w:tcPr>
            <w:tcW w:w="3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2"/>
        </w:trPr>
        <w:tc>
          <w:tcPr>
            <w:tcW w:w="42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1"/>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306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2,744</w:t>
            </w:r>
          </w:p>
        </w:tc>
        <w:tc>
          <w:tcPr>
            <w:tcW w:w="15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2,779</w:t>
            </w:r>
          </w:p>
        </w:tc>
        <w:tc>
          <w:tcPr>
            <w:tcW w:w="14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1"/>
        </w:trPr>
        <w:tc>
          <w:tcPr>
            <w:tcW w:w="4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Same-store data: </w:t>
            </w:r>
            <w:r>
              <w:rPr>
                <w:rFonts w:ascii="Times New Roman" w:cs="Times New Roman" w:eastAsia="Times New Roman" w:hAnsi="Times New Roman"/>
                <w:sz w:val="29"/>
                <w:szCs w:val="29"/>
                <w:color w:val="auto"/>
                <w:vertAlign w:val="superscript"/>
              </w:rPr>
              <w:t>(2)</w:t>
            </w:r>
          </w:p>
        </w:tc>
        <w:tc>
          <w:tcPr>
            <w:tcW w:w="3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(thousands of pesos)</w:t>
            </w:r>
          </w:p>
        </w:tc>
        <w:tc>
          <w:tcPr>
            <w:tcW w:w="306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1,721.0</w:t>
            </w:r>
          </w:p>
        </w:tc>
        <w:tc>
          <w:tcPr>
            <w:tcW w:w="15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1,769.3</w:t>
            </w:r>
          </w:p>
        </w:tc>
        <w:tc>
          <w:tcPr>
            <w:tcW w:w="14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33" w:lineRule="exact"/>
        <w:rPr>
          <w:sz w:val="20"/>
          <w:szCs w:val="20"/>
          <w:color w:val="auto"/>
        </w:rPr>
      </w:pPr>
    </w:p>
    <w:p>
      <w:pPr>
        <w:ind w:left="260" w:hanging="254"/>
        <w:spacing w:after="0"/>
        <w:tabs>
          <w:tab w:leader="none" w:pos="26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Refer to page 11 for our definition of “comparable” and a description of the factors affecting the comparability of our financial and operating performance.</w:t>
      </w:r>
    </w:p>
    <w:p>
      <w:pPr>
        <w:spacing w:after="0" w:line="41" w:lineRule="exact"/>
        <w:rPr>
          <w:rFonts w:ascii="Times New Roman" w:cs="Times New Roman" w:eastAsia="Times New Roman" w:hAnsi="Times New Roman"/>
          <w:sz w:val="27"/>
          <w:szCs w:val="27"/>
          <w:color w:val="auto"/>
          <w:vertAlign w:val="superscript"/>
        </w:rPr>
      </w:pPr>
    </w:p>
    <w:p>
      <w:pPr>
        <w:spacing w:after="0" w:line="237"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store. Same-store Sales reflect a weighted average from our foodservice and retail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Health – Results of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32"/>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right"/>
              <w:ind w:right="20"/>
              <w:spacing w:after="0" w:line="184"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93"/>
              </w:rPr>
              <w:t>% Comp.</w:t>
            </w:r>
            <w:r>
              <w:rPr>
                <w:rFonts w:ascii="Times New Roman" w:cs="Times New Roman" w:eastAsia="Times New Roman" w:hAnsi="Times New Roman"/>
                <w:sz w:val="29"/>
                <w:szCs w:val="29"/>
                <w:b w:val="1"/>
                <w:bCs w:val="1"/>
                <w:color w:val="auto"/>
                <w:w w:val="93"/>
                <w:vertAlign w:val="superscript"/>
              </w:rPr>
              <w:t>(A)</w:t>
            </w:r>
          </w:p>
        </w:tc>
        <w:tc>
          <w:tcPr>
            <w:tcW w:w="0" w:type="dxa"/>
            <w:vAlign w:val="bottom"/>
          </w:tcPr>
          <w:p>
            <w:pPr>
              <w:spacing w:after="0"/>
              <w:rPr>
                <w:sz w:val="1"/>
                <w:szCs w:val="1"/>
                <w:color w:val="auto"/>
              </w:rPr>
            </w:pPr>
          </w:p>
        </w:tc>
      </w:tr>
      <w:tr>
        <w:trPr>
          <w:trHeight w:val="231"/>
        </w:trPr>
        <w:tc>
          <w:tcPr>
            <w:tcW w:w="394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00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of rev.</w:t>
            </w:r>
          </w:p>
        </w:tc>
        <w:tc>
          <w:tcPr>
            <w:tcW w:w="1120" w:type="dxa"/>
            <w:vAlign w:val="bottom"/>
            <w:gridSpan w:val="5"/>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 Var.</w:t>
            </w:r>
          </w:p>
        </w:tc>
        <w:tc>
          <w:tcPr>
            <w:tcW w:w="10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22,175</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21,972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100.0</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16,365</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15,519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70.6</w:t>
            </w:r>
          </w:p>
        </w:tc>
        <w:tc>
          <w:tcPr>
            <w:tcW w:w="360" w:type="dxa"/>
            <w:vAlign w:val="bottom"/>
          </w:tcPr>
          <w:p>
            <w:pPr>
              <w:spacing w:after="0"/>
              <w:rPr>
                <w:sz w:val="19"/>
                <w:szCs w:val="19"/>
                <w:color w:val="auto"/>
              </w:rPr>
            </w:pPr>
          </w:p>
        </w:tc>
        <w:tc>
          <w:tcPr>
            <w:tcW w:w="760" w:type="dxa"/>
            <w:vAlign w:val="bottom"/>
            <w:gridSpan w:val="4"/>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5,810</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6,453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29.4</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719</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7"/>
                <w:szCs w:val="17"/>
                <w:color w:val="auto"/>
              </w:rPr>
            </w:pPr>
          </w:p>
        </w:tc>
        <w:tc>
          <w:tcPr>
            <w:tcW w:w="10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4"/>
          </w:tcPr>
          <w:p>
            <w:pPr>
              <w:jc w:val="right"/>
              <w:spacing w:after="0" w:line="204" w:lineRule="exact"/>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4,442</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766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941</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7"/>
                <w:szCs w:val="17"/>
                <w:color w:val="auto"/>
              </w:rPr>
            </w:pPr>
          </w:p>
        </w:tc>
        <w:tc>
          <w:tcPr>
            <w:tcW w:w="10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939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&amp; other non-cash charges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4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1,975</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1,980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9.0</w:t>
            </w:r>
          </w:p>
        </w:tc>
        <w:tc>
          <w:tcPr>
            <w:tcW w:w="2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of Stores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stores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4,527</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Stores Mexico</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1,287</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South America</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3,240</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Net new stores:</w:t>
            </w: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vs. Last quarter</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Year-to-date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Last-twelve-months</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Same-store data: </w:t>
            </w:r>
            <w:r>
              <w:rPr>
                <w:rFonts w:ascii="Times New Roman" w:cs="Times New Roman" w:eastAsia="Times New Roman" w:hAnsi="Times New Roman"/>
                <w:sz w:val="29"/>
                <w:szCs w:val="29"/>
                <w:color w:val="auto"/>
                <w:vertAlign w:val="superscript"/>
              </w:rPr>
              <w:t>(1)</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Sales (thousands of pesos)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1,035.0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04"/>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 Neutral</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Total Revenue</w:t>
            </w:r>
          </w:p>
        </w:tc>
        <w:tc>
          <w:tcPr>
            <w:tcW w:w="60" w:type="dxa"/>
            <w:vAlign w:val="bottom"/>
          </w:tcPr>
          <w:p>
            <w:pPr>
              <w:spacing w:after="0"/>
              <w:rPr>
                <w:sz w:val="24"/>
                <w:szCs w:val="24"/>
                <w:color w:val="auto"/>
              </w:rPr>
            </w:pPr>
          </w:p>
        </w:tc>
        <w:tc>
          <w:tcPr>
            <w:tcW w:w="1660" w:type="dxa"/>
            <w:vAlign w:val="bottom"/>
            <w:gridSpan w:val="7"/>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5"/>
              </w:rPr>
              <w:t>Total Unit</w:t>
            </w:r>
          </w:p>
        </w:tc>
        <w:tc>
          <w:tcPr>
            <w:tcW w:w="1260" w:type="dxa"/>
            <w:vAlign w:val="bottom"/>
            <w:gridSpan w:val="3"/>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Same-Store</w:t>
            </w: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Growth</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6"/>
              </w:rPr>
              <w:t>Growth</w:t>
            </w:r>
          </w:p>
        </w:tc>
        <w:tc>
          <w:tcPr>
            <w:tcW w:w="32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spacing w:after="0" w:line="263" w:lineRule="exact"/>
              <w:rPr>
                <w:sz w:val="20"/>
                <w:szCs w:val="20"/>
                <w:color w:val="auto"/>
              </w:rPr>
            </w:pPr>
            <w:r>
              <w:rPr>
                <w:rFonts w:ascii="Times New Roman" w:cs="Times New Roman" w:eastAsia="Times New Roman" w:hAnsi="Times New Roman"/>
                <w:sz w:val="18"/>
                <w:szCs w:val="18"/>
                <w:b w:val="1"/>
                <w:bCs w:val="1"/>
                <w:color w:val="auto"/>
                <w:w w:val="93"/>
              </w:rPr>
              <w:t>Sales Growth</w:t>
            </w:r>
            <w:r>
              <w:rPr>
                <w:rFonts w:ascii="Times New Roman" w:cs="Times New Roman" w:eastAsia="Times New Roman" w:hAnsi="Times New Roman"/>
                <w:sz w:val="29"/>
                <w:szCs w:val="29"/>
                <w:b w:val="1"/>
                <w:bCs w:val="1"/>
                <w:color w:val="auto"/>
                <w:w w:val="93"/>
                <w:vertAlign w:val="superscript"/>
              </w:rPr>
              <w:t>(6)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b w:val="1"/>
                <w:bCs w:val="1"/>
                <w:color w:val="auto"/>
              </w:rPr>
              <w:t>Health</w:t>
            </w:r>
            <w:r>
              <w:rPr>
                <w:rFonts w:ascii="Times New Roman" w:cs="Times New Roman" w:eastAsia="Times New Roman" w:hAnsi="Times New Roman"/>
                <w:sz w:val="26"/>
                <w:szCs w:val="26"/>
                <w:b w:val="1"/>
                <w:bCs w:val="1"/>
                <w:color w:val="auto"/>
                <w:vertAlign w:val="superscript"/>
              </w:rPr>
              <w:t>(2)</w:t>
            </w: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Chile</w:t>
            </w:r>
            <w:r>
              <w:rPr>
                <w:rFonts w:ascii="Times New Roman" w:cs="Times New Roman" w:eastAsia="Times New Roman" w:hAnsi="Times New Roman"/>
                <w:sz w:val="29"/>
                <w:szCs w:val="29"/>
                <w:color w:val="auto"/>
                <w:vertAlign w:val="superscript"/>
              </w:rPr>
              <w:t>(3)</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1"/>
        </w:trPr>
        <w:tc>
          <w:tcPr>
            <w:tcW w:w="3940" w:type="dxa"/>
            <w:vAlign w:val="bottom"/>
          </w:tcPr>
          <w:p>
            <w:pPr>
              <w:spacing w:after="0" w:line="251" w:lineRule="exact"/>
              <w:rPr>
                <w:sz w:val="20"/>
                <w:szCs w:val="20"/>
                <w:color w:val="auto"/>
              </w:rPr>
            </w:pPr>
            <w:r>
              <w:rPr>
                <w:rFonts w:ascii="Times New Roman" w:cs="Times New Roman" w:eastAsia="Times New Roman" w:hAnsi="Times New Roman"/>
                <w:sz w:val="18"/>
                <w:szCs w:val="18"/>
                <w:color w:val="auto"/>
              </w:rPr>
              <w:t>Colombia</w:t>
            </w:r>
            <w:r>
              <w:rPr>
                <w:rFonts w:ascii="Times New Roman" w:cs="Times New Roman" w:eastAsia="Times New Roman" w:hAnsi="Times New Roman"/>
                <w:sz w:val="29"/>
                <w:szCs w:val="29"/>
                <w:color w:val="auto"/>
                <w:vertAlign w:val="superscript"/>
              </w:rPr>
              <w:t>(4)</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w w:val="94"/>
              </w:rPr>
              <w:t>11.0%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Ecuador</w:t>
            </w:r>
            <w:r>
              <w:rPr>
                <w:rFonts w:ascii="Times New Roman" w:cs="Times New Roman" w:eastAsia="Times New Roman" w:hAnsi="Times New Roman"/>
                <w:sz w:val="29"/>
                <w:szCs w:val="29"/>
                <w:color w:val="auto"/>
                <w:vertAlign w:val="superscript"/>
              </w:rPr>
              <w:t>(5)</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4"/>
              </w:rPr>
              <w:t>10.5%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right="640" w:firstLine="6"/>
        <w:spacing w:after="0"/>
        <w:tabs>
          <w:tab w:leader="none" w:pos="247"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Please refer to page 11 for our definition of “comparable” and a description of the factors affecting the comparability of our financial and operating performance.</w:t>
      </w:r>
    </w:p>
    <w:p>
      <w:pPr>
        <w:spacing w:after="0" w:line="140" w:lineRule="exact"/>
        <w:rPr>
          <w:rFonts w:ascii="Times New Roman" w:cs="Times New Roman" w:eastAsia="Times New Roman" w:hAnsi="Times New Roman"/>
          <w:sz w:val="26"/>
          <w:szCs w:val="26"/>
          <w:color w:val="auto"/>
          <w:vertAlign w:val="superscript"/>
        </w:rPr>
      </w:pPr>
    </w:p>
    <w:p>
      <w:pPr>
        <w:spacing w:after="0" w:line="21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Monthly average information per location, considering same locations with more than twelve months of all the operations of the Health Division.</w:t>
      </w:r>
    </w:p>
    <w:p>
      <w:pPr>
        <w:spacing w:after="0" w:line="18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Local currency weighted average.</w:t>
      </w:r>
    </w:p>
    <w:p>
      <w:pPr>
        <w:spacing w:after="0" w:line="18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Local currency (CLP).</w:t>
      </w:r>
    </w:p>
    <w:p>
      <w:pPr>
        <w:spacing w:after="0" w:line="18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Local currency (COP).</w:t>
      </w:r>
    </w:p>
    <w:p>
      <w:pPr>
        <w:spacing w:after="0" w:line="18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Local currency (USD).</w:t>
      </w:r>
    </w:p>
    <w:p>
      <w:pPr>
        <w:spacing w:after="0" w:line="237"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Only includes retail sales. In Ecuador, includes franchised stores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Coca-Cola FEMSA – Results of Operations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expressed in millions of Mexican Pesos (Ps.)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3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 Comp.</w:t>
            </w:r>
          </w:p>
        </w:tc>
        <w:tc>
          <w:tcPr>
            <w:tcW w:w="100" w:type="dxa"/>
            <w:vAlign w:val="bottom"/>
          </w:tcPr>
          <w:p>
            <w:pPr>
              <w:spacing w:after="0"/>
              <w:rPr>
                <w:sz w:val="16"/>
                <w:szCs w:val="16"/>
                <w:color w:val="auto"/>
              </w:rPr>
            </w:pPr>
          </w:p>
        </w:tc>
      </w:tr>
      <w:tr>
        <w:trPr>
          <w:trHeight w:val="231"/>
        </w:trPr>
        <w:tc>
          <w:tcPr>
            <w:tcW w:w="3940" w:type="dxa"/>
            <w:vAlign w:val="bottom"/>
          </w:tcPr>
          <w:p>
            <w:pPr>
              <w:spacing w:after="0"/>
              <w:rPr>
                <w:sz w:val="20"/>
                <w:szCs w:val="20"/>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22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 Var.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r>
      <w:tr>
        <w:trPr>
          <w:trHeight w:val="205"/>
        </w:trPr>
        <w:tc>
          <w:tcPr>
            <w:tcW w:w="394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70,925</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70,157</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37,670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38,324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33,255</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46.9</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31,832</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45.4</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3,968</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3,611</w:t>
            </w: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20,177</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18,868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(income), net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(25.7)</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9,032</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9,248</w:t>
            </w: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4"/>
        </w:trPr>
        <w:tc>
          <w:tcPr>
            <w:tcW w:w="39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3,406</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3,114</w:t>
            </w: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7"/>
                <w:szCs w:val="17"/>
                <w:color w:val="auto"/>
              </w:rPr>
            </w:pPr>
          </w:p>
        </w:tc>
        <w:tc>
          <w:tcPr>
            <w:tcW w:w="10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&amp; other non-cash charges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4.9</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4"/>
        </w:trPr>
        <w:tc>
          <w:tcPr>
            <w:tcW w:w="394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rPr>
              <w:t>Adjusted EBITDA</w:t>
            </w:r>
          </w:p>
        </w:tc>
        <w:tc>
          <w:tcPr>
            <w:tcW w:w="10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13,374</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18.9</w:t>
            </w:r>
          </w:p>
        </w:tc>
        <w:tc>
          <w:tcPr>
            <w:tcW w:w="24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13,254</w:t>
            </w:r>
          </w:p>
        </w:tc>
        <w:tc>
          <w:tcPr>
            <w:tcW w:w="2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7"/>
                <w:szCs w:val="17"/>
                <w:color w:val="auto"/>
              </w:rPr>
            </w:pPr>
          </w:p>
        </w:tc>
      </w:tr>
      <w:tr>
        <w:trPr>
          <w:trHeight w:val="21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CAPEX</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4"/>
        </w:trPr>
        <w:tc>
          <w:tcPr>
            <w:tcW w:w="3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volumes</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(Millions of unit cases)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and Central America</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544.5</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w:t>
            </w:r>
          </w:p>
        </w:tc>
        <w:tc>
          <w:tcPr>
            <w:tcW w:w="122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147.9</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998.4</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986.5</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20"/>
                <w:szCs w:val="20"/>
                <w:color w:val="auto"/>
              </w:rPr>
            </w:pPr>
          </w:p>
        </w:tc>
        <w:tc>
          <w:tcPr>
            <w:tcW w:w="12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1.2</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3" w:lineRule="exact"/>
        <w:rPr>
          <w:sz w:val="20"/>
          <w:szCs w:val="20"/>
          <w:color w:val="auto"/>
        </w:rPr>
      </w:pPr>
    </w:p>
    <w:p>
      <w:pPr>
        <w:ind w:firstLine="6"/>
        <w:spacing w:after="0" w:line="269" w:lineRule="auto"/>
        <w:tabs>
          <w:tab w:leader="none" w:pos="3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page 11 for our definition of “comparable” and a description of the factors affecting the comparability of our financial and operating performance.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1"/>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FEMSA Macroeconomic Information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5"/>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7"/>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Inflation</w:t>
            </w:r>
          </w:p>
        </w:tc>
      </w:tr>
      <w:tr>
        <w:trPr>
          <w:trHeight w:val="245"/>
        </w:trPr>
        <w:tc>
          <w:tcPr>
            <w:tcW w:w="55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60" w:type="dxa"/>
            <w:vAlign w:val="bottom"/>
            <w:tcBorders>
              <w:top w:val="single" w:sz="8" w:color="auto"/>
              <w:bottom w:val="single" w:sz="8" w:color="CCEEFF"/>
            </w:tcBorders>
            <w:gridSpan w:val="2"/>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line="245" w:lineRule="exact"/>
              <w:rPr>
                <w:sz w:val="20"/>
                <w:szCs w:val="20"/>
                <w:color w:val="auto"/>
              </w:rPr>
            </w:pPr>
            <w:r>
              <w:rPr>
                <w:rFonts w:ascii="Times New Roman" w:cs="Times New Roman" w:eastAsia="Times New Roman" w:hAnsi="Times New Roman"/>
                <w:sz w:val="17"/>
                <w:szCs w:val="17"/>
                <w:b w:val="1"/>
                <w:bCs w:val="1"/>
                <w:color w:val="auto"/>
                <w:w w:val="96"/>
              </w:rPr>
              <w:t xml:space="preserve">LTM </w:t>
            </w:r>
            <w:r>
              <w:rPr>
                <w:rFonts w:ascii="Times New Roman" w:cs="Times New Roman" w:eastAsia="Times New Roman" w:hAnsi="Times New Roman"/>
                <w:sz w:val="28"/>
                <w:szCs w:val="28"/>
                <w:b w:val="1"/>
                <w:bCs w:val="1"/>
                <w:color w:val="auto"/>
                <w:w w:val="96"/>
                <w:vertAlign w:val="superscript"/>
              </w:rPr>
              <w:t>(1)</w:t>
            </w:r>
            <w:r>
              <w:rPr>
                <w:rFonts w:ascii="Times New Roman" w:cs="Times New Roman" w:eastAsia="Times New Roman" w:hAnsi="Times New Roman"/>
                <w:sz w:val="17"/>
                <w:szCs w:val="17"/>
                <w:b w:val="1"/>
                <w:bCs w:val="1"/>
                <w:color w:val="auto"/>
                <w:w w:val="96"/>
              </w:rPr>
              <w:t xml:space="preserve"> Mar-26</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04"/>
        </w:trPr>
        <w:tc>
          <w:tcPr>
            <w:tcW w:w="55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Mexico</w:t>
            </w: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0.71%</w:t>
            </w:r>
          </w:p>
        </w:tc>
        <w:tc>
          <w:tcPr>
            <w:tcW w:w="1380" w:type="dxa"/>
            <w:vAlign w:val="bottom"/>
            <w:gridSpan w:val="4"/>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4.63%</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0.72%</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6.02%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0.61%</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0.57%</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435"/>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Average Exchange Rates for each Period</w:t>
            </w: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520" w:type="dxa"/>
            <w:vAlign w:val="bottom"/>
          </w:tcPr>
          <w:p>
            <w:pPr>
              <w:spacing w:after="0"/>
              <w:rPr>
                <w:sz w:val="18"/>
                <w:szCs w:val="18"/>
                <w:color w:val="auto"/>
              </w:rPr>
            </w:pPr>
          </w:p>
        </w:tc>
        <w:tc>
          <w:tcPr>
            <w:tcW w:w="16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3"/>
              </w:rPr>
              <w:t>Mar-26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Mar-25</w:t>
            </w:r>
          </w:p>
        </w:tc>
        <w:tc>
          <w:tcPr>
            <w:tcW w:w="100" w:type="dxa"/>
            <w:vAlign w:val="bottom"/>
          </w:tcPr>
          <w:p>
            <w:pPr>
              <w:spacing w:after="0"/>
              <w:rPr>
                <w:sz w:val="18"/>
                <w:szCs w:val="18"/>
                <w:color w:val="auto"/>
              </w:rPr>
            </w:pPr>
          </w:p>
        </w:tc>
      </w:tr>
      <w:tr>
        <w:trPr>
          <w:trHeight w:val="217"/>
        </w:trPr>
        <w:tc>
          <w:tcPr>
            <w:tcW w:w="552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100" w:type="dxa"/>
            <w:vAlign w:val="bottom"/>
          </w:tcPr>
          <w:p>
            <w:pPr>
              <w:spacing w:after="0"/>
              <w:rPr>
                <w:sz w:val="18"/>
                <w:szCs w:val="18"/>
                <w:color w:val="auto"/>
              </w:rPr>
            </w:pPr>
          </w:p>
        </w:tc>
      </w:tr>
      <w:tr>
        <w:trPr>
          <w:trHeight w:val="204"/>
        </w:trPr>
        <w:tc>
          <w:tcPr>
            <w:tcW w:w="55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Mexico</w:t>
            </w:r>
          </w:p>
        </w:tc>
        <w:tc>
          <w:tcPr>
            <w:tcW w:w="12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17.71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3,717.31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0.0048</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4,133.48</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0.0049</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3.3843</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3.5231</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1,395.95</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0.0127</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1,068.97</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0.0189</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909.89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0.0195</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932.55</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0.0217</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0.86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20.5283</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0.93</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21.8291</w:t>
            </w:r>
          </w:p>
        </w:tc>
      </w:tr>
      <w:tr>
        <w:trPr>
          <w:trHeight w:val="22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0.79</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22.5034</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22.9157</w:t>
            </w:r>
          </w:p>
        </w:tc>
      </w:tr>
      <w:tr>
        <w:trPr>
          <w:trHeight w:val="435"/>
        </w:trPr>
        <w:tc>
          <w:tcPr>
            <w:tcW w:w="55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6"/>
              </w:rPr>
              <w:t>End-of-Period Exchange Rates</w:t>
            </w: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520" w:type="dxa"/>
            <w:vAlign w:val="bottom"/>
          </w:tcPr>
          <w:p>
            <w:pPr>
              <w:spacing w:after="0"/>
              <w:rPr>
                <w:sz w:val="18"/>
                <w:szCs w:val="18"/>
                <w:color w:val="auto"/>
              </w:rPr>
            </w:pPr>
          </w:p>
        </w:tc>
        <w:tc>
          <w:tcPr>
            <w:tcW w:w="16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w w:val="93"/>
              </w:rPr>
              <w:t>Mar-26</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Mar-25</w:t>
            </w:r>
          </w:p>
        </w:tc>
        <w:tc>
          <w:tcPr>
            <w:tcW w:w="100" w:type="dxa"/>
            <w:vAlign w:val="bottom"/>
          </w:tcPr>
          <w:p>
            <w:pPr>
              <w:spacing w:after="0"/>
              <w:rPr>
                <w:sz w:val="18"/>
                <w:szCs w:val="18"/>
                <w:color w:val="auto"/>
              </w:rPr>
            </w:pPr>
          </w:p>
        </w:tc>
      </w:tr>
      <w:tr>
        <w:trPr>
          <w:trHeight w:val="217"/>
        </w:trPr>
        <w:tc>
          <w:tcPr>
            <w:tcW w:w="552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 USD</w:t>
            </w:r>
          </w:p>
        </w:tc>
        <w:tc>
          <w:tcPr>
            <w:tcW w:w="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Per MXN</w:t>
            </w:r>
          </w:p>
        </w:tc>
        <w:tc>
          <w:tcPr>
            <w:tcW w:w="100" w:type="dxa"/>
            <w:vAlign w:val="bottom"/>
          </w:tcPr>
          <w:p>
            <w:pPr>
              <w:spacing w:after="0"/>
              <w:rPr>
                <w:sz w:val="18"/>
                <w:szCs w:val="18"/>
                <w:color w:val="auto"/>
              </w:rPr>
            </w:pPr>
          </w:p>
        </w:tc>
      </w:tr>
      <w:tr>
        <w:trPr>
          <w:trHeight w:val="204"/>
        </w:trPr>
        <w:tc>
          <w:tcPr>
            <w:tcW w:w="55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Mexico</w:t>
            </w:r>
          </w:p>
        </w:tc>
        <w:tc>
          <w:tcPr>
            <w:tcW w:w="12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18.07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20.32</w:t>
            </w: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3,669.96</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0.0049</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4,192.57</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0.0048</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3.4615</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3.5384</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1,382.00</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0.0131</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1,074.00</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0.0189</w:t>
            </w:r>
          </w:p>
        </w:tc>
      </w:tr>
      <w:tr>
        <w:trPr>
          <w:trHeight w:val="21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927.46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0.0195</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953.07</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0.0213</w:t>
            </w:r>
          </w:p>
        </w:tc>
      </w:tr>
      <w:tr>
        <w:trPr>
          <w:trHeight w:val="211"/>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Euro Zone</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0.87</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20.7998</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0.92</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21.9752</w:t>
            </w:r>
          </w:p>
        </w:tc>
      </w:tr>
      <w:tr>
        <w:trPr>
          <w:trHeight w:val="22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22.5834</w:t>
            </w:r>
          </w:p>
        </w:tc>
        <w:tc>
          <w:tcPr>
            <w:tcW w:w="15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23.0705</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LTM = Last twelve months.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2026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54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391160</wp:posOffset>
            </wp:positionH>
            <wp:positionV relativeFrom="page">
              <wp:posOffset>574675</wp:posOffset>
            </wp:positionV>
            <wp:extent cx="6741795" cy="4522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741795" cy="452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-18415</wp:posOffset>
            </wp:positionV>
            <wp:extent cx="988060" cy="561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88060" cy="56134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Jorge Collazo | </w:t>
      </w:r>
      <w:r>
        <w:rPr>
          <w:rFonts w:ascii="Times New Roman" w:cs="Times New Roman" w:eastAsia="Times New Roman" w:hAnsi="Times New Roman"/>
          <w:sz w:val="18"/>
          <w:szCs w:val="18"/>
          <w:u w:val="single" w:color="auto"/>
          <w:color w:val="auto"/>
        </w:rPr>
        <w:t>jorge.collazo@kof.com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Lorena Martin | </w:t>
      </w:r>
      <w:r>
        <w:rPr>
          <w:rFonts w:ascii="Times New Roman" w:cs="Times New Roman" w:eastAsia="Times New Roman" w:hAnsi="Times New Roman"/>
          <w:sz w:val="16"/>
          <w:szCs w:val="16"/>
          <w:u w:val="single" w:color="auto"/>
          <w:color w:val="auto"/>
        </w:rPr>
        <w:t>lorena.martinl@kof.com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Bryan Silva | </w:t>
      </w:r>
      <w:r>
        <w:rPr>
          <w:rFonts w:ascii="Times New Roman" w:cs="Times New Roman" w:eastAsia="Times New Roman" w:hAnsi="Times New Roman"/>
          <w:sz w:val="18"/>
          <w:szCs w:val="18"/>
          <w:u w:val="single" w:color="auto"/>
          <w:color w:val="auto"/>
        </w:rPr>
        <w:t>bryan.silva@kof.com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Emilio Díaz | </w:t>
      </w:r>
      <w:r>
        <w:rPr>
          <w:rFonts w:ascii="Times New Roman" w:cs="Times New Roman" w:eastAsia="Times New Roman" w:hAnsi="Times New Roman"/>
          <w:sz w:val="18"/>
          <w:szCs w:val="18"/>
          <w:u w:val="single" w:color="auto"/>
          <w:color w:val="auto"/>
        </w:rPr>
        <w:t>emilio.diaz@kof.com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kofmxinves@kof.com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71354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6" w:name="page27"/>
    <w:bookmarkEnd w:id="26"/>
    <w:p>
      <w:pPr>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Mexico City, April 29, 2026, Coca-Cola FEMSA, S.A.B. de C.V. </w:t>
      </w:r>
      <w:r>
        <w:rPr>
          <w:rFonts w:ascii="Times New Roman" w:cs="Times New Roman" w:eastAsia="Times New Roman" w:hAnsi="Times New Roman"/>
          <w:sz w:val="18"/>
          <w:szCs w:val="18"/>
          <w:color w:val="auto"/>
        </w:rPr>
        <w:t>(BMV: KOFUBL, NYSE: KOF) (“Coca-Cola FEMSA”, “KOF” or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largest Coca-Cola franchise bottler in the world by sales volume, announces results for the first quarter of 2026.</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QUARTER HIGHLIGHTS</w:t>
      </w:r>
    </w:p>
    <w:p>
      <w:pPr>
        <w:spacing w:after="0" w:line="217" w:lineRule="exact"/>
        <w:rPr>
          <w:sz w:val="20"/>
          <w:szCs w:val="20"/>
          <w:color w:val="auto"/>
        </w:rPr>
      </w:pPr>
    </w:p>
    <w:p>
      <w:pPr>
        <w:ind w:left="640" w:hanging="318"/>
        <w:spacing w:after="0"/>
        <w:tabs>
          <w:tab w:leader="none" w:pos="64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Volume increased 1.2%.</w:t>
      </w:r>
    </w:p>
    <w:p>
      <w:pPr>
        <w:spacing w:after="0" w:line="214" w:lineRule="exact"/>
        <w:rPr>
          <w:rFonts w:ascii="Arial" w:cs="Arial" w:eastAsia="Arial" w:hAnsi="Arial"/>
          <w:sz w:val="18"/>
          <w:szCs w:val="18"/>
          <w:b w:val="1"/>
          <w:bCs w:val="1"/>
          <w:color w:val="auto"/>
        </w:rPr>
      </w:pPr>
    </w:p>
    <w:p>
      <w:pPr>
        <w:ind w:left="640" w:hanging="318"/>
        <w:spacing w:after="0"/>
        <w:tabs>
          <w:tab w:leader="none" w:pos="64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increased 1.1%; on a currency neutral basis, revenue grew 6.0%.</w:t>
      </w:r>
    </w:p>
    <w:p>
      <w:pPr>
        <w:spacing w:after="0" w:line="214" w:lineRule="exact"/>
        <w:rPr>
          <w:rFonts w:ascii="Arial" w:cs="Arial" w:eastAsia="Arial" w:hAnsi="Arial"/>
          <w:sz w:val="18"/>
          <w:szCs w:val="18"/>
          <w:b w:val="1"/>
          <w:bCs w:val="1"/>
          <w:color w:val="auto"/>
        </w:rPr>
      </w:pPr>
    </w:p>
    <w:p>
      <w:pPr>
        <w:ind w:left="640" w:hanging="318"/>
        <w:spacing w:after="0"/>
        <w:tabs>
          <w:tab w:leader="none" w:pos="64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income decreased 2.3%; on a currency neutral basis, operating income increased 2.6%.</w:t>
      </w:r>
    </w:p>
    <w:p>
      <w:pPr>
        <w:spacing w:after="0" w:line="214" w:lineRule="exact"/>
        <w:rPr>
          <w:rFonts w:ascii="Arial" w:cs="Arial" w:eastAsia="Arial" w:hAnsi="Arial"/>
          <w:sz w:val="18"/>
          <w:szCs w:val="18"/>
          <w:b w:val="1"/>
          <w:bCs w:val="1"/>
          <w:color w:val="auto"/>
        </w:rPr>
      </w:pPr>
    </w:p>
    <w:p>
      <w:pPr>
        <w:ind w:left="640" w:hanging="318"/>
        <w:spacing w:after="0"/>
        <w:tabs>
          <w:tab w:leader="none" w:pos="64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Majority net income decreased 15.5% driven mainly by an increase in our comprehensive financing result.</w:t>
      </w:r>
    </w:p>
    <w:p>
      <w:pPr>
        <w:spacing w:after="0" w:line="217" w:lineRule="exact"/>
        <w:rPr>
          <w:rFonts w:ascii="Arial" w:cs="Arial" w:eastAsia="Arial" w:hAnsi="Arial"/>
          <w:sz w:val="18"/>
          <w:szCs w:val="18"/>
          <w:b w:val="1"/>
          <w:bCs w:val="1"/>
          <w:color w:val="auto"/>
        </w:rPr>
      </w:pPr>
    </w:p>
    <w:p>
      <w:pPr>
        <w:ind w:left="640" w:hanging="318"/>
        <w:spacing w:after="0"/>
        <w:tabs>
          <w:tab w:leader="none" w:pos="640" w:val="left"/>
        </w:tabs>
        <w:numPr>
          <w:ilvl w:val="0"/>
          <w:numId w:val="3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0.26 (Earnings per unit were Ps. 2.07 and per ADS were Ps. 20.67.).</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SUMMARY FOR THE FIRST QUARTER RESULTS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vs. same period of last year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Majority Net</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8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92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760" w:type="dxa"/>
            <w:vAlign w:val="bottom"/>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8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92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1Q26</w:t>
            </w:r>
          </w:p>
        </w:tc>
        <w:tc>
          <w:tcPr>
            <w:tcW w:w="2000" w:type="dxa"/>
            <w:vAlign w:val="bottom"/>
            <w:gridSpan w:val="2"/>
          </w:tcPr>
          <w:p>
            <w:pPr>
              <w:jc w:val="right"/>
              <w:ind w:right="872"/>
              <w:spacing w:after="0"/>
              <w:rPr>
                <w:sz w:val="20"/>
                <w:szCs w:val="20"/>
                <w:color w:val="auto"/>
              </w:rPr>
            </w:pPr>
            <w:r>
              <w:rPr>
                <w:rFonts w:ascii="Times New Roman" w:cs="Times New Roman" w:eastAsia="Times New Roman" w:hAnsi="Times New Roman"/>
                <w:sz w:val="18"/>
                <w:szCs w:val="18"/>
                <w:b w:val="1"/>
                <w:bCs w:val="1"/>
                <w:color w:val="auto"/>
              </w:rPr>
              <w:t>1Q26</w:t>
            </w:r>
          </w:p>
        </w:tc>
        <w:tc>
          <w:tcPr>
            <w:tcW w:w="1760" w:type="dxa"/>
            <w:vAlign w:val="bottom"/>
            <w:gridSpan w:val="2"/>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1Q26</w:t>
            </w:r>
          </w:p>
        </w:tc>
        <w:tc>
          <w:tcPr>
            <w:tcW w:w="0" w:type="dxa"/>
            <w:vAlign w:val="bottom"/>
          </w:tcPr>
          <w:p>
            <w:pPr>
              <w:spacing w:after="0"/>
              <w:rPr>
                <w:sz w:val="1"/>
                <w:szCs w:val="1"/>
                <w:color w:val="auto"/>
              </w:rPr>
            </w:pPr>
          </w:p>
        </w:tc>
      </w:tr>
      <w:tr>
        <w:trPr>
          <w:trHeight w:val="205"/>
        </w:trPr>
        <w:tc>
          <w:tcPr>
            <w:tcW w:w="142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160" w:type="dxa"/>
            <w:vAlign w:val="bottom"/>
            <w:tcBorders>
              <w:top w:val="single" w:sz="8" w:color="CCEEFF"/>
            </w:tcBorders>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Consolidated</w:t>
            </w:r>
          </w:p>
        </w:tc>
        <w:tc>
          <w:tcPr>
            <w:tcW w:w="16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top w:val="single" w:sz="8" w:color="CCEEFF"/>
            </w:tcBorders>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16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top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79"/>
              </w:rPr>
              <w:t>%</w:t>
            </w:r>
          </w:p>
        </w:tc>
        <w:tc>
          <w:tcPr>
            <w:tcW w:w="168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32"/>
              <w:spacing w:after="0" w:line="205" w:lineRule="exact"/>
              <w:rPr>
                <w:sz w:val="20"/>
                <w:szCs w:val="20"/>
                <w:color w:val="auto"/>
              </w:rPr>
            </w:pPr>
            <w:r>
              <w:rPr>
                <w:rFonts w:ascii="Times New Roman" w:cs="Times New Roman" w:eastAsia="Times New Roman" w:hAnsi="Times New Roman"/>
                <w:sz w:val="18"/>
                <w:szCs w:val="18"/>
                <w:color w:val="auto"/>
                <w:w w:val="85"/>
              </w:rPr>
              <w:t>)%</w:t>
            </w:r>
          </w:p>
        </w:tc>
        <w:tc>
          <w:tcPr>
            <w:tcW w:w="1560" w:type="dxa"/>
            <w:vAlign w:val="bottom"/>
            <w:tcBorders>
              <w:top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CEEFF"/>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24"/>
        </w:trPr>
        <w:tc>
          <w:tcPr>
            <w:tcW w:w="1420" w:type="dxa"/>
            <w:vAlign w:val="bottom"/>
            <w:vMerge w:val="continue"/>
            <w:shd w:val="clear" w:color="auto" w:fill="CCEEFF"/>
          </w:tcPr>
          <w:p>
            <w:pPr>
              <w:spacing w:after="0"/>
              <w:rPr>
                <w:sz w:val="19"/>
                <w:szCs w:val="19"/>
                <w:color w:val="auto"/>
              </w:rPr>
            </w:pP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 &amp; Central America</w:t>
            </w:r>
          </w:p>
        </w:tc>
        <w:tc>
          <w:tcPr>
            <w:tcW w:w="198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w:t>
            </w:r>
          </w:p>
        </w:tc>
        <w:tc>
          <w:tcPr>
            <w:tcW w:w="20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spacing w:after="0"/>
              <w:rPr>
                <w:sz w:val="19"/>
                <w:szCs w:val="19"/>
                <w:color w:val="auto"/>
              </w:rPr>
            </w:pP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America</w:t>
            </w:r>
          </w:p>
        </w:tc>
        <w:tc>
          <w:tcPr>
            <w:tcW w:w="19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w:t>
            </w:r>
          </w:p>
        </w:tc>
        <w:tc>
          <w:tcPr>
            <w:tcW w:w="19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20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18.8%</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Comparable </w:t>
            </w:r>
            <w:r>
              <w:rPr>
                <w:rFonts w:ascii="Times New Roman" w:cs="Times New Roman" w:eastAsia="Times New Roman" w:hAnsi="Times New Roman"/>
                <w:sz w:val="29"/>
                <w:szCs w:val="29"/>
                <w:b w:val="1"/>
                <w:bCs w:val="1"/>
                <w:color w:val="auto"/>
                <w:vertAlign w:val="superscript"/>
              </w:rPr>
              <w:t>(2)</w:t>
            </w: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w:t>
            </w:r>
          </w:p>
        </w:tc>
        <w:tc>
          <w:tcPr>
            <w:tcW w:w="19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6.0%</w:t>
            </w:r>
          </w:p>
        </w:tc>
        <w:tc>
          <w:tcPr>
            <w:tcW w:w="19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20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20" w:type="dxa"/>
            <w:vAlign w:val="bottom"/>
            <w:vMerge w:val="continue"/>
            <w:shd w:val="clear" w:color="auto" w:fill="CCEEFF"/>
          </w:tcPr>
          <w:p>
            <w:pPr>
              <w:spacing w:after="0"/>
              <w:rPr>
                <w:sz w:val="22"/>
                <w:szCs w:val="22"/>
                <w:color w:val="auto"/>
              </w:rPr>
            </w:pP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Mexico &amp; Central America</w:t>
            </w:r>
          </w:p>
        </w:tc>
        <w:tc>
          <w:tcPr>
            <w:tcW w:w="19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20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420" w:type="dxa"/>
            <w:vAlign w:val="bottom"/>
            <w:shd w:val="clear" w:color="auto" w:fill="CCEEFF"/>
          </w:tcPr>
          <w:p>
            <w:pPr>
              <w:spacing w:after="0"/>
              <w:rPr>
                <w:sz w:val="19"/>
                <w:szCs w:val="19"/>
                <w:color w:val="auto"/>
              </w:rPr>
            </w:pPr>
          </w:p>
        </w:tc>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America</w:t>
            </w:r>
          </w:p>
        </w:tc>
        <w:tc>
          <w:tcPr>
            <w:tcW w:w="19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12.3%</w:t>
            </w:r>
          </w:p>
        </w:tc>
        <w:tc>
          <w:tcPr>
            <w:tcW w:w="19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20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26.9%</w:t>
            </w:r>
          </w:p>
        </w:tc>
        <w:tc>
          <w:tcPr>
            <w:tcW w:w="1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Ian Craig, Coca-Cola FEMSA’s CEO, commented:</w:t>
      </w:r>
    </w:p>
    <w:p>
      <w:pPr>
        <w:spacing w:after="0" w:line="2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first quarter results reflected the resiliency of our business and the advantages that a diversified footprint affords. Consolidated volume growth was supported by positive contributions from most of our operations, including strong performances in Argentina, Brazil, Colombia, and Guatemala that helped offset a volume decline in Mexico. As expected, we faced a softer consumer backdrop in Mexico compounded by the excise tax increase. Despite these headwinds, we gained share across most of our markets and categories and achieved record volumes for a first quarter in key markets such as Brazil, Colombia, and Guatemala. Our consolidated margins remained stable, supported by a strong performance in South America that compensated for pressures in Mexico and Central America. Unfavorable volume and mix impacts from the excise tax increase, severance and IT expenses resulted in a 17.4% drop in operating income in Mexico and Central America which was partially compensated by a 18.8% operating income growth in South America driven by volume growth and fixed costs and expenses absorption, resulting in a consolidated operating income decline of 2.3% for the quarter.</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Looking ahead, we remain focused on strengthening our competitive position through targeted revenue management initiatives that support sustainable volume growth over the long term. Throughout 2026, we will also leverage the FIFA World Cup platform across our markets, while continuing to capture efficiencies and savings to protect profitability and prioritize the sustainable long-term growth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7837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76" w:lineRule="exact"/>
        <w:rPr>
          <w:sz w:val="20"/>
          <w:szCs w:val="20"/>
          <w:color w:val="auto"/>
        </w:rPr>
      </w:pPr>
    </w:p>
    <w:p>
      <w:pPr>
        <w:jc w:val="both"/>
        <w:ind w:left="320" w:hanging="314"/>
        <w:spacing w:after="0" w:line="209" w:lineRule="auto"/>
        <w:tabs>
          <w:tab w:leader="none" w:pos="320" w:val="left"/>
        </w:tabs>
        <w:numPr>
          <w:ilvl w:val="0"/>
          <w:numId w:val="3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p>
      <w:pPr>
        <w:spacing w:after="0" w:line="1" w:lineRule="exact"/>
        <w:rPr>
          <w:rFonts w:ascii="Times New Roman" w:cs="Times New Roman" w:eastAsia="Times New Roman" w:hAnsi="Times New Roman"/>
          <w:sz w:val="29"/>
          <w:szCs w:val="29"/>
          <w:i w:val="1"/>
          <w:iCs w:val="1"/>
          <w:color w:val="auto"/>
          <w:vertAlign w:val="superscript"/>
        </w:rPr>
      </w:pPr>
    </w:p>
    <w:p>
      <w:pPr>
        <w:ind w:left="320" w:hanging="314"/>
        <w:spacing w:after="0" w:line="187" w:lineRule="auto"/>
        <w:tabs>
          <w:tab w:leader="none" w:pos="320" w:val="left"/>
        </w:tabs>
        <w:numPr>
          <w:ilvl w:val="0"/>
          <w:numId w:val="3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54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7" w:lineRule="exact"/>
        <w:rPr>
          <w:sz w:val="20"/>
          <w:szCs w:val="20"/>
          <w:color w:val="auto"/>
        </w:rPr>
      </w:pPr>
    </w:p>
    <w:p>
      <w:pPr>
        <w:jc w:val="both"/>
        <w:ind w:left="640" w:hanging="318"/>
        <w:spacing w:after="0" w:line="249" w:lineRule="auto"/>
        <w:tabs>
          <w:tab w:leader="none" w:pos="64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March 24, 2026, Coca-Cola FEMSA held its Annual Ordinary General Shareholders’ Meeting, during which its shareholders approved, among other things, the Company’s consolidated financial statements for the year ended December 31, 2025, the annual report presented by the Board of Directors, the declaration and payment of dividends corresponding to the fiscal year 2025, and the appointment or reelection of the members of the Board of Directors, Planning and Finance, Audit, and Corporate Practices Committees for 2026. The shareholders’ meeting approved the payment of a cash dividend in the amount of Ps. 7.74 per KOF UBL unit (Ps. 0.9675 per share) to be paid in four equal installments of Ps. 1.935 per KOF UBL unit (Ps. 0.241875 per share) on April 21, July 14, October 13, and December 8, 2026, for all outstanding shares on the payment date.</w:t>
      </w:r>
    </w:p>
    <w:p>
      <w:pPr>
        <w:spacing w:after="0" w:line="187" w:lineRule="exact"/>
        <w:rPr>
          <w:rFonts w:ascii="Arial" w:cs="Arial" w:eastAsia="Arial" w:hAnsi="Arial"/>
          <w:sz w:val="18"/>
          <w:szCs w:val="18"/>
          <w:b w:val="1"/>
          <w:bCs w:val="1"/>
          <w:color w:val="auto"/>
        </w:rPr>
      </w:pPr>
    </w:p>
    <w:p>
      <w:pPr>
        <w:jc w:val="both"/>
        <w:ind w:left="640" w:hanging="318"/>
        <w:spacing w:after="0" w:line="256" w:lineRule="auto"/>
        <w:tabs>
          <w:tab w:leader="none" w:pos="64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Coca-Cola FEMSA released its 2025 integrated annual report, the annual report on Form 20-F filing to the U.S. Securities and Exchange Commission, and the annual report filing to the Mexican National Banking and Securities Commission (Comisión Nacional Bancaria y de Valores). These three reports are available on the Investor Relations section of Coca-Cola FEMSA´s website at </w:t>
      </w:r>
      <w:r>
        <w:rPr>
          <w:rFonts w:ascii="Times New Roman" w:cs="Times New Roman" w:eastAsia="Times New Roman" w:hAnsi="Times New Roman"/>
          <w:sz w:val="18"/>
          <w:szCs w:val="18"/>
          <w:u w:val="single" w:color="auto"/>
          <w:color w:val="auto"/>
        </w:rPr>
        <w:t>www.coca-colafemsa.com</w:t>
      </w:r>
    </w:p>
    <w:p>
      <w:pPr>
        <w:spacing w:after="0" w:line="180" w:lineRule="exact"/>
        <w:rPr>
          <w:rFonts w:ascii="Arial" w:cs="Arial" w:eastAsia="Arial" w:hAnsi="Arial"/>
          <w:sz w:val="18"/>
          <w:szCs w:val="18"/>
          <w:b w:val="1"/>
          <w:bCs w:val="1"/>
          <w:color w:val="auto"/>
        </w:rPr>
      </w:pPr>
    </w:p>
    <w:p>
      <w:pPr>
        <w:jc w:val="both"/>
        <w:ind w:left="640" w:hanging="318"/>
        <w:spacing w:after="0" w:line="250" w:lineRule="auto"/>
        <w:tabs>
          <w:tab w:leader="none" w:pos="64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Coca-Cola FEMSA published its 2025 integrated annual report, now including IFRS S1/S2 sustainability disclosures alongside the financial statements with independent assurance—one year ahead of local requirements—improving its usefulness for investor decision-making. It also includes the Company’s first TNFD-aligned disclosure—becoming the first non-alcoholic beverage company in the Americas (fourth globally) to register as a TNFD Adopter—and highlights 2025 progress: 1.35 liters per liter water-use ratio, 123,842 tons of PET collected (27% rPET in primary packaging), 87% renewable electricity, 38% lower Lost-Time Incident Rate since 2023, and 32.3% women in leadership.</w:t>
      </w:r>
    </w:p>
    <w:p>
      <w:pPr>
        <w:spacing w:after="0" w:line="187" w:lineRule="exact"/>
        <w:rPr>
          <w:rFonts w:ascii="Arial" w:cs="Arial" w:eastAsia="Arial" w:hAnsi="Arial"/>
          <w:sz w:val="18"/>
          <w:szCs w:val="18"/>
          <w:b w:val="1"/>
          <w:bCs w:val="1"/>
          <w:color w:val="auto"/>
        </w:rPr>
      </w:pPr>
    </w:p>
    <w:p>
      <w:pPr>
        <w:ind w:left="640" w:hanging="318"/>
        <w:spacing w:after="0" w:line="268" w:lineRule="auto"/>
        <w:tabs>
          <w:tab w:leader="none" w:pos="640" w:val="left"/>
        </w:tabs>
        <w:numPr>
          <w:ilvl w:val="0"/>
          <w:numId w:val="3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April 21, 2026, Coca-Cola FEMSA paid the first installment of the ordinary dividend approved for Ps. 0.241875 per share, for a total cash distribution of Ps. 4,065.1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149225</wp:posOffset>
            </wp:positionV>
            <wp:extent cx="5854065" cy="1541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54065"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3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54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CONSOLIDATED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149225</wp:posOffset>
            </wp:positionV>
            <wp:extent cx="5594350" cy="1348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94350" cy="1348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FIRST QUARTER RESULTS</w:t>
      </w: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Expressed in millions of Mexican pesos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4"/>
              </w:rPr>
              <w:t xml:space="preserve">Comparable </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04"/>
        </w:trPr>
        <w:tc>
          <w:tcPr>
            <w:tcW w:w="1440" w:type="dxa"/>
            <w:vAlign w:val="bottom"/>
            <w:tcBorders>
              <w:top w:val="single" w:sz="8" w:color="auto"/>
            </w:tcBorders>
            <w:gridSpan w:val="2"/>
          </w:tcPr>
          <w:p>
            <w:pPr>
              <w:jc w:val="right"/>
              <w:ind w:right="520"/>
              <w:spacing w:after="0" w:line="204" w:lineRule="exact"/>
              <w:rPr>
                <w:sz w:val="20"/>
                <w:szCs w:val="20"/>
                <w:color w:val="auto"/>
              </w:rPr>
            </w:pPr>
            <w:r>
              <w:rPr>
                <w:rFonts w:ascii="Times New Roman" w:cs="Times New Roman" w:eastAsia="Times New Roman" w:hAnsi="Times New Roman"/>
                <w:sz w:val="18"/>
                <w:szCs w:val="18"/>
                <w:b w:val="1"/>
                <w:bCs w:val="1"/>
                <w:color w:val="auto"/>
              </w:rPr>
              <w:t>1Q 2026</w:t>
            </w:r>
          </w:p>
        </w:tc>
        <w:tc>
          <w:tcPr>
            <w:tcW w:w="1440" w:type="dxa"/>
            <w:vAlign w:val="bottom"/>
            <w:tcBorders>
              <w:top w:val="single" w:sz="8" w:color="auto"/>
            </w:tcBorders>
            <w:gridSpan w:val="2"/>
          </w:tcPr>
          <w:p>
            <w:pPr>
              <w:jc w:val="right"/>
              <w:ind w:right="520"/>
              <w:spacing w:after="0" w:line="204" w:lineRule="exact"/>
              <w:rPr>
                <w:sz w:val="20"/>
                <w:szCs w:val="20"/>
                <w:color w:val="auto"/>
              </w:rPr>
            </w:pPr>
            <w:r>
              <w:rPr>
                <w:rFonts w:ascii="Times New Roman" w:cs="Times New Roman" w:eastAsia="Times New Roman" w:hAnsi="Times New Roman"/>
                <w:sz w:val="18"/>
                <w:szCs w:val="18"/>
                <w:b w:val="1"/>
                <w:bCs w:val="1"/>
                <w:color w:val="auto"/>
              </w:rPr>
              <w:t>1Q 2025</w:t>
            </w:r>
          </w:p>
        </w:tc>
        <w:tc>
          <w:tcPr>
            <w:tcW w:w="840" w:type="dxa"/>
            <w:vAlign w:val="bottom"/>
            <w:tcBorders>
              <w:top w:val="single" w:sz="8" w:color="auto"/>
            </w:tcBorders>
          </w:tcPr>
          <w:p>
            <w:pPr>
              <w:ind w:left="460"/>
              <w:spacing w:after="0" w:line="204" w:lineRule="exact"/>
              <w:rPr>
                <w:sz w:val="20"/>
                <w:szCs w:val="20"/>
                <w:color w:val="auto"/>
              </w:rPr>
            </w:pPr>
            <w:r>
              <w:rPr>
                <w:rFonts w:ascii="Times New Roman" w:cs="Times New Roman" w:eastAsia="Times New Roman" w:hAnsi="Times New Roman"/>
                <w:sz w:val="18"/>
                <w:szCs w:val="18"/>
                <w:b w:val="1"/>
                <w:bCs w:val="1"/>
                <w:color w:val="auto"/>
              </w:rPr>
              <w:t>Δ%</w:t>
            </w:r>
          </w:p>
        </w:tc>
        <w:tc>
          <w:tcPr>
            <w:tcW w:w="380" w:type="dxa"/>
            <w:vAlign w:val="bottom"/>
            <w:tcBorders>
              <w:top w:val="single" w:sz="8" w:color="auto"/>
            </w:tcBorders>
          </w:tcPr>
          <w:p>
            <w:pPr>
              <w:spacing w:after="0"/>
              <w:rPr>
                <w:sz w:val="17"/>
                <w:szCs w:val="17"/>
                <w:color w:val="auto"/>
              </w:rPr>
            </w:pPr>
          </w:p>
        </w:tc>
        <w:tc>
          <w:tcPr>
            <w:tcW w:w="32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tcBorders>
          </w:tcPr>
          <w:p>
            <w:pPr>
              <w:jc w:val="right"/>
              <w:ind w:right="372"/>
              <w:spacing w:after="0" w:line="204" w:lineRule="exact"/>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9"/>
        </w:trPr>
        <w:tc>
          <w:tcPr>
            <w:tcW w:w="12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70,925</w:t>
            </w:r>
          </w:p>
        </w:tc>
        <w:tc>
          <w:tcPr>
            <w:tcW w:w="220" w:type="dxa"/>
            <w:vAlign w:val="bottom"/>
          </w:tcPr>
          <w:p>
            <w:pPr>
              <w:spacing w:after="0"/>
              <w:rPr>
                <w:sz w:val="17"/>
                <w:szCs w:val="17"/>
                <w:color w:val="auto"/>
              </w:rPr>
            </w:pPr>
          </w:p>
        </w:tc>
        <w:tc>
          <w:tcPr>
            <w:tcW w:w="12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70,157</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vMerge w:val="continue"/>
          </w:tcPr>
          <w:p>
            <w:pPr>
              <w:spacing w:after="0"/>
              <w:rPr>
                <w:sz w:val="17"/>
                <w:szCs w:val="17"/>
                <w:color w:val="auto"/>
              </w:rPr>
            </w:pPr>
          </w:p>
        </w:tc>
        <w:tc>
          <w:tcPr>
            <w:tcW w:w="12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31,832</w:t>
            </w:r>
          </w:p>
        </w:tc>
        <w:tc>
          <w:tcPr>
            <w:tcW w:w="840" w:type="dxa"/>
            <w:vAlign w:val="bottom"/>
          </w:tcPr>
          <w:p>
            <w:pPr>
              <w:spacing w:after="0"/>
              <w:rPr>
                <w:sz w:val="19"/>
                <w:szCs w:val="19"/>
                <w:color w:val="auto"/>
              </w:rPr>
            </w:pP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2"/>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9,248</w:t>
            </w:r>
          </w:p>
        </w:tc>
        <w:tc>
          <w:tcPr>
            <w:tcW w:w="840" w:type="dxa"/>
            <w:vAlign w:val="bottom"/>
          </w:tcPr>
          <w:p>
            <w:pPr>
              <w:spacing w:after="0"/>
              <w:rPr>
                <w:sz w:val="21"/>
                <w:szCs w:val="21"/>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4"/>
        </w:trPr>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13,254</w:t>
            </w:r>
          </w:p>
        </w:tc>
        <w:tc>
          <w:tcPr>
            <w:tcW w:w="840" w:type="dxa"/>
            <w:vAlign w:val="bottom"/>
          </w:tcPr>
          <w:p>
            <w:pPr>
              <w:spacing w:after="0"/>
              <w:rPr>
                <w:sz w:val="22"/>
                <w:szCs w:val="22"/>
                <w:color w:val="auto"/>
              </w:rPr>
            </w:pPr>
          </w:p>
        </w:tc>
        <w:tc>
          <w:tcPr>
            <w:tcW w:w="7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-308610</wp:posOffset>
            </wp:positionV>
            <wp:extent cx="7135495" cy="142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-601980</wp:posOffset>
            </wp:positionV>
            <wp:extent cx="7135495" cy="150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720" w:space="720"/>
            <w:col w:w="5800"/>
          </w:cols>
          <w:pgMar w:left="320" w:top="88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1.2% to 998.4 million-unit cases, driven by volume growth in most of our operations that was partially offset by a decline in Mexico.</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1.1% to Ps. 70,925 million. This increase was driven mainly by revenue management initiatives and a volume increase in most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countries, partially offset by the negative translation effect from all our operating currencies into Mexican pesos. Excluding currency translation effects, total revenues increased 6.0%.</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4.5% to Ps. 33,255 million, and gross margin expanded 150 basis points to 46.9%. This expansion was driven mainly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sweetener and PET costs, coupled with the appreciation of most of our operating currencies as applied to our U.S. dollar-denominated raw material costs. These effects were partially offset by higher fixed costs such as labor and depreciation, coupled with unfavorable mix effects. Excluding currency translation effects, gross profit increased 9.5%.</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decreased 2.3% to Ps. 9,032 million, and operating margin contracted 50 basis points to 12.7%. This margin contraction was driven mainly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rightsizing initiatives and IT expenses, related to the implementation of SAP4Hana, in addition we recorded higher operating expenses such as marketing and depreciation. These effects were partially offset by expense efficiencies such as freight and maintenance across our operations. In addition, this quarter we recognized an income of Ps. 95 million, net of expenses, related to insurance claims from Hurricane John that impacted Mexico in September 2024. Excluding currency translation effects, operating income increased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7837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90" w:lineRule="exact"/>
        <w:rPr>
          <w:sz w:val="20"/>
          <w:szCs w:val="20"/>
          <w:color w:val="auto"/>
        </w:rPr>
      </w:pPr>
    </w:p>
    <w:p>
      <w:pPr>
        <w:ind w:left="320" w:hanging="314"/>
        <w:spacing w:after="0" w:line="196" w:lineRule="auto"/>
        <w:tabs>
          <w:tab w:leader="none" w:pos="320" w:val="left"/>
        </w:tabs>
        <w:numPr>
          <w:ilvl w:val="0"/>
          <w:numId w:val="34"/>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ind w:left="320" w:hanging="314"/>
        <w:spacing w:after="0" w:line="183" w:lineRule="auto"/>
        <w:tabs>
          <w:tab w:leader="none" w:pos="320" w:val="left"/>
        </w:tabs>
        <w:numPr>
          <w:ilvl w:val="0"/>
          <w:numId w:val="3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54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Comprehensive financing result </w:t>
      </w:r>
      <w:r>
        <w:rPr>
          <w:rFonts w:ascii="Times New Roman" w:cs="Times New Roman" w:eastAsia="Times New Roman" w:hAnsi="Times New Roman"/>
          <w:sz w:val="18"/>
          <w:szCs w:val="18"/>
          <w:color w:val="auto"/>
        </w:rPr>
        <w:t>recorded an expense of Ps. 1,752 million, compared to an expense of Ps. 1,126 million in the previous year. This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driven mainly by a loss in financial instruments of Ps. 167 million, as compared to a gain of Ps. 135 million recorded in the same period of the previous year, driven mainly by an increase in rates and the valuation of matured financial instruments in Brazil.</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In addition, we recorded a higher interest expense, net, because of an increase in interest expenses driven mainly by new bond issuances in U.S. dollars and Mexican pesos. Moreover, we recorded a reduction in interest income because of a lower cash position in key markets.</w:t>
      </w:r>
    </w:p>
    <w:p>
      <w:pPr>
        <w:spacing w:after="0" w:line="16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6"/>
          <w:szCs w:val="16"/>
          <w:color w:val="auto"/>
        </w:rPr>
        <w:t>Additionally, we recognized a foreign exchange loss of Ps. 117 million in the first quarter of 2026 as compared to a loss of Ps. 59 million in the same period of the previous year. The loss this year was driven mainly by the quarterly appreciation of the Brazilian Real and the Costa Rican Colon as applied to our U.S. dollar-denominated cash position, coupled with the quarterly depreciation of the Mexican peso as applied to our U.S. dollar-denominated net debt position.</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These effects were partially offset by the recognition of a higher gain in monetary positions in inflationary subsidiaries related to Argentina for Ps. 104 million as compared to a gain of Ps. 87 million recorded in the same period of the previous year.</w:t>
      </w:r>
    </w:p>
    <w:p>
      <w:pPr>
        <w:spacing w:after="0" w:line="16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as a percentage of income before taxes was 36.6% as compared to 33.4% during the same period of 2025. This increase was driven mainly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inflationary effects in Argentina and non-creditable taxes in Mexico.</w:t>
      </w:r>
    </w:p>
    <w:p>
      <w:pPr>
        <w:spacing w:after="0" w:line="16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b w:val="1"/>
          <w:bCs w:val="1"/>
          <w:color w:val="auto"/>
        </w:rPr>
        <w:t xml:space="preserve">Net income attributable to equity holders of the company </w:t>
      </w:r>
      <w:r>
        <w:rPr>
          <w:rFonts w:ascii="Times New Roman" w:cs="Times New Roman" w:eastAsia="Times New Roman" w:hAnsi="Times New Roman"/>
          <w:sz w:val="18"/>
          <w:szCs w:val="18"/>
          <w:color w:val="auto"/>
        </w:rPr>
        <w:t>decreased 15.5% to reach Ps. 4,342 million. This decrease was driven mainly by an increase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comprehensive financing result, coupled with a decrease in our operating income.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were Ps. 0.26 (Earnings per unit were Ps. 2.07 and per ADS were Ps. 20.67.).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7837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99" w:lineRule="exact"/>
        <w:rPr>
          <w:sz w:val="20"/>
          <w:szCs w:val="20"/>
          <w:color w:val="auto"/>
        </w:rPr>
      </w:pPr>
    </w:p>
    <w:p>
      <w:pPr>
        <w:jc w:val="both"/>
        <w:ind w:left="320" w:hanging="314"/>
        <w:spacing w:after="0" w:line="209" w:lineRule="auto"/>
        <w:tabs>
          <w:tab w:leader="none" w:pos="320" w:val="left"/>
        </w:tabs>
        <w:numPr>
          <w:ilvl w:val="0"/>
          <w:numId w:val="3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Quarterly earnings / outstanding shares. Earnings per share (EPS) were calculated using 16,806.7 million shares outstanding. For the convenience of the reader, as a KOFUBL Unit is comprised of 8 shares (3 Series B shares and 5 Series L shares), earnings per unit are equal to EPS multiplied by 8. Each ADS represents 10 KOFUBL Units.</w:t>
      </w:r>
    </w:p>
    <w:p>
      <w:pPr>
        <w:spacing w:after="0" w:line="200" w:lineRule="exact"/>
        <w:rPr>
          <w:sz w:val="20"/>
          <w:szCs w:val="20"/>
          <w:color w:val="auto"/>
        </w:rPr>
      </w:pPr>
    </w:p>
    <w:p>
      <w:pPr>
        <w:spacing w:after="0" w:line="204"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5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54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MEXICO &amp; CENTRAL AMERICA DIVISION FIRST QUARTER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Guatemala, Costa Rica, Panama, and Nicaragua)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698500</wp:posOffset>
            </wp:positionH>
            <wp:positionV relativeFrom="paragraph">
              <wp:posOffset>-119380</wp:posOffset>
            </wp:positionV>
            <wp:extent cx="6440170" cy="2009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40170" cy="200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MEXICO &amp; CENTRAL AMERICA DIVISION RESULTS</w:t>
      </w:r>
    </w:p>
    <w:p>
      <w:pPr>
        <w:sectPr>
          <w:pgSz w:w="11900" w:h="16838" w:orient="portrait"/>
          <w:cols w:equalWidth="0" w:num="1">
            <w:col w:w="11240"/>
          </w:cols>
          <w:pgMar w:left="320" w:top="884"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Expressed in millions of Mexican pesos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3"/>
        </w:trPr>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As Reported</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95"/>
              </w:rPr>
              <w:t xml:space="preserve">Comparable </w:t>
            </w:r>
            <w:r>
              <w:rPr>
                <w:rFonts w:ascii="Times New Roman" w:cs="Times New Roman" w:eastAsia="Times New Roman" w:hAnsi="Times New Roman"/>
                <w:sz w:val="29"/>
                <w:szCs w:val="29"/>
                <w:b w:val="1"/>
                <w:bCs w:val="1"/>
                <w:color w:val="auto"/>
                <w:w w:val="95"/>
                <w:vertAlign w:val="superscript"/>
              </w:rPr>
              <w:t>(1)</w:t>
            </w:r>
          </w:p>
        </w:tc>
        <w:tc>
          <w:tcPr>
            <w:tcW w:w="0" w:type="dxa"/>
            <w:vAlign w:val="bottom"/>
          </w:tcPr>
          <w:p>
            <w:pPr>
              <w:spacing w:after="0"/>
              <w:rPr>
                <w:sz w:val="1"/>
                <w:szCs w:val="1"/>
                <w:color w:val="auto"/>
              </w:rPr>
            </w:pPr>
          </w:p>
        </w:tc>
      </w:tr>
      <w:tr>
        <w:trPr>
          <w:trHeight w:val="204"/>
        </w:trPr>
        <w:tc>
          <w:tcPr>
            <w:tcW w:w="1440" w:type="dxa"/>
            <w:vAlign w:val="bottom"/>
            <w:tcBorders>
              <w:top w:val="single" w:sz="8" w:color="auto"/>
            </w:tcBorders>
            <w:gridSpan w:val="2"/>
          </w:tcPr>
          <w:p>
            <w:pPr>
              <w:ind w:left="300"/>
              <w:spacing w:after="0" w:line="204" w:lineRule="exact"/>
              <w:rPr>
                <w:sz w:val="20"/>
                <w:szCs w:val="20"/>
                <w:color w:val="auto"/>
              </w:rPr>
            </w:pPr>
            <w:r>
              <w:rPr>
                <w:rFonts w:ascii="Times New Roman" w:cs="Times New Roman" w:eastAsia="Times New Roman" w:hAnsi="Times New Roman"/>
                <w:sz w:val="18"/>
                <w:szCs w:val="18"/>
                <w:b w:val="1"/>
                <w:bCs w:val="1"/>
                <w:color w:val="auto"/>
              </w:rPr>
              <w:t>1Q 2026</w:t>
            </w:r>
          </w:p>
        </w:tc>
        <w:tc>
          <w:tcPr>
            <w:tcW w:w="1440" w:type="dxa"/>
            <w:vAlign w:val="bottom"/>
            <w:tcBorders>
              <w:top w:val="single" w:sz="8" w:color="auto"/>
            </w:tcBorders>
            <w:gridSpan w:val="2"/>
          </w:tcPr>
          <w:p>
            <w:pPr>
              <w:jc w:val="center"/>
              <w:ind w:right="220"/>
              <w:spacing w:after="0" w:line="204" w:lineRule="exact"/>
              <w:rPr>
                <w:sz w:val="20"/>
                <w:szCs w:val="20"/>
                <w:color w:val="auto"/>
              </w:rPr>
            </w:pPr>
            <w:r>
              <w:rPr>
                <w:rFonts w:ascii="Times New Roman" w:cs="Times New Roman" w:eastAsia="Times New Roman" w:hAnsi="Times New Roman"/>
                <w:sz w:val="18"/>
                <w:szCs w:val="18"/>
                <w:b w:val="1"/>
                <w:bCs w:val="1"/>
                <w:color w:val="auto"/>
                <w:w w:val="97"/>
              </w:rPr>
              <w:t>1Q 2025</w:t>
            </w:r>
          </w:p>
        </w:tc>
        <w:tc>
          <w:tcPr>
            <w:tcW w:w="820" w:type="dxa"/>
            <w:vAlign w:val="bottom"/>
            <w:tcBorders>
              <w:top w:val="single" w:sz="8" w:color="auto"/>
            </w:tcBorders>
          </w:tcPr>
          <w:p>
            <w:pPr>
              <w:ind w:left="480"/>
              <w:spacing w:after="0" w:line="204" w:lineRule="exact"/>
              <w:rPr>
                <w:sz w:val="20"/>
                <w:szCs w:val="20"/>
                <w:color w:val="auto"/>
              </w:rPr>
            </w:pPr>
            <w:r>
              <w:rPr>
                <w:rFonts w:ascii="Times New Roman" w:cs="Times New Roman" w:eastAsia="Times New Roman" w:hAnsi="Times New Roman"/>
                <w:sz w:val="18"/>
                <w:szCs w:val="18"/>
                <w:b w:val="1"/>
                <w:bCs w:val="1"/>
                <w:color w:val="auto"/>
              </w:rPr>
              <w:t>Δ%</w:t>
            </w:r>
          </w:p>
        </w:tc>
        <w:tc>
          <w:tcPr>
            <w:tcW w:w="400" w:type="dxa"/>
            <w:vAlign w:val="bottom"/>
            <w:tcBorders>
              <w:top w:val="single" w:sz="8" w:color="auto"/>
            </w:tcBorders>
          </w:tcPr>
          <w:p>
            <w:pPr>
              <w:spacing w:after="0"/>
              <w:rPr>
                <w:sz w:val="17"/>
                <w:szCs w:val="17"/>
                <w:color w:val="auto"/>
              </w:rPr>
            </w:pPr>
          </w:p>
        </w:tc>
        <w:tc>
          <w:tcPr>
            <w:tcW w:w="3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95"/>
              </w:rPr>
              <w:t>)%</w:t>
            </w:r>
          </w:p>
        </w:tc>
        <w:tc>
          <w:tcPr>
            <w:tcW w:w="1240" w:type="dxa"/>
            <w:vAlign w:val="bottom"/>
            <w:tcBorders>
              <w:top w:val="single" w:sz="8" w:color="auto"/>
            </w:tcBorders>
          </w:tcPr>
          <w:p>
            <w:pPr>
              <w:jc w:val="right"/>
              <w:ind w:right="392"/>
              <w:spacing w:after="0" w:line="204" w:lineRule="exact"/>
              <w:rPr>
                <w:sz w:val="20"/>
                <w:szCs w:val="20"/>
                <w:color w:val="auto"/>
              </w:rPr>
            </w:pPr>
            <w:r>
              <w:rPr>
                <w:rFonts w:ascii="Times New Roman" w:cs="Times New Roman" w:eastAsia="Times New Roman" w:hAnsi="Times New Roman"/>
                <w:sz w:val="18"/>
                <w:szCs w:val="18"/>
                <w:b w:val="1"/>
                <w:bCs w:val="1"/>
                <w:color w:val="auto"/>
              </w:rPr>
              <w:t>Δ%</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9"/>
        </w:trPr>
        <w:tc>
          <w:tcPr>
            <w:tcW w:w="12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39,117</w:t>
            </w:r>
          </w:p>
        </w:tc>
        <w:tc>
          <w:tcPr>
            <w:tcW w:w="200" w:type="dxa"/>
            <w:vAlign w:val="bottom"/>
          </w:tcPr>
          <w:p>
            <w:pPr>
              <w:spacing w:after="0"/>
              <w:rPr>
                <w:sz w:val="17"/>
                <w:szCs w:val="17"/>
                <w:color w:val="auto"/>
              </w:rPr>
            </w:pPr>
          </w:p>
        </w:tc>
        <w:tc>
          <w:tcPr>
            <w:tcW w:w="12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39,669</w:t>
            </w: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(1.4</w:t>
            </w:r>
          </w:p>
        </w:tc>
        <w:tc>
          <w:tcPr>
            <w:tcW w:w="320" w:type="dxa"/>
            <w:vAlign w:val="bottom"/>
            <w:vMerge w:val="continue"/>
          </w:tcPr>
          <w:p>
            <w:pPr>
              <w:spacing w:after="0"/>
              <w:rPr>
                <w:sz w:val="17"/>
                <w:szCs w:val="17"/>
                <w:color w:val="auto"/>
              </w:rPr>
            </w:pPr>
          </w:p>
        </w:tc>
        <w:tc>
          <w:tcPr>
            <w:tcW w:w="12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1.4</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18,886</w:t>
            </w:r>
          </w:p>
        </w:tc>
        <w:tc>
          <w:tcPr>
            <w:tcW w:w="820" w:type="dxa"/>
            <w:vAlign w:val="bottom"/>
          </w:tcPr>
          <w:p>
            <w:pPr>
              <w:spacing w:after="0"/>
              <w:rPr>
                <w:sz w:val="19"/>
                <w:szCs w:val="19"/>
                <w:color w:val="auto"/>
              </w:rPr>
            </w:pPr>
          </w:p>
        </w:tc>
        <w:tc>
          <w:tcPr>
            <w:tcW w:w="72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2"/>
        </w:trPr>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w:t>
            </w:r>
          </w:p>
        </w:tc>
        <w:tc>
          <w:tcPr>
            <w:tcW w:w="820" w:type="dxa"/>
            <w:vAlign w:val="bottom"/>
          </w:tcPr>
          <w:p>
            <w:pPr>
              <w:spacing w:after="0"/>
              <w:rPr>
                <w:sz w:val="21"/>
                <w:szCs w:val="21"/>
                <w:color w:val="auto"/>
              </w:rPr>
            </w:pPr>
          </w:p>
        </w:tc>
        <w:tc>
          <w:tcPr>
            <w:tcW w:w="7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64"/>
        </w:trPr>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7,908</w:t>
            </w:r>
          </w:p>
        </w:tc>
        <w:tc>
          <w:tcPr>
            <w:tcW w:w="820" w:type="dxa"/>
            <w:vAlign w:val="bottom"/>
          </w:tcPr>
          <w:p>
            <w:pPr>
              <w:spacing w:after="0"/>
              <w:rPr>
                <w:sz w:val="22"/>
                <w:szCs w:val="22"/>
                <w:color w:val="auto"/>
              </w:rPr>
            </w:pPr>
          </w:p>
        </w:tc>
        <w:tc>
          <w:tcPr>
            <w:tcW w:w="7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-308610</wp:posOffset>
            </wp:positionV>
            <wp:extent cx="7135495" cy="142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-3411855</wp:posOffset>
            </wp:positionH>
            <wp:positionV relativeFrom="paragraph">
              <wp:posOffset>-601980</wp:posOffset>
            </wp:positionV>
            <wp:extent cx="7135495" cy="150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4660" w:space="720"/>
            <w:col w:w="5860"/>
          </w:cols>
          <w:pgMar w:left="320" w:top="884" w:right="339" w:bottom="1440" w:gutter="0" w:footer="0" w:header="0"/>
          <w:type w:val="continuous"/>
        </w:sect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decreased 1.6% to 544.5 million-unit cases, driven by a volume decline in Mexico, partially offset by volume growth in the rest of our territories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decreased 1.4% to Ps. 39,117 million. This performance was driven mainly by unfavorable mix and currency translation effects from all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currencies into Mexican pesos. These effects were partially offset by revenue management initiatives and volume increases in our territories in Central America. Excluding currency translation effects, total revenues increased 1.4%.</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0.7% to Ps. 19,020 million, and gross margin expanded 100 basis points to 48.6%. This margin expansion was driven mainly by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sweetener and PET costs, coupled with the appreciation of the Mexican peso as applied to our U.S. dollar-denominated raw material costs. These effects were partially offset by unfavorable mix effects. Excluding currency translation effects, gross profit increased 3.7%.</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decreased 17.4% to Ps. 4,461 million, and operating margin contracted 220 basis points to 11.4%. Our operating income includes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recognition of insurance claims in Mexico, net of expenses, for Ps. 95 million.</w:t>
      </w:r>
    </w:p>
    <w:p>
      <w:pPr>
        <w:spacing w:after="0" w:line="1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operating margin contraction was driven mainly by an increase in operating expenses such as marketing, depreciation, restructuring and IT. These effects were partially offset by operating expense efficiencies such as maintenance and distribution. Excluding currency translation effects, operating income decreased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7837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84" w:lineRule="exact"/>
        <w:rPr>
          <w:sz w:val="20"/>
          <w:szCs w:val="20"/>
          <w:color w:val="auto"/>
        </w:rPr>
      </w:pPr>
    </w:p>
    <w:p>
      <w:pPr>
        <w:ind w:left="320" w:hanging="314"/>
        <w:spacing w:after="0" w:line="196" w:lineRule="auto"/>
        <w:tabs>
          <w:tab w:leader="none" w:pos="320" w:val="left"/>
        </w:tabs>
        <w:numPr>
          <w:ilvl w:val="0"/>
          <w:numId w:val="36"/>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ind w:left="320" w:hanging="314"/>
        <w:spacing w:after="0" w:line="183" w:lineRule="auto"/>
        <w:tabs>
          <w:tab w:leader="none" w:pos="320" w:val="left"/>
        </w:tabs>
        <w:numPr>
          <w:ilvl w:val="0"/>
          <w:numId w:val="36"/>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6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54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SOUTH AMERICA DIVISION FIRST QUARTER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 Argentina, Colombia, and Uruguay)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-119380</wp:posOffset>
            </wp:positionV>
            <wp:extent cx="6515735" cy="2026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15735" cy="202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80" w:type="dxa"/>
            <w:vAlign w:val="bottom"/>
          </w:tcPr>
          <w:p>
            <w:pPr>
              <w:spacing w:after="0"/>
              <w:rPr>
                <w:sz w:val="20"/>
                <w:szCs w:val="20"/>
                <w:color w:val="auto"/>
              </w:rPr>
            </w:pPr>
          </w:p>
        </w:tc>
        <w:tc>
          <w:tcPr>
            <w:tcW w:w="498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SOUTH AMERICA DIVISION RESULTS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2"/>
        </w:trPr>
        <w:tc>
          <w:tcPr>
            <w:tcW w:w="3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 xml:space="preserve">Comparable </w:t>
            </w:r>
            <w:r>
              <w:rPr>
                <w:rFonts w:ascii="Times New Roman" w:cs="Times New Roman" w:eastAsia="Times New Roman" w:hAnsi="Times New Roman"/>
                <w:sz w:val="29"/>
                <w:szCs w:val="29"/>
                <w:b w:val="1"/>
                <w:bCs w:val="1"/>
                <w:color w:val="auto"/>
                <w:w w:val="92"/>
                <w:vertAlign w:val="superscript"/>
              </w:rPr>
              <w:t>(1)</w:t>
            </w:r>
          </w:p>
        </w:tc>
      </w:tr>
      <w:tr>
        <w:trPr>
          <w:trHeight w:val="21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Expressed in millions of Mexican pesos</w:t>
            </w:r>
          </w:p>
        </w:tc>
        <w:tc>
          <w:tcPr>
            <w:tcW w:w="20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200" w:type="dxa"/>
            <w:vAlign w:val="bottom"/>
            <w:tcBorders>
              <w:top w:val="single" w:sz="8" w:color="auto"/>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Δ%</w:t>
            </w:r>
          </w:p>
        </w:tc>
        <w:tc>
          <w:tcPr>
            <w:tcW w:w="2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Borders>
              <w:bottom w:val="single" w:sz="8" w:color="CCEEFF"/>
            </w:tcBorders>
          </w:tcPr>
          <w:p>
            <w:pPr>
              <w:spacing w:after="0"/>
              <w:rPr>
                <w:sz w:val="18"/>
                <w:szCs w:val="18"/>
                <w:color w:val="auto"/>
              </w:rPr>
            </w:pPr>
          </w:p>
        </w:tc>
      </w:tr>
      <w:tr>
        <w:trPr>
          <w:trHeight w:val="204"/>
        </w:trPr>
        <w:tc>
          <w:tcPr>
            <w:tcW w:w="33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 revenues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31,809</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30,488</w:t>
            </w: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12.3%</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14,235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12,947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5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4,571</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3,848</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38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(2)</w:t>
            </w:r>
          </w:p>
        </w:tc>
        <w:tc>
          <w:tcPr>
            <w:tcW w:w="35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6,246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increased 4.8% to 453.9 million-unit cases, driven by volume growth across all the countries in the division.</w:t>
      </w:r>
    </w:p>
    <w:p>
      <w:pPr>
        <w:spacing w:after="0" w:line="215" w:lineRule="exact"/>
        <w:rPr>
          <w:sz w:val="20"/>
          <w:szCs w:val="20"/>
          <w:color w:val="auto"/>
        </w:rPr>
      </w:pPr>
    </w:p>
    <w:p>
      <w:pPr>
        <w:jc w:val="both"/>
        <w:spacing w:after="0" w:line="336" w:lineRule="auto"/>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16"/>
          <w:szCs w:val="16"/>
          <w:color w:val="auto"/>
        </w:rPr>
        <w:t>increased 4.3% to Ps. 31,809 million. This increase was driven mainly by volume growth and revenue management initiatives, offsetting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unfavorable currency translation from all our operating currencies into Mexican pesos. Excluding currency translation effects, total revenues increased 12.3%.</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increased 10.0% to Ps. 14,235 million, and gross margin expanded 230 basis points to 44.8%. This expansion was driven by lower sweetener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PET costs, coupled with the appreciation of most of our operating currencies as applied to our U.S. dollar-denominated raw material costs. These effects were partially offset by higher fixed costs such as depreciation. Excluding currency translation effects, gross profit increased 18.3%.</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increased 18.8% to Ps. 4,571 million, resulting in an operating margin expansion of 180 basis points to 14.4%. This operating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was driven mainly by operating leverage, coupled with expense efficiencies such as labor, partially offset by higher expenses such as marketing. Excluding currency translation effects, operating income increased 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17837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83" w:lineRule="exact"/>
        <w:rPr>
          <w:sz w:val="20"/>
          <w:szCs w:val="20"/>
          <w:color w:val="auto"/>
        </w:rPr>
      </w:pPr>
    </w:p>
    <w:p>
      <w:pPr>
        <w:ind w:left="320" w:hanging="314"/>
        <w:spacing w:after="0" w:line="196" w:lineRule="auto"/>
        <w:tabs>
          <w:tab w:leader="none" w:pos="320" w:val="left"/>
        </w:tabs>
        <w:numPr>
          <w:ilvl w:val="0"/>
          <w:numId w:val="3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ind w:left="320" w:hanging="314"/>
        <w:spacing w:after="0" w:line="183" w:lineRule="auto"/>
        <w:tabs>
          <w:tab w:leader="none" w:pos="320" w:val="left"/>
        </w:tabs>
        <w:numPr>
          <w:ilvl w:val="0"/>
          <w:numId w:val="37"/>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 amortization &amp; other operating non-cash charges.</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7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35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1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Volume </w:t>
      </w:r>
      <w:r>
        <w:rPr>
          <w:rFonts w:ascii="Times New Roman" w:cs="Times New Roman" w:eastAsia="Times New Roman" w:hAnsi="Times New Roman"/>
          <w:sz w:val="18"/>
          <w:szCs w:val="18"/>
          <w:color w:val="auto"/>
        </w:rPr>
        <w:t>is expressed in unit cases. Unit case refers to 192 ounces of finished beverage product (24 eight-ounce servings) and, when applied to soda fountains,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refers to the volume of syrup, powders, and concentrate that is required to produce 192 ounces of finished beverage product.</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Transactions </w:t>
      </w:r>
      <w:r>
        <w:rPr>
          <w:rFonts w:ascii="Times New Roman" w:cs="Times New Roman" w:eastAsia="Times New Roman" w:hAnsi="Times New Roman"/>
          <w:sz w:val="18"/>
          <w:szCs w:val="18"/>
          <w:color w:val="auto"/>
        </w:rPr>
        <w:t>refer to the number of single units (e.g., a can or a bottle) sold, regardless of their size or volume or whether they are sold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multipacks, except for soda fountains, which represent multiple transactions based on a standard 12 oz. serving.</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is a non-GAAP financial measure computed as “gross profit – operating expenses – other operating expenses, net + operative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(gain) loss in associates.”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is a non-GAAP financial measure computed as “operating income + depreciation + amortization &amp; other operating non-cash charges.”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are equal to “quarterly earnings / outstanding shares.” Earnings per share (EPS) for all periods are adjusted to give effect to the stock split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16,806,658,096 shares outstanding. For the convenience of the reader, as a KOFUBL Unit is comprised of 8 shares (3 Series B shares and 5 Series L shares), earnings per unit are equal to EPS multiplied by 8. Each ADS represents 10 KOFUBL Units.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Our “comparable” term means, with respect to a year-over-year comparison, the change of a given measure excluding translation effects resulting from exchange rate movements. In preparing this measure, management has used its best judgment, estimates, and assumptions to maintain comparability.</w:t>
      </w:r>
    </w:p>
    <w:p>
      <w:pPr>
        <w:spacing w:after="0" w:line="169"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6"/>
          <w:szCs w:val="16"/>
          <w:color w:val="auto"/>
        </w:rPr>
        <w:t>Due to the average depreciation of the Argentine peso and most of the operating currencies relative to the Mexican peso in the first quarter of 2026, as compared to the same period of 2025, we had an unfavorable currency translation effect into Mexican pesos. Please see page 14 for exchange rate fluctuations.</w:t>
      </w:r>
    </w:p>
    <w:p>
      <w:pPr>
        <w:spacing w:after="0" w:line="332"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8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6787515</wp:posOffset>
            </wp:positionH>
            <wp:positionV relativeFrom="paragraph">
              <wp:posOffset>-118110</wp:posOffset>
            </wp:positionV>
            <wp:extent cx="351790" cy="393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5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listing information: Mexican Stock Exchange, Ticker: KOFUBL | NYSE (ADS), Ticker: KOF | Ratio of KOFUBL to KOF = 10:1</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Coca-Cola FEMSA files reports, including annual reports and other information, with the U.S. Securities and Exchange Commission, or the “SEC”, and the Mexican Stock Exchange (Bolsa Mexicana de Valores, or the “BMV”) pursuant to the rules and regulations of the SEC (that apply to foreign private issuers) and of the BMV. Filings we make electronically with the SEC and the BMV are available to the public on the Internet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the BMV’s website at </w:t>
      </w:r>
      <w:r>
        <w:rPr>
          <w:rFonts w:ascii="Times New Roman" w:cs="Times New Roman" w:eastAsia="Times New Roman" w:hAnsi="Times New Roman"/>
          <w:sz w:val="18"/>
          <w:szCs w:val="18"/>
          <w:u w:val="single" w:color="auto"/>
          <w:color w:val="auto"/>
        </w:rPr>
        <w:t>www.bmv.com.mx</w:t>
      </w:r>
      <w:r>
        <w:rPr>
          <w:rFonts w:ascii="Times New Roman" w:cs="Times New Roman" w:eastAsia="Times New Roman" w:hAnsi="Times New Roman"/>
          <w:sz w:val="18"/>
          <w:szCs w:val="18"/>
          <w:color w:val="auto"/>
        </w:rPr>
        <w:t xml:space="preserve">, and our website at </w:t>
      </w:r>
      <w:r>
        <w:rPr>
          <w:rFonts w:ascii="Times New Roman" w:cs="Times New Roman" w:eastAsia="Times New Roman" w:hAnsi="Times New Roman"/>
          <w:sz w:val="18"/>
          <w:szCs w:val="18"/>
          <w:u w:val="single" w:color="auto"/>
          <w:color w:val="auto"/>
        </w:rPr>
        <w:t>www.coca-colafemsa.com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 xml:space="preserve">Coca-Cola FEMSA, S.A.B. de C.V. is the largest franchise bottler in the world by sales volume. The Company produces and distributes trademark beverages of The Coca-Cola Company, offering a wide portfolio to more than 268 million consumers. With over 90,000 employees, the Company markets and sells approximately 4.2 billion-unit cases through more than 2.1 million points of sale a year. Operating 55 manufacturing plants and 256 distribution centers, Coca-Cola FEMSA is committed to generating economic, social, and environmental value for all its stakeholders across the value chain. The Company is a member of the Dow Jones Sustainability MILA Pacific Alliance Index, FTSE4Good Emerging Index, S&amp;P/BMV Total Mexico ESG Index, and the MSCI ACWI Index. Its operations encompass certain territories in Mexico, Brazil, Guatemala, Colombia, and Argentina and, nationwide, in Costa Rica, Nicaragua, Panama, Uruguay and, in Venezuela, through an investment in Coca-Cola FEMSA de Venezuela, S.A. For further information, please visit </w:t>
      </w:r>
      <w:r>
        <w:rPr>
          <w:rFonts w:ascii="Times New Roman" w:cs="Times New Roman" w:eastAsia="Times New Roman" w:hAnsi="Times New Roman"/>
          <w:sz w:val="16"/>
          <w:szCs w:val="16"/>
          <w:u w:val="single" w:color="auto"/>
          <w:color w:val="auto"/>
        </w:rPr>
        <w:t>www.coca-colafemsa.com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3952875" cy="368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5287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the financial information presented in this report was prepared under International Financial Reporting Standards (IFRS).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news release may contain forward-looking statements concerning Coca-Cola FEMSA’s future performance, which should be considered as good faith estimates by Coca-Cola FEMSA. These forward-looking statements reflect management’s expectations and are based upon currently available data. Actual results are subject to future events and uncertainties, many of which are outside Coca-Cola FEMSA’s control, which could materially impact the Company’s actual performance. References herein to “US$” are to United States dollars. This news release contains translations of certain Mexican peso amounts into U.S. dollars for the convenience of the reader. These translations should not be construed as representations that Mexican peso amounts represent such U.S. dollar amounts or could be converted into U.S. dollars at the rate indicated.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(5 pages of tables to follow)</w:t>
      </w:r>
    </w:p>
    <w:p>
      <w:pPr>
        <w:spacing w:after="0" w:line="200" w:lineRule="exact"/>
        <w:rPr>
          <w:sz w:val="20"/>
          <w:szCs w:val="20"/>
          <w:color w:val="auto"/>
        </w:rPr>
      </w:pPr>
    </w:p>
    <w:p>
      <w:pPr>
        <w:spacing w:after="0" w:line="226"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9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401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4019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ectPr>
          <w:pgSz w:w="11900" w:h="16838" w:orient="portrait"/>
          <w:cols w:equalWidth="0" w:num="1">
            <w:col w:w="11240"/>
          </w:cols>
          <w:pgMar w:left="320" w:top="8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5"/>
        </w:trPr>
        <w:tc>
          <w:tcPr>
            <w:tcW w:w="2440" w:type="dxa"/>
            <w:vAlign w:val="bottom"/>
          </w:tcPr>
          <w:p>
            <w:pPr>
              <w:spacing w:after="0"/>
              <w:rPr>
                <w:sz w:val="21"/>
                <w:szCs w:val="21"/>
                <w:color w:val="auto"/>
              </w:rPr>
            </w:pPr>
          </w:p>
        </w:tc>
        <w:tc>
          <w:tcPr>
            <w:tcW w:w="116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1"/>
                <w:szCs w:val="21"/>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Δ% Reported</w:t>
            </w:r>
          </w:p>
        </w:tc>
        <w:tc>
          <w:tcPr>
            <w:tcW w:w="1540" w:type="dxa"/>
            <w:vAlign w:val="bottom"/>
            <w:gridSpan w:val="2"/>
          </w:tcPr>
          <w:p>
            <w:pPr>
              <w:ind w:left="60"/>
              <w:spacing w:after="0" w:line="245" w:lineRule="exact"/>
              <w:rPr>
                <w:sz w:val="20"/>
                <w:szCs w:val="20"/>
                <w:color w:val="auto"/>
              </w:rPr>
            </w:pPr>
            <w:r>
              <w:rPr>
                <w:rFonts w:ascii="Times New Roman" w:cs="Times New Roman" w:eastAsia="Times New Roman" w:hAnsi="Times New Roman"/>
                <w:sz w:val="17"/>
                <w:szCs w:val="17"/>
                <w:b w:val="1"/>
                <w:bCs w:val="1"/>
                <w:color w:val="auto"/>
                <w:w w:val="98"/>
              </w:rPr>
              <w:t xml:space="preserve">Δ% Comparable </w:t>
            </w:r>
            <w:r>
              <w:rPr>
                <w:rFonts w:ascii="Times New Roman" w:cs="Times New Roman" w:eastAsia="Times New Roman" w:hAnsi="Times New Roman"/>
                <w:sz w:val="28"/>
                <w:szCs w:val="28"/>
                <w:b w:val="1"/>
                <w:bCs w:val="1"/>
                <w:color w:val="auto"/>
                <w:w w:val="98"/>
                <w:vertAlign w:val="superscript"/>
              </w:rPr>
              <w:t>(7)</w:t>
            </w:r>
          </w:p>
        </w:tc>
        <w:tc>
          <w:tcPr>
            <w:tcW w:w="160" w:type="dxa"/>
            <w:vAlign w:val="bottom"/>
          </w:tcPr>
          <w:p>
            <w:pPr>
              <w:spacing w:after="0"/>
              <w:rPr>
                <w:sz w:val="21"/>
                <w:szCs w:val="21"/>
                <w:color w:val="auto"/>
              </w:rPr>
            </w:pPr>
          </w:p>
        </w:tc>
      </w:tr>
      <w:tr>
        <w:trPr>
          <w:trHeight w:val="171"/>
        </w:trPr>
        <w:tc>
          <w:tcPr>
            <w:tcW w:w="24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Transactions (million</w:t>
            </w: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3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5,990.8</w:t>
            </w: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5,921.8</w:t>
            </w:r>
          </w:p>
        </w:tc>
        <w:tc>
          <w:tcPr>
            <w:tcW w:w="1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Volume (million unit cases)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998.4</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986.5</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per unit case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68.64</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68.99</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70,631</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70,073</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251.7%</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24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29"/>
                <w:szCs w:val="29"/>
                <w:b w:val="1"/>
                <w:bCs w:val="1"/>
                <w:color w:val="auto"/>
                <w:vertAlign w:val="superscript"/>
              </w:rPr>
              <w:t>(2)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70,925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70,157</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37,670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38,324</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31,832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24,145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22,478</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operative expenses, net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Operative equity method (gain)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5"/>
        </w:trPr>
        <w:tc>
          <w:tcPr>
            <w:tcW w:w="244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8"/>
                <w:szCs w:val="18"/>
                <w:color w:val="auto"/>
              </w:rPr>
              <w:t>loss in associates</w:t>
            </w:r>
            <w:r>
              <w:rPr>
                <w:rFonts w:ascii="Times New Roman" w:cs="Times New Roman" w:eastAsia="Times New Roman" w:hAnsi="Times New Roman"/>
                <w:sz w:val="29"/>
                <w:szCs w:val="29"/>
                <w:color w:val="auto"/>
                <w:vertAlign w:val="superscript"/>
              </w:rPr>
              <w:t>(3)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1"/>
        </w:trPr>
        <w:tc>
          <w:tcPr>
            <w:tcW w:w="24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29"/>
                <w:szCs w:val="29"/>
                <w:b w:val="1"/>
                <w:bCs w:val="1"/>
                <w:color w:val="auto"/>
                <w:vertAlign w:val="superscript"/>
              </w:rPr>
              <w:t>(5)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9,248</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3"/>
        </w:trPr>
        <w:tc>
          <w:tcPr>
            <w:tcW w:w="24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Other non operative expenses,</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96"/>
        </w:trPr>
        <w:tc>
          <w:tcPr>
            <w:tcW w:w="2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 Operative equity method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65"/>
        </w:trPr>
        <w:tc>
          <w:tcPr>
            <w:tcW w:w="2440" w:type="dxa"/>
            <w:vAlign w:val="bottom"/>
          </w:tcPr>
          <w:p>
            <w:pPr>
              <w:spacing w:after="0" w:line="265" w:lineRule="exact"/>
              <w:rPr>
                <w:sz w:val="20"/>
                <w:szCs w:val="20"/>
                <w:color w:val="auto"/>
              </w:rPr>
            </w:pPr>
            <w:r>
              <w:rPr>
                <w:rFonts w:ascii="Times New Roman" w:cs="Times New Roman" w:eastAsia="Times New Roman" w:hAnsi="Times New Roman"/>
                <w:sz w:val="18"/>
                <w:szCs w:val="18"/>
                <w:color w:val="auto"/>
              </w:rPr>
              <w:t xml:space="preserve">(gain) loss in associates </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11"/>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1,879</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1,288</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97.1%</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2440" w:type="dxa"/>
            <w:vAlign w:val="bottom"/>
            <w:shd w:val="clear" w:color="auto" w:fill="CCEEFF"/>
          </w:tcPr>
          <w:p>
            <w:pPr>
              <w:ind w:left="160"/>
              <w:spacing w:after="0" w:line="193" w:lineRule="exact"/>
              <w:rPr>
                <w:sz w:val="20"/>
                <w:szCs w:val="20"/>
                <w:color w:val="auto"/>
              </w:rPr>
            </w:pPr>
            <w:r>
              <w:rPr>
                <w:rFonts w:ascii="Times New Roman" w:cs="Times New Roman" w:eastAsia="Times New Roman" w:hAnsi="Times New Roman"/>
                <w:sz w:val="18"/>
                <w:szCs w:val="18"/>
                <w:color w:val="auto"/>
              </w:rPr>
              <w:t>Loss (gain) on monetary</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1"/>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position in inflationary</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93"/>
        </w:trPr>
        <w:tc>
          <w:tcPr>
            <w:tcW w:w="2440" w:type="dxa"/>
            <w:vAlign w:val="bottom"/>
          </w:tcPr>
          <w:p>
            <w:pPr>
              <w:ind w:left="160"/>
              <w:spacing w:after="0" w:line="193" w:lineRule="exact"/>
              <w:rPr>
                <w:sz w:val="20"/>
                <w:szCs w:val="20"/>
                <w:color w:val="auto"/>
              </w:rPr>
            </w:pPr>
            <w:r>
              <w:rPr>
                <w:rFonts w:ascii="Times New Roman" w:cs="Times New Roman" w:eastAsia="Times New Roman" w:hAnsi="Times New Roman"/>
                <w:sz w:val="18"/>
                <w:szCs w:val="18"/>
                <w:color w:val="auto"/>
              </w:rPr>
              <w:t>Market value (gain) loss on</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instruments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financing result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1,126</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7,422</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8,172</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2,681</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3"/>
        </w:trPr>
        <w:tc>
          <w:tcPr>
            <w:tcW w:w="244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rPr>
              <w:t>Result of discontinued</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4,735</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5,492</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1"/>
        </w:trPr>
        <w:tc>
          <w:tcPr>
            <w:tcW w:w="24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Net income attributable to</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holders of the company</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5,139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Δ%</w:t>
            </w:r>
          </w:p>
        </w:tc>
      </w:tr>
      <w:tr>
        <w:trPr>
          <w:trHeight w:val="267"/>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 EBITDA &amp; CAPEX</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Δ% Reported</w:t>
            </w:r>
          </w:p>
        </w:tc>
        <w:tc>
          <w:tcPr>
            <w:tcW w:w="26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spacing w:after="0" w:line="267" w:lineRule="exact"/>
              <w:rPr>
                <w:sz w:val="20"/>
                <w:szCs w:val="20"/>
                <w:color w:val="auto"/>
              </w:rPr>
            </w:pPr>
            <w:r>
              <w:rPr>
                <w:rFonts w:ascii="Times New Roman" w:cs="Times New Roman" w:eastAsia="Times New Roman" w:hAnsi="Times New Roman"/>
                <w:sz w:val="18"/>
                <w:szCs w:val="18"/>
                <w:b w:val="1"/>
                <w:bCs w:val="1"/>
                <w:color w:val="auto"/>
                <w:w w:val="94"/>
              </w:rPr>
              <w:t xml:space="preserve">Comparable </w:t>
            </w:r>
            <w:r>
              <w:rPr>
                <w:rFonts w:ascii="Times New Roman" w:cs="Times New Roman" w:eastAsia="Times New Roman" w:hAnsi="Times New Roman"/>
                <w:sz w:val="29"/>
                <w:szCs w:val="29"/>
                <w:b w:val="1"/>
                <w:bCs w:val="1"/>
                <w:color w:val="auto"/>
                <w:w w:val="94"/>
                <w:vertAlign w:val="superscript"/>
              </w:rPr>
              <w:t>(7)</w:t>
            </w:r>
          </w:p>
        </w:tc>
        <w:tc>
          <w:tcPr>
            <w:tcW w:w="160" w:type="dxa"/>
            <w:vAlign w:val="bottom"/>
            <w:tcBorders>
              <w:bottom w:val="single" w:sz="8" w:color="CCEEFF"/>
            </w:tcBorders>
          </w:tcPr>
          <w:p>
            <w:pPr>
              <w:spacing w:after="0"/>
              <w:rPr>
                <w:sz w:val="23"/>
                <w:szCs w:val="23"/>
                <w:color w:val="auto"/>
              </w:rPr>
            </w:pPr>
          </w:p>
        </w:tc>
      </w:tr>
      <w:tr>
        <w:trPr>
          <w:trHeight w:val="244"/>
        </w:trPr>
        <w:tc>
          <w:tcPr>
            <w:tcW w:w="24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Operating income </w:t>
            </w:r>
            <w:r>
              <w:rPr>
                <w:rFonts w:ascii="Times New Roman" w:cs="Times New Roman" w:eastAsia="Times New Roman" w:hAnsi="Times New Roman"/>
                <w:sz w:val="28"/>
                <w:szCs w:val="28"/>
                <w:color w:val="auto"/>
                <w:vertAlign w:val="superscript"/>
              </w:rPr>
              <w:t>(5)</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9,032</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1"/>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3,406</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3"/>
        </w:trPr>
        <w:tc>
          <w:tcPr>
            <w:tcW w:w="254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Amortization and other operative</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charges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936</w:t>
            </w: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51"/>
        </w:trPr>
        <w:tc>
          <w:tcPr>
            <w:tcW w:w="254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Adj. EBITDA </w:t>
            </w:r>
            <w:r>
              <w:rPr>
                <w:rFonts w:ascii="Times New Roman" w:cs="Times New Roman" w:eastAsia="Times New Roman" w:hAnsi="Times New Roman"/>
                <w:sz w:val="29"/>
                <w:szCs w:val="29"/>
                <w:b w:val="1"/>
                <w:bCs w:val="1"/>
                <w:color w:val="auto"/>
                <w:vertAlign w:val="superscript"/>
              </w:rPr>
              <w:t>(5)(6)</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13,374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13,254</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1"/>
        </w:trPr>
        <w:tc>
          <w:tcPr>
            <w:tcW w:w="254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CAPEX</w:t>
            </w:r>
            <w:r>
              <w:rPr>
                <w:rFonts w:ascii="Times New Roman" w:cs="Times New Roman" w:eastAsia="Times New Roman" w:hAnsi="Times New Roman"/>
                <w:sz w:val="29"/>
                <w:szCs w:val="29"/>
                <w:color w:val="auto"/>
                <w:vertAlign w:val="superscript"/>
              </w:rPr>
              <w:t>(8)</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3,138</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4,228</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bl>
    <w:p>
      <w:pPr>
        <w:spacing w:after="0" w:line="88"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Please refer to page 13 for revenue breakdown.</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Includes equity method in Jugos del Valle and Leão Alimentos, among others.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Includes equity method in PIASA, IEQSA, Beta San Miguel, IMER, and KSP Participacoes, among others.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6" w:lineRule="auto"/>
        <w:tabs>
          <w:tab w:leader="none" w:pos="320" w:val="left"/>
        </w:tabs>
        <w:numPr>
          <w:ilvl w:val="0"/>
          <w:numId w:val="38"/>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ind w:left="320" w:hanging="314"/>
        <w:spacing w:after="0" w:line="183" w:lineRule="auto"/>
        <w:tabs>
          <w:tab w:leader="none" w:pos="320" w:val="left"/>
        </w:tabs>
        <w:numPr>
          <w:ilvl w:val="0"/>
          <w:numId w:val="38"/>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As of March 31, 2026, the investment in fixed assets effectively paid is equivalent to Ps. 4,183 million.</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10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401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4019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ectPr>
          <w:pgSz w:w="11900" w:h="16838" w:orient="portrait"/>
          <w:cols w:equalWidth="0" w:num="1">
            <w:col w:w="11240"/>
          </w:cols>
          <w:pgMar w:left="320" w:top="884" w:right="339" w:bottom="1121"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MEXICO &amp; CENTRAL AMERICA DIVISION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2"/>
        </w:trPr>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760"/>
              <w:spacing w:after="0" w:line="192" w:lineRule="exact"/>
              <w:rPr>
                <w:sz w:val="20"/>
                <w:szCs w:val="20"/>
                <w:color w:val="auto"/>
              </w:rPr>
            </w:pPr>
            <w:r>
              <w:rPr>
                <w:rFonts w:ascii="Times New Roman" w:cs="Times New Roman" w:eastAsia="Times New Roman" w:hAnsi="Times New Roman"/>
                <w:sz w:val="18"/>
                <w:szCs w:val="18"/>
                <w:b w:val="1"/>
                <w:bCs w:val="1"/>
                <w:color w:val="auto"/>
              </w:rPr>
              <w:t>Δ%</w:t>
            </w:r>
          </w:p>
        </w:tc>
        <w:tc>
          <w:tcPr>
            <w:tcW w:w="12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80" w:type="dxa"/>
            <w:vAlign w:val="bottom"/>
            <w:gridSpan w:val="2"/>
          </w:tcPr>
          <w:p>
            <w:pPr>
              <w:jc w:val="center"/>
              <w:ind w:right="160"/>
              <w:spacing w:after="0" w:line="263" w:lineRule="exact"/>
              <w:rPr>
                <w:sz w:val="20"/>
                <w:szCs w:val="20"/>
                <w:color w:val="auto"/>
              </w:rPr>
            </w:pPr>
            <w:r>
              <w:rPr>
                <w:rFonts w:ascii="Times New Roman" w:cs="Times New Roman" w:eastAsia="Times New Roman" w:hAnsi="Times New Roman"/>
                <w:sz w:val="18"/>
                <w:szCs w:val="18"/>
                <w:b w:val="1"/>
                <w:bCs w:val="1"/>
                <w:color w:val="auto"/>
                <w:w w:val="92"/>
              </w:rPr>
              <w:t xml:space="preserve">Comparable </w:t>
            </w:r>
            <w:r>
              <w:rPr>
                <w:rFonts w:ascii="Times New Roman" w:cs="Times New Roman" w:eastAsia="Times New Roman" w:hAnsi="Times New Roman"/>
                <w:sz w:val="29"/>
                <w:szCs w:val="29"/>
                <w:b w:val="1"/>
                <w:bCs w:val="1"/>
                <w:color w:val="auto"/>
                <w:w w:val="92"/>
                <w:vertAlign w:val="superscript"/>
              </w:rPr>
              <w:t>(6)</w:t>
            </w:r>
          </w:p>
        </w:tc>
      </w:tr>
      <w:tr>
        <w:trPr>
          <w:trHeight w:val="171"/>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Transactions (million</w:t>
            </w: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3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2,815.3</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2,903.1</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Volume (million unit cases)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544.5</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553.3</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per unit case</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70.86</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71.08</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39,106</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39,662</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25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29"/>
                <w:szCs w:val="29"/>
                <w:b w:val="1"/>
                <w:bCs w:val="1"/>
                <w:color w:val="auto"/>
                <w:vertAlign w:val="superscript"/>
              </w:rPr>
              <w:t>(2)</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39,117</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39,669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20,096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18,886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14,479</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operative expenses, net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Operative equity method (gain)</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5"/>
        </w:trPr>
        <w:tc>
          <w:tcPr>
            <w:tcW w:w="254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8"/>
                <w:szCs w:val="18"/>
                <w:color w:val="auto"/>
              </w:rPr>
              <w:t xml:space="preserve">loss in associates </w:t>
            </w:r>
            <w:r>
              <w:rPr>
                <w:rFonts w:ascii="Times New Roman" w:cs="Times New Roman" w:eastAsia="Times New Roman" w:hAnsi="Times New Roman"/>
                <w:sz w:val="29"/>
                <w:szCs w:val="29"/>
                <w:color w:val="auto"/>
                <w:vertAlign w:val="superscript"/>
              </w:rPr>
              <w:t>(3)</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1"/>
        </w:trPr>
        <w:tc>
          <w:tcPr>
            <w:tcW w:w="25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29"/>
                <w:szCs w:val="29"/>
                <w:b w:val="1"/>
                <w:bCs w:val="1"/>
                <w:color w:val="auto"/>
                <w:vertAlign w:val="superscript"/>
              </w:rPr>
              <w:t>(4)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4,461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193"/>
        </w:trPr>
        <w:tc>
          <w:tcPr>
            <w:tcW w:w="25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Depreciation, amortization &amp;</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non-cash charges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2,667</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388"/>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 EBITDA </w:t>
            </w:r>
            <w:r>
              <w:rPr>
                <w:rFonts w:ascii="Times New Roman" w:cs="Times New Roman" w:eastAsia="Times New Roman" w:hAnsi="Times New Roman"/>
                <w:sz w:val="29"/>
                <w:szCs w:val="29"/>
                <w:b w:val="1"/>
                <w:bCs w:val="1"/>
                <w:color w:val="auto"/>
                <w:vertAlign w:val="superscript"/>
              </w:rPr>
              <w:t>(4)(5)</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7,128</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ind w:left="320" w:hanging="314"/>
        <w:spacing w:after="0" w:line="204" w:lineRule="auto"/>
        <w:tabs>
          <w:tab w:leader="none" w:pos="320" w:val="left"/>
        </w:tabs>
        <w:numPr>
          <w:ilvl w:val="0"/>
          <w:numId w:val="39"/>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3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Please refer to page 13 for revenue breakdown.</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Includes equity method in Jugos del Valle, among others.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39"/>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6" w:lineRule="auto"/>
        <w:tabs>
          <w:tab w:leader="none" w:pos="320" w:val="left"/>
        </w:tabs>
        <w:numPr>
          <w:ilvl w:val="0"/>
          <w:numId w:val="39"/>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spacing w:after="0" w:line="19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SOUTH AMERICA DIVISION</w:t>
      </w:r>
    </w:p>
    <w:p>
      <w:pPr>
        <w:spacing w:after="0" w:line="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Millions of Pesos </w:t>
      </w:r>
      <w:r>
        <w:rPr>
          <w:rFonts w:ascii="Times New Roman" w:cs="Times New Roman" w:eastAsia="Times New Roman" w:hAnsi="Times New Roman"/>
          <w:sz w:val="29"/>
          <w:szCs w:val="29"/>
          <w:b w:val="1"/>
          <w:bCs w:val="1"/>
          <w:color w:val="auto"/>
          <w:vertAlign w:val="superscript"/>
        </w:rPr>
        <w:t>(1)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First Quarter of:</w:t>
            </w:r>
          </w:p>
        </w:tc>
        <w:tc>
          <w:tcPr>
            <w:tcW w:w="1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2"/>
        </w:trPr>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right"/>
              <w:ind w:right="760"/>
              <w:spacing w:after="0" w:line="192" w:lineRule="exact"/>
              <w:rPr>
                <w:sz w:val="20"/>
                <w:szCs w:val="20"/>
                <w:color w:val="auto"/>
              </w:rPr>
            </w:pPr>
            <w:r>
              <w:rPr>
                <w:rFonts w:ascii="Times New Roman" w:cs="Times New Roman" w:eastAsia="Times New Roman" w:hAnsi="Times New Roman"/>
                <w:sz w:val="18"/>
                <w:szCs w:val="18"/>
                <w:b w:val="1"/>
                <w:bCs w:val="1"/>
                <w:color w:val="auto"/>
              </w:rPr>
              <w:t>Δ%</w:t>
            </w:r>
          </w:p>
        </w:tc>
        <w:tc>
          <w:tcPr>
            <w:tcW w:w="1220" w:type="dxa"/>
            <w:vAlign w:val="bottom"/>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2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of Rev.</w:t>
            </w: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380" w:type="dxa"/>
            <w:vAlign w:val="bottom"/>
            <w:gridSpan w:val="2"/>
          </w:tcPr>
          <w:p>
            <w:pPr>
              <w:jc w:val="center"/>
              <w:ind w:right="160"/>
              <w:spacing w:after="0" w:line="263" w:lineRule="exact"/>
              <w:rPr>
                <w:sz w:val="20"/>
                <w:szCs w:val="20"/>
                <w:color w:val="auto"/>
              </w:rPr>
            </w:pPr>
            <w:r>
              <w:rPr>
                <w:rFonts w:ascii="Times New Roman" w:cs="Times New Roman" w:eastAsia="Times New Roman" w:hAnsi="Times New Roman"/>
                <w:sz w:val="18"/>
                <w:szCs w:val="18"/>
                <w:b w:val="1"/>
                <w:bCs w:val="1"/>
                <w:color w:val="auto"/>
                <w:w w:val="92"/>
              </w:rPr>
              <w:t xml:space="preserve">Comparable </w:t>
            </w:r>
            <w:r>
              <w:rPr>
                <w:rFonts w:ascii="Times New Roman" w:cs="Times New Roman" w:eastAsia="Times New Roman" w:hAnsi="Times New Roman"/>
                <w:sz w:val="29"/>
                <w:szCs w:val="29"/>
                <w:b w:val="1"/>
                <w:bCs w:val="1"/>
                <w:color w:val="auto"/>
                <w:w w:val="92"/>
                <w:vertAlign w:val="superscript"/>
              </w:rPr>
              <w:t>(6)</w:t>
            </w:r>
          </w:p>
        </w:tc>
      </w:tr>
      <w:tr>
        <w:trPr>
          <w:trHeight w:val="171"/>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Transactions (million</w:t>
            </w: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3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3,175.5</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3,018.7</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Volume (million unit cases)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453.9</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433.2</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per unit case</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65.97</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66.32</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31,525</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30,411</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revenues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1"/>
        </w:trPr>
        <w:tc>
          <w:tcPr>
            <w:tcW w:w="25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29"/>
                <w:szCs w:val="29"/>
                <w:b w:val="1"/>
                <w:bCs w:val="1"/>
                <w:color w:val="auto"/>
                <w:vertAlign w:val="superscript"/>
              </w:rPr>
              <w:t>(2)</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31,809</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30,488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17,574</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12,947</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1"/>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9,666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1"/>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operative expenses, net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2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Operative equity method (gain)</w:t>
            </w: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65"/>
        </w:trPr>
        <w:tc>
          <w:tcPr>
            <w:tcW w:w="2540" w:type="dxa"/>
            <w:vAlign w:val="bottom"/>
            <w:shd w:val="clear" w:color="auto" w:fill="CCEEFF"/>
          </w:tcPr>
          <w:p>
            <w:pPr>
              <w:spacing w:after="0" w:line="265" w:lineRule="exact"/>
              <w:rPr>
                <w:sz w:val="20"/>
                <w:szCs w:val="20"/>
                <w:color w:val="auto"/>
              </w:rPr>
            </w:pPr>
            <w:r>
              <w:rPr>
                <w:rFonts w:ascii="Times New Roman" w:cs="Times New Roman" w:eastAsia="Times New Roman" w:hAnsi="Times New Roman"/>
                <w:sz w:val="18"/>
                <w:szCs w:val="18"/>
                <w:color w:val="auto"/>
              </w:rPr>
              <w:t xml:space="preserve">loss in associates </w:t>
            </w:r>
            <w:r>
              <w:rPr>
                <w:rFonts w:ascii="Times New Roman" w:cs="Times New Roman" w:eastAsia="Times New Roman" w:hAnsi="Times New Roman"/>
                <w:sz w:val="29"/>
                <w:szCs w:val="29"/>
                <w:color w:val="auto"/>
                <w:vertAlign w:val="superscript"/>
              </w:rPr>
              <w:t>(3)</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51"/>
        </w:trPr>
        <w:tc>
          <w:tcPr>
            <w:tcW w:w="2540" w:type="dxa"/>
            <w:vAlign w:val="bottom"/>
          </w:tcPr>
          <w:p>
            <w:pPr>
              <w:spacing w:after="0" w:line="251" w:lineRule="exact"/>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29"/>
                <w:szCs w:val="29"/>
                <w:color w:val="auto"/>
                <w:vertAlign w:val="superscript"/>
              </w:rPr>
              <w:t>(4)</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193"/>
        </w:trPr>
        <w:tc>
          <w:tcPr>
            <w:tcW w:w="25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Depreciation, amortization &amp;</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9"/>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non-cash charges</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1,676</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38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 EBITDA </w:t>
            </w:r>
            <w:r>
              <w:rPr>
                <w:rFonts w:ascii="Times New Roman" w:cs="Times New Roman" w:eastAsia="Times New Roman" w:hAnsi="Times New Roman"/>
                <w:sz w:val="29"/>
                <w:szCs w:val="29"/>
                <w:color w:val="auto"/>
                <w:vertAlign w:val="superscript"/>
              </w:rPr>
              <w:t>(4)(5)</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5,346</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r>
    </w:tbl>
    <w:p>
      <w:pPr>
        <w:ind w:left="320" w:hanging="314"/>
        <w:spacing w:after="0" w:line="205" w:lineRule="auto"/>
        <w:tabs>
          <w:tab w:leader="none" w:pos="320" w:val="left"/>
        </w:tabs>
        <w:numPr>
          <w:ilvl w:val="0"/>
          <w:numId w:val="40"/>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Except volume and average price per unit case figures.</w:t>
      </w:r>
    </w:p>
    <w:p>
      <w:pPr>
        <w:spacing w:after="0" w:line="3"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4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Please refer to page 13 for revenue breakdown.</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4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Includes equity method in Leão Alimentos, among others.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4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The operating income and adjusted EBITDA lines are presented as non-GAAP measures for the convenience of the reader.</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40"/>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Adjusted EBITDA = operating income + depreciation, amortization &amp; other operating non-cash charges.</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6" w:lineRule="auto"/>
        <w:tabs>
          <w:tab w:leader="none" w:pos="320" w:val="left"/>
        </w:tabs>
        <w:numPr>
          <w:ilvl w:val="0"/>
          <w:numId w:val="40"/>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Please refer to page 8 for our definition of “comparable” and a description of the factors affecting the comparability of our financial and operating performance.</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11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401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5495" cy="4019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ectPr>
          <w:pgSz w:w="11900" w:h="16838" w:orient="portrait"/>
          <w:cols w:equalWidth="0" w:num="1">
            <w:col w:w="11240"/>
          </w:cols>
          <w:pgMar w:left="320" w:top="884" w:right="339" w:bottom="158"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of Pesos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Mar-26</w:t>
            </w:r>
          </w:p>
        </w:tc>
        <w:tc>
          <w:tcPr>
            <w:tcW w:w="100" w:type="dxa"/>
            <w:vAlign w:val="bottom"/>
          </w:tcPr>
          <w:p>
            <w:pPr>
              <w:spacing w:after="0"/>
              <w:rPr>
                <w:sz w:val="20"/>
                <w:szCs w:val="20"/>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138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 Var.</w:t>
            </w:r>
          </w:p>
        </w:tc>
        <w:tc>
          <w:tcPr>
            <w:tcW w:w="0" w:type="dxa"/>
            <w:vAlign w:val="bottom"/>
          </w:tcPr>
          <w:p>
            <w:pPr>
              <w:spacing w:after="0"/>
              <w:rPr>
                <w:sz w:val="1"/>
                <w:szCs w:val="1"/>
                <w:color w:val="auto"/>
              </w:rPr>
            </w:pPr>
          </w:p>
        </w:tc>
      </w:tr>
      <w:tr>
        <w:trPr>
          <w:trHeight w:val="205"/>
        </w:trPr>
        <w:tc>
          <w:tcPr>
            <w:tcW w:w="68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41,346</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28,067</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17,749</w:t>
            </w: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22,146</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14,814</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14,014</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12,233</w:t>
            </w: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10,343</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86,141</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74,570</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180,491</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174,289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(68,766)</w:t>
            </w:r>
          </w:p>
        </w:tc>
        <w:tc>
          <w:tcPr>
            <w:tcW w:w="15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(65,159)</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111,725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109,130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shares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10,587</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10,588</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and other assets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104,318</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16,883</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15,278</w:t>
            </w:r>
          </w:p>
        </w:tc>
        <w:tc>
          <w:tcPr>
            <w:tcW w:w="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4"/>
        </w:trPr>
        <w:tc>
          <w:tcPr>
            <w:tcW w:w="68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333,116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314,539</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2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&amp; Equity</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Mar-26</w:t>
            </w:r>
          </w:p>
        </w:tc>
        <w:tc>
          <w:tcPr>
            <w:tcW w:w="100" w:type="dxa"/>
            <w:vAlign w:val="bottom"/>
          </w:tcPr>
          <w:p>
            <w:pPr>
              <w:spacing w:after="0"/>
              <w:rPr>
                <w:sz w:val="24"/>
                <w:szCs w:val="24"/>
                <w:color w:val="auto"/>
              </w:rPr>
            </w:pPr>
          </w:p>
        </w:tc>
        <w:tc>
          <w:tcPr>
            <w:tcW w:w="144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Dec-25</w:t>
            </w:r>
          </w:p>
        </w:tc>
        <w:tc>
          <w:tcPr>
            <w:tcW w:w="1380" w:type="dxa"/>
            <w:vAlign w:val="bottom"/>
            <w:gridSpan w:val="3"/>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 Var.</w:t>
            </w:r>
          </w:p>
        </w:tc>
        <w:tc>
          <w:tcPr>
            <w:tcW w:w="0" w:type="dxa"/>
            <w:vAlign w:val="bottom"/>
          </w:tcPr>
          <w:p>
            <w:pPr>
              <w:spacing w:after="0"/>
              <w:rPr>
                <w:sz w:val="1"/>
                <w:szCs w:val="1"/>
                <w:color w:val="auto"/>
              </w:rPr>
            </w:pPr>
          </w:p>
        </w:tc>
      </w:tr>
      <w:tr>
        <w:trPr>
          <w:trHeight w:val="205"/>
        </w:trPr>
        <w:tc>
          <w:tcPr>
            <w:tcW w:w="6820" w:type="dxa"/>
            <w:vAlign w:val="bottom"/>
            <w:tcBorders>
              <w:top w:val="single" w:sz="8" w:color="auto"/>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Short-term bank loans and notes payable</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29,385</w:t>
            </w: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31,898</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leasing Liabilities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631</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43,133</w:t>
            </w: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26,284</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78,345</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66,757</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loans and notes payable</w:t>
            </w:r>
          </w:p>
        </w:tc>
        <w:tc>
          <w:tcPr>
            <w:tcW w:w="15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82,233</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71,834</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Leasing Liabilities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22,811</w:t>
            </w:r>
          </w:p>
        </w:tc>
        <w:tc>
          <w:tcPr>
            <w:tcW w:w="120" w:type="dxa"/>
            <w:vAlign w:val="bottom"/>
          </w:tcPr>
          <w:p>
            <w:pPr>
              <w:spacing w:after="0"/>
              <w:rPr>
                <w:sz w:val="18"/>
                <w:szCs w:val="18"/>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19,647</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186,246</w:t>
            </w:r>
          </w:p>
        </w:tc>
        <w:tc>
          <w:tcPr>
            <w:tcW w:w="1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160,511</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Total controlling interest</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138,225</w:t>
            </w:r>
          </w:p>
        </w:tc>
        <w:tc>
          <w:tcPr>
            <w:tcW w:w="1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146,201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146,870</w:t>
            </w: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154,029</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4"/>
        </w:trPr>
        <w:tc>
          <w:tcPr>
            <w:tcW w:w="682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gridSpan w:val="2"/>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333,116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314,539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bottom w:val="single" w:sz="8" w:color="auto"/>
            </w:tcBorders>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428"/>
        </w:trPr>
        <w:tc>
          <w:tcPr>
            <w:tcW w:w="6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March 31, 2026</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820" w:type="dxa"/>
            <w:vAlign w:val="bottom"/>
          </w:tcPr>
          <w:p>
            <w:pPr>
              <w:spacing w:after="0"/>
              <w:rPr>
                <w:sz w:val="16"/>
                <w:szCs w:val="16"/>
                <w:color w:val="auto"/>
              </w:rPr>
            </w:pPr>
          </w:p>
        </w:tc>
        <w:tc>
          <w:tcPr>
            <w:tcW w:w="150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w w:val="91"/>
              </w:rPr>
              <w:t xml:space="preserve">% Total Debt </w:t>
            </w:r>
            <w:r>
              <w:rPr>
                <w:rFonts w:ascii="Times New Roman" w:cs="Times New Roman" w:eastAsia="Times New Roman" w:hAnsi="Times New Roman"/>
                <w:sz w:val="29"/>
                <w:szCs w:val="29"/>
                <w:i w:val="1"/>
                <w:iCs w:val="1"/>
                <w:color w:val="auto"/>
                <w:w w:val="91"/>
                <w:vertAlign w:val="superscript"/>
              </w:rPr>
              <w:t>(1)</w:t>
            </w:r>
          </w:p>
        </w:tc>
        <w:tc>
          <w:tcPr>
            <w:tcW w:w="1540" w:type="dxa"/>
            <w:vAlign w:val="bottom"/>
            <w:gridSpan w:val="5"/>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7"/>
              </w:rPr>
              <w:t>% Interest Rate</w:t>
            </w:r>
          </w:p>
        </w:tc>
        <w:tc>
          <w:tcPr>
            <w:tcW w:w="1380" w:type="dxa"/>
            <w:vAlign w:val="bottom"/>
            <w:gridSpan w:val="3"/>
          </w:tcPr>
          <w:p>
            <w:pPr>
              <w:jc w:val="right"/>
              <w:ind w:right="412"/>
              <w:spacing w:after="0" w:line="191" w:lineRule="exact"/>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64"/>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 Mix</w:t>
            </w:r>
          </w:p>
        </w:tc>
        <w:tc>
          <w:tcPr>
            <w:tcW w:w="1500" w:type="dxa"/>
            <w:vAlign w:val="bottom"/>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4"/>
          </w:tcPr>
          <w:p>
            <w:pPr>
              <w:jc w:val="center"/>
              <w:ind w:right="420"/>
              <w:spacing w:after="0" w:line="263" w:lineRule="exact"/>
              <w:rPr>
                <w:sz w:val="20"/>
                <w:szCs w:val="20"/>
                <w:color w:val="auto"/>
              </w:rPr>
            </w:pPr>
            <w:r>
              <w:rPr>
                <w:rFonts w:ascii="Times New Roman" w:cs="Times New Roman" w:eastAsia="Times New Roman" w:hAnsi="Times New Roman"/>
                <w:sz w:val="18"/>
                <w:szCs w:val="18"/>
                <w:color w:val="auto"/>
                <w:w w:val="89"/>
              </w:rPr>
              <w:t xml:space="preserve">Floating </w:t>
            </w:r>
            <w:r>
              <w:rPr>
                <w:rFonts w:ascii="Times New Roman" w:cs="Times New Roman" w:eastAsia="Times New Roman" w:hAnsi="Times New Roman"/>
                <w:sz w:val="29"/>
                <w:szCs w:val="29"/>
                <w:i w:val="1"/>
                <w:iCs w:val="1"/>
                <w:color w:val="auto"/>
                <w:w w:val="89"/>
                <w:vertAlign w:val="superscript"/>
              </w:rPr>
              <w:t>(1) (2)</w:t>
            </w:r>
          </w:p>
        </w:tc>
        <w:tc>
          <w:tcPr>
            <w:tcW w:w="138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04"/>
        </w:trPr>
        <w:tc>
          <w:tcPr>
            <w:tcW w:w="68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i w:val="1"/>
                <w:iCs w:val="1"/>
                <w:color w:val="auto"/>
              </w:rPr>
              <w:t>Currency</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Mexican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18"/>
                <w:szCs w:val="18"/>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Dollars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Colombian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2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Brazilian Reals</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Argentine Pesos</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4"/>
        </w:trPr>
        <w:tc>
          <w:tcPr>
            <w:tcW w:w="682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Debt</w:t>
            </w:r>
          </w:p>
        </w:tc>
        <w:tc>
          <w:tcPr>
            <w:tcW w:w="120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18.0</w:t>
            </w:r>
          </w:p>
        </w:tc>
        <w:tc>
          <w:tcPr>
            <w:tcW w:w="300" w:type="dxa"/>
            <w:vAlign w:val="bottom"/>
            <w:tcBorders>
              <w:top w:val="single" w:sz="8" w:color="CCEEFF"/>
            </w:tcBorders>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tcBorders>
              <w:top w:val="single" w:sz="8" w:color="CCEEFF"/>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hanging="314"/>
        <w:spacing w:after="0"/>
        <w:tabs>
          <w:tab w:leader="none" w:pos="320" w:val="left"/>
        </w:tabs>
        <w:numPr>
          <w:ilvl w:val="0"/>
          <w:numId w:val="41"/>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After giving effect to swaps.</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41"/>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Calculated based on the weighting of the outstanding debt mix for each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Maturity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866140</wp:posOffset>
            </wp:positionH>
            <wp:positionV relativeFrom="paragraph">
              <wp:posOffset>149225</wp:posOffset>
            </wp:positionV>
            <wp:extent cx="5384800" cy="15830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84800" cy="158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Financial Ratios</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Mar 31, 2026</w:t>
            </w: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Dec 31, 2025</w:t>
            </w:r>
          </w:p>
        </w:tc>
        <w:tc>
          <w:tcPr>
            <w:tcW w:w="26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Δ%</w:t>
            </w:r>
          </w:p>
        </w:tc>
        <w:tc>
          <w:tcPr>
            <w:tcW w:w="160" w:type="dxa"/>
            <w:vAlign w:val="bottom"/>
            <w:tcBorders>
              <w:bottom w:val="single" w:sz="8" w:color="CCEEFF"/>
            </w:tcBorders>
          </w:tcPr>
          <w:p>
            <w:pPr>
              <w:spacing w:after="0"/>
              <w:rPr>
                <w:sz w:val="20"/>
                <w:szCs w:val="20"/>
                <w:color w:val="auto"/>
              </w:rPr>
            </w:pPr>
          </w:p>
        </w:tc>
      </w:tr>
      <w:tr>
        <w:trPr>
          <w:trHeight w:val="244"/>
        </w:trPr>
        <w:tc>
          <w:tcPr>
            <w:tcW w:w="67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Net debt including effect of hedges </w:t>
            </w:r>
            <w:r>
              <w:rPr>
                <w:rFonts w:ascii="Times New Roman" w:cs="Times New Roman" w:eastAsia="Times New Roman" w:hAnsi="Times New Roman"/>
                <w:sz w:val="28"/>
                <w:szCs w:val="28"/>
                <w:color w:val="auto"/>
                <w:vertAlign w:val="superscript"/>
              </w:rPr>
              <w:t>(1)(3)</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47,535</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52,846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1"/>
        </w:trPr>
        <w:tc>
          <w:tcPr>
            <w:tcW w:w="6880" w:type="dxa"/>
            <w:vAlign w:val="bottom"/>
            <w:gridSpan w:val="2"/>
          </w:tcPr>
          <w:p>
            <w:pPr>
              <w:spacing w:after="0" w:line="251" w:lineRule="exact"/>
              <w:rPr>
                <w:sz w:val="20"/>
                <w:szCs w:val="20"/>
                <w:color w:val="auto"/>
              </w:rPr>
            </w:pPr>
            <w:r>
              <w:rPr>
                <w:rFonts w:ascii="Times New Roman" w:cs="Times New Roman" w:eastAsia="Times New Roman" w:hAnsi="Times New Roman"/>
                <w:sz w:val="18"/>
                <w:szCs w:val="18"/>
                <w:color w:val="auto"/>
              </w:rPr>
              <w:t xml:space="preserve">Net debt including effect of hedges / Adj. EBITDA </w:t>
            </w:r>
            <w:r>
              <w:rPr>
                <w:rFonts w:ascii="Times New Roman" w:cs="Times New Roman" w:eastAsia="Times New Roman" w:hAnsi="Times New Roman"/>
                <w:sz w:val="29"/>
                <w:szCs w:val="29"/>
                <w:color w:val="auto"/>
                <w:vertAlign w:val="superscript"/>
              </w:rPr>
              <w:t>(1)(3)</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0.89</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1"/>
        </w:trPr>
        <w:tc>
          <w:tcPr>
            <w:tcW w:w="688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8"/>
                <w:szCs w:val="18"/>
                <w:color w:val="auto"/>
              </w:rPr>
              <w:t xml:space="preserve">Adj. EBITDA/ Interest expense, net </w:t>
            </w:r>
            <w:r>
              <w:rPr>
                <w:rFonts w:ascii="Times New Roman" w:cs="Times New Roman" w:eastAsia="Times New Roman" w:hAnsi="Times New Roman"/>
                <w:sz w:val="29"/>
                <w:szCs w:val="29"/>
                <w:color w:val="auto"/>
                <w:vertAlign w:val="superscript"/>
              </w:rPr>
              <w:t>(1)</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10.29</w:t>
            </w: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bl>
    <w:p>
      <w:pPr>
        <w:sectPr>
          <w:pgSz w:w="11900" w:h="16838" w:orient="portrait"/>
          <w:cols w:equalWidth="0" w:num="1">
            <w:col w:w="11240"/>
          </w:cols>
          <w:pgMar w:left="320" w:top="884" w:right="339" w:bottom="0" w:gutter="0" w:footer="0" w:header="0"/>
        </w:sectPr>
      </w:pPr>
    </w:p>
    <w:bookmarkStart w:id="37" w:name="page38"/>
    <w:bookmarkEnd w:id="37"/>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Capitalization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p>
    <w:p>
      <w:pPr>
        <w:ind w:left="320" w:hanging="314"/>
        <w:spacing w:after="0"/>
        <w:tabs>
          <w:tab w:leader="none" w:pos="320" w:val="left"/>
        </w:tabs>
        <w:numPr>
          <w:ilvl w:val="0"/>
          <w:numId w:val="4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Net debt = total debt - cash</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4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Total debt / (total debt + shareholders' equity)</w:t>
      </w:r>
    </w:p>
    <w:p>
      <w:pPr>
        <w:spacing w:after="0" w:line="2" w:lineRule="exact"/>
        <w:rPr>
          <w:rFonts w:ascii="Times New Roman" w:cs="Times New Roman" w:eastAsia="Times New Roman" w:hAnsi="Times New Roman"/>
          <w:sz w:val="24"/>
          <w:szCs w:val="24"/>
          <w:i w:val="1"/>
          <w:iCs w:val="1"/>
          <w:color w:val="auto"/>
          <w:vertAlign w:val="superscript"/>
        </w:rPr>
      </w:pPr>
    </w:p>
    <w:p>
      <w:pPr>
        <w:ind w:left="320" w:hanging="314"/>
        <w:spacing w:after="0" w:line="181" w:lineRule="auto"/>
        <w:tabs>
          <w:tab w:leader="none" w:pos="320" w:val="left"/>
        </w:tabs>
        <w:numPr>
          <w:ilvl w:val="0"/>
          <w:numId w:val="4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After giving effect to swaps.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Coca-Cola FEMSA Reports 1Q26 Results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354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38.0%</w:t>
      </w:r>
      <w:r>
        <w:rPr>
          <w:sz w:val="20"/>
          <w:szCs w:val="20"/>
          <w:color w:val="auto"/>
        </w:rPr>
        <w:tab/>
      </w:r>
      <w:r>
        <w:rPr>
          <w:rFonts w:ascii="Times New Roman" w:cs="Times New Roman" w:eastAsia="Times New Roman" w:hAnsi="Times New Roman"/>
          <w:sz w:val="16"/>
          <w:szCs w:val="16"/>
          <w:color w:val="auto"/>
        </w:rPr>
        <w:t>35.4%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Page 12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-118110</wp:posOffset>
            </wp:positionV>
            <wp:extent cx="351790" cy="393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1790" cy="393700"/>
                    </a:xfrm>
                    <a:prstGeom prst="rect">
                      <a:avLst/>
                    </a:prstGeom>
                    <a:noFill/>
                  </pic:spPr>
                </pic:pic>
              </a:graphicData>
            </a:graphic>
          </wp:anchor>
        </w:drawing>
      </w:r>
    </w:p>
    <w:p>
      <w:pPr>
        <w:sectPr>
          <w:pgSz w:w="11900" w:h="16838" w:orient="portrait"/>
          <w:cols w:equalWidth="0" w:num="2">
            <w:col w:w="7080" w:space="720"/>
            <w:col w:w="2339"/>
          </w:cols>
          <w:pgMar w:left="320" w:top="121" w:right="1440" w:bottom="1440" w:gutter="0" w:footer="0" w:header="0"/>
        </w:sectPr>
      </w:pPr>
    </w:p>
    <w:bookmarkStart w:id="38" w:name="page39"/>
    <w:bookmarkEnd w:id="38"/>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COCA-COLA FEMSA</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VOLUME, TRANSACTIONS &amp; REVENUES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1Q 2026</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1Q 2025</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Sparkling</w:t>
            </w:r>
          </w:p>
        </w:tc>
        <w:tc>
          <w:tcPr>
            <w:tcW w:w="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
              <w:spacing w:after="0" w:line="178" w:lineRule="exact"/>
              <w:rPr>
                <w:sz w:val="20"/>
                <w:szCs w:val="20"/>
                <w:color w:val="auto"/>
              </w:rPr>
            </w:pPr>
            <w:r>
              <w:rPr>
                <w:rFonts w:ascii="Times New Roman" w:cs="Times New Roman" w:eastAsia="Times New Roman" w:hAnsi="Times New Roman"/>
                <w:sz w:val="13"/>
                <w:szCs w:val="13"/>
                <w:b w:val="1"/>
                <w:bCs w:val="1"/>
                <w:color w:val="auto"/>
              </w:rPr>
              <w:t xml:space="preserve">Water </w:t>
            </w:r>
            <w:r>
              <w:rPr>
                <w:rFonts w:ascii="Times New Roman" w:cs="Times New Roman" w:eastAsia="Times New Roman" w:hAnsi="Times New Roman"/>
                <w:sz w:val="20"/>
                <w:szCs w:val="20"/>
                <w:b w:val="1"/>
                <w:bCs w:val="1"/>
                <w:color w:val="auto"/>
                <w:vertAlign w:val="superscript"/>
              </w:rPr>
              <w:t>(1)</w:t>
            </w:r>
          </w:p>
        </w:tc>
        <w:tc>
          <w:tcPr>
            <w:tcW w:w="2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ind w:left="120"/>
              <w:spacing w:after="0" w:line="178" w:lineRule="exact"/>
              <w:rPr>
                <w:sz w:val="20"/>
                <w:szCs w:val="20"/>
                <w:color w:val="auto"/>
              </w:rPr>
            </w:pPr>
            <w:r>
              <w:rPr>
                <w:rFonts w:ascii="Times New Roman" w:cs="Times New Roman" w:eastAsia="Times New Roman" w:hAnsi="Times New Roman"/>
                <w:sz w:val="13"/>
                <w:szCs w:val="13"/>
                <w:b w:val="1"/>
                <w:bCs w:val="1"/>
                <w:color w:val="auto"/>
              </w:rPr>
              <w:t xml:space="preserve">Bulk </w:t>
            </w:r>
            <w:r>
              <w:rPr>
                <w:rFonts w:ascii="Times New Roman" w:cs="Times New Roman" w:eastAsia="Times New Roman" w:hAnsi="Times New Roman"/>
                <w:sz w:val="20"/>
                <w:szCs w:val="20"/>
                <w:b w:val="1"/>
                <w:bCs w:val="1"/>
                <w:color w:val="auto"/>
                <w:vertAlign w:val="superscript"/>
              </w:rPr>
              <w:t>(2)</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Stills</w:t>
            </w:r>
          </w:p>
        </w:tc>
        <w:tc>
          <w:tcPr>
            <w:tcW w:w="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Sparkling</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3"/>
                <w:szCs w:val="13"/>
                <w:b w:val="1"/>
                <w:bCs w:val="1"/>
                <w:color w:val="auto"/>
              </w:rPr>
              <w:t xml:space="preserve">Water </w:t>
            </w:r>
            <w:r>
              <w:rPr>
                <w:rFonts w:ascii="Times New Roman" w:cs="Times New Roman" w:eastAsia="Times New Roman" w:hAnsi="Times New Roman"/>
                <w:sz w:val="20"/>
                <w:szCs w:val="20"/>
                <w:b w:val="1"/>
                <w:bCs w:val="1"/>
                <w:color w:val="auto"/>
                <w:vertAlign w:val="superscript"/>
              </w:rPr>
              <w:t>(1)</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0"/>
              <w:spacing w:after="0" w:line="178" w:lineRule="exact"/>
              <w:rPr>
                <w:sz w:val="20"/>
                <w:szCs w:val="20"/>
                <w:color w:val="auto"/>
              </w:rPr>
            </w:pPr>
            <w:r>
              <w:rPr>
                <w:rFonts w:ascii="Times New Roman" w:cs="Times New Roman" w:eastAsia="Times New Roman" w:hAnsi="Times New Roman"/>
                <w:sz w:val="13"/>
                <w:szCs w:val="13"/>
                <w:b w:val="1"/>
                <w:bCs w:val="1"/>
                <w:color w:val="auto"/>
              </w:rPr>
              <w:t xml:space="preserve">Bulk </w:t>
            </w:r>
            <w:r>
              <w:rPr>
                <w:rFonts w:ascii="Times New Roman" w:cs="Times New Roman" w:eastAsia="Times New Roman" w:hAnsi="Times New Roman"/>
                <w:sz w:val="20"/>
                <w:szCs w:val="20"/>
                <w:b w:val="1"/>
                <w:bCs w:val="1"/>
                <w:color w:val="auto"/>
                <w:vertAlign w:val="superscript"/>
              </w:rPr>
              <w:t>(2)</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Stills</w:t>
            </w:r>
          </w:p>
        </w:tc>
        <w:tc>
          <w:tcPr>
            <w:tcW w:w="2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48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4"/>
                <w:szCs w:val="14"/>
                <w:color w:val="auto"/>
              </w:rPr>
              <w:t>Mexico</w:t>
            </w: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300.9</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28.6</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84.9</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37.2</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451.6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307.9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30.4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87.1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38.5</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463.8</w:t>
            </w:r>
          </w:p>
        </w:tc>
        <w:tc>
          <w:tcPr>
            <w:tcW w:w="2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5"/>
        </w:trPr>
        <w:tc>
          <w:tcPr>
            <w:tcW w:w="14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Guatemala</w:t>
            </w:r>
          </w:p>
        </w:tc>
        <w:tc>
          <w:tcPr>
            <w:tcW w:w="9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43.3</w:t>
            </w:r>
          </w:p>
        </w:tc>
        <w:tc>
          <w:tcPr>
            <w:tcW w:w="92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2.2</w:t>
            </w:r>
          </w:p>
        </w:tc>
        <w:tc>
          <w:tcPr>
            <w:tcW w:w="9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0.5</w:t>
            </w:r>
          </w:p>
        </w:tc>
        <w:tc>
          <w:tcPr>
            <w:tcW w:w="9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2.1</w:t>
            </w:r>
          </w:p>
        </w:tc>
        <w:tc>
          <w:tcPr>
            <w:tcW w:w="9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48.0</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42.0</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1.9</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0.8</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2.1</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46.8</w:t>
            </w:r>
          </w:p>
        </w:tc>
        <w:tc>
          <w:tcPr>
            <w:tcW w:w="8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CAM South</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36.4</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2.5</w:t>
            </w:r>
          </w:p>
        </w:tc>
        <w:tc>
          <w:tcPr>
            <w:tcW w:w="9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0.2</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5.7</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44.9</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34.7</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2.3</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0.2</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5.4</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42.7</w:t>
            </w:r>
          </w:p>
        </w:tc>
        <w:tc>
          <w:tcPr>
            <w:tcW w:w="80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23"/>
        </w:trPr>
        <w:tc>
          <w:tcPr>
            <w:tcW w:w="148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Mexico and Central</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380.6</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33.3</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85.6</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45.1</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544.5</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384.7</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34.6</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88.0</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46.0</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553.3</w:t>
            </w:r>
          </w:p>
        </w:tc>
        <w:tc>
          <w:tcPr>
            <w:tcW w:w="8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America</w:t>
            </w:r>
          </w:p>
        </w:tc>
        <w:tc>
          <w:tcPr>
            <w:tcW w:w="9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Colombia</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67.4</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10.6</w:t>
            </w:r>
          </w:p>
        </w:tc>
        <w:tc>
          <w:tcPr>
            <w:tcW w:w="9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3.6</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6.7</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88.4</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61.7</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9.8</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3.5</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6.2</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81.2</w:t>
            </w:r>
          </w:p>
        </w:tc>
        <w:tc>
          <w:tcPr>
            <w:tcW w:w="80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5"/>
        </w:trPr>
        <w:tc>
          <w:tcPr>
            <w:tcW w:w="1480" w:type="dxa"/>
            <w:vAlign w:val="bottom"/>
          </w:tcPr>
          <w:p>
            <w:pPr>
              <w:ind w:left="160"/>
              <w:spacing w:after="0" w:line="185"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1"/>
                <w:szCs w:val="21"/>
                <w:color w:val="auto"/>
                <w:vertAlign w:val="superscript"/>
              </w:rPr>
              <w:t>(3)</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248.9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23.9</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30.4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306.0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242.4</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24.1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26.0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295.4</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5"/>
        </w:trPr>
        <w:tc>
          <w:tcPr>
            <w:tcW w:w="148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Argentina</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31.3</w:t>
            </w:r>
          </w:p>
        </w:tc>
        <w:tc>
          <w:tcPr>
            <w:tcW w:w="92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6.9</w:t>
            </w:r>
          </w:p>
        </w:tc>
        <w:tc>
          <w:tcPr>
            <w:tcW w:w="9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2.0</w:t>
            </w:r>
          </w:p>
        </w:tc>
        <w:tc>
          <w:tcPr>
            <w:tcW w:w="9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5.4</w:t>
            </w:r>
          </w:p>
        </w:tc>
        <w:tc>
          <w:tcPr>
            <w:tcW w:w="9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45.6</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31.4</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6.2</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1.3</w:t>
            </w:r>
          </w:p>
        </w:tc>
        <w:tc>
          <w:tcPr>
            <w:tcW w:w="86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4.3</w:t>
            </w:r>
          </w:p>
        </w:tc>
        <w:tc>
          <w:tcPr>
            <w:tcW w:w="8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43.3</w:t>
            </w:r>
          </w:p>
        </w:tc>
        <w:tc>
          <w:tcPr>
            <w:tcW w:w="80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5"/>
        </w:trPr>
        <w:tc>
          <w:tcPr>
            <w:tcW w:w="14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Uruguay</w:t>
            </w:r>
          </w:p>
        </w:tc>
        <w:tc>
          <w:tcPr>
            <w:tcW w:w="9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10.4</w:t>
            </w:r>
          </w:p>
        </w:tc>
        <w:tc>
          <w:tcPr>
            <w:tcW w:w="92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2.4</w:t>
            </w:r>
          </w:p>
        </w:tc>
        <w:tc>
          <w:tcPr>
            <w:tcW w:w="9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1.0</w:t>
            </w:r>
          </w:p>
        </w:tc>
        <w:tc>
          <w:tcPr>
            <w:tcW w:w="9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13.8</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10.1</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2.3</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1.0</w:t>
            </w:r>
          </w:p>
        </w:tc>
        <w:tc>
          <w:tcPr>
            <w:tcW w:w="8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13.4</w:t>
            </w:r>
          </w:p>
        </w:tc>
        <w:tc>
          <w:tcPr>
            <w:tcW w:w="80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58"/>
        </w:trPr>
        <w:tc>
          <w:tcPr>
            <w:tcW w:w="14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South America</w:t>
            </w:r>
          </w:p>
        </w:tc>
        <w:tc>
          <w:tcPr>
            <w:tcW w:w="9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358.0</w:t>
            </w:r>
          </w:p>
        </w:tc>
        <w:tc>
          <w:tcPr>
            <w:tcW w:w="92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43.9</w:t>
            </w:r>
          </w:p>
        </w:tc>
        <w:tc>
          <w:tcPr>
            <w:tcW w:w="94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8.4</w:t>
            </w:r>
          </w:p>
        </w:tc>
        <w:tc>
          <w:tcPr>
            <w:tcW w:w="92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43.6</w:t>
            </w:r>
          </w:p>
        </w:tc>
        <w:tc>
          <w:tcPr>
            <w:tcW w:w="9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453.9</w:t>
            </w:r>
          </w:p>
        </w:tc>
        <w:tc>
          <w:tcPr>
            <w:tcW w:w="88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345.6</w:t>
            </w:r>
          </w:p>
        </w:tc>
        <w:tc>
          <w:tcPr>
            <w:tcW w:w="8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42.4</w:t>
            </w:r>
          </w:p>
        </w:tc>
        <w:tc>
          <w:tcPr>
            <w:tcW w:w="88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7.8</w:t>
            </w:r>
          </w:p>
        </w:tc>
        <w:tc>
          <w:tcPr>
            <w:tcW w:w="86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37.5</w:t>
            </w:r>
          </w:p>
        </w:tc>
        <w:tc>
          <w:tcPr>
            <w:tcW w:w="88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433.2</w:t>
            </w:r>
          </w:p>
        </w:tc>
        <w:tc>
          <w:tcPr>
            <w:tcW w:w="800" w:type="dxa"/>
            <w:vAlign w:val="bottom"/>
            <w:gridSpan w:val="3"/>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51"/>
        </w:trPr>
        <w:tc>
          <w:tcPr>
            <w:tcW w:w="14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738.7</w:t>
            </w:r>
          </w:p>
        </w:tc>
        <w:tc>
          <w:tcPr>
            <w:tcW w:w="24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77.2</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93.9</w:t>
            </w:r>
          </w:p>
        </w:tc>
        <w:tc>
          <w:tcPr>
            <w:tcW w:w="240" w:type="dxa"/>
            <w:vAlign w:val="bottom"/>
          </w:tcPr>
          <w:p>
            <w:pPr>
              <w:spacing w:after="0"/>
              <w:rPr>
                <w:sz w:val="13"/>
                <w:szCs w:val="13"/>
                <w:color w:val="auto"/>
              </w:rPr>
            </w:pP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88.7</w:t>
            </w:r>
          </w:p>
        </w:tc>
        <w:tc>
          <w:tcPr>
            <w:tcW w:w="240" w:type="dxa"/>
            <w:vAlign w:val="bottom"/>
          </w:tcPr>
          <w:p>
            <w:pPr>
              <w:spacing w:after="0"/>
              <w:rPr>
                <w:sz w:val="13"/>
                <w:szCs w:val="13"/>
                <w:color w:val="auto"/>
              </w:rPr>
            </w:pP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998.4</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730.3</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77.0</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95.8</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83.5</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986.5</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1.2</w:t>
            </w:r>
          </w:p>
        </w:tc>
        <w:tc>
          <w:tcPr>
            <w:tcW w:w="1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Excludes water presentations larger than 5.0 Lt ; includes flavored water.</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43"/>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Bulk Water = Still bottled water in 5.0, 19.0 and 20.0 - liter packaging presentations; includes flavored water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1Q 2026</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1Q 2025</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YoY</w:t>
            </w:r>
          </w:p>
        </w:tc>
      </w:tr>
      <w:tr>
        <w:trPr>
          <w:trHeight w:val="151"/>
        </w:trPr>
        <w:tc>
          <w:tcPr>
            <w:tcW w:w="22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
              <w:spacing w:after="0" w:line="151" w:lineRule="exact"/>
              <w:rPr>
                <w:sz w:val="20"/>
                <w:szCs w:val="20"/>
                <w:color w:val="auto"/>
              </w:rPr>
            </w:pPr>
            <w:r>
              <w:rPr>
                <w:rFonts w:ascii="Times New Roman" w:cs="Times New Roman" w:eastAsia="Times New Roman" w:hAnsi="Times New Roman"/>
                <w:sz w:val="14"/>
                <w:szCs w:val="14"/>
                <w:b w:val="1"/>
                <w:bCs w:val="1"/>
                <w:color w:val="auto"/>
              </w:rPr>
              <w:t>Sparkling</w:t>
            </w:r>
          </w:p>
        </w:tc>
        <w:tc>
          <w:tcPr>
            <w:tcW w:w="24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Times New Roman" w:cs="Times New Roman" w:eastAsia="Times New Roman" w:hAnsi="Times New Roman"/>
                <w:sz w:val="14"/>
                <w:szCs w:val="14"/>
                <w:b w:val="1"/>
                <w:bCs w:val="1"/>
                <w:color w:val="auto"/>
              </w:rPr>
              <w:t>Water</w:t>
            </w:r>
          </w:p>
        </w:tc>
        <w:tc>
          <w:tcPr>
            <w:tcW w:w="2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Times New Roman" w:cs="Times New Roman" w:eastAsia="Times New Roman" w:hAnsi="Times New Roman"/>
                <w:sz w:val="14"/>
                <w:szCs w:val="14"/>
                <w:b w:val="1"/>
                <w:bCs w:val="1"/>
                <w:color w:val="auto"/>
              </w:rPr>
              <w:t>Stills</w:t>
            </w:r>
          </w:p>
        </w:tc>
        <w:tc>
          <w:tcPr>
            <w:tcW w:w="24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0"/>
              <w:spacing w:after="0" w:line="151" w:lineRule="exact"/>
              <w:rPr>
                <w:sz w:val="20"/>
                <w:szCs w:val="20"/>
                <w:color w:val="auto"/>
              </w:rPr>
            </w:pPr>
            <w:r>
              <w:rPr>
                <w:rFonts w:ascii="Times New Roman" w:cs="Times New Roman" w:eastAsia="Times New Roman" w:hAnsi="Times New Roman"/>
                <w:sz w:val="14"/>
                <w:szCs w:val="14"/>
                <w:b w:val="1"/>
                <w:bCs w:val="1"/>
                <w:color w:val="auto"/>
              </w:rPr>
              <w:t>Sparkling</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Times New Roman" w:cs="Times New Roman" w:eastAsia="Times New Roman" w:hAnsi="Times New Roman"/>
                <w:sz w:val="14"/>
                <w:szCs w:val="14"/>
                <w:b w:val="1"/>
                <w:bCs w:val="1"/>
                <w:color w:val="auto"/>
              </w:rPr>
              <w:t>Water</w:t>
            </w:r>
          </w:p>
        </w:tc>
        <w:tc>
          <w:tcPr>
            <w:tcW w:w="2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70"/>
              <w:spacing w:after="0" w:line="151" w:lineRule="exact"/>
              <w:rPr>
                <w:sz w:val="20"/>
                <w:szCs w:val="20"/>
                <w:color w:val="auto"/>
              </w:rPr>
            </w:pPr>
            <w:r>
              <w:rPr>
                <w:rFonts w:ascii="Times New Roman" w:cs="Times New Roman" w:eastAsia="Times New Roman" w:hAnsi="Times New Roman"/>
                <w:sz w:val="14"/>
                <w:szCs w:val="14"/>
                <w:b w:val="1"/>
                <w:bCs w:val="1"/>
                <w:color w:val="auto"/>
              </w:rPr>
              <w:t>Stills</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38"/>
        </w:trPr>
        <w:tc>
          <w:tcPr>
            <w:tcW w:w="226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4"/>
                <w:szCs w:val="14"/>
                <w:color w:val="auto"/>
              </w:rPr>
              <w:t>Mexico</w:t>
            </w: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1,644.6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211.1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261.5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2,117.1</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1,735.6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217.3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272.9</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2,225.8</w:t>
            </w: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4"/>
                <w:szCs w:val="14"/>
                <w:color w:val="auto"/>
              </w:rPr>
              <w:t>-4.9%</w:t>
            </w:r>
          </w:p>
        </w:tc>
      </w:tr>
      <w:tr>
        <w:trPr>
          <w:trHeight w:val="145"/>
        </w:trPr>
        <w:tc>
          <w:tcPr>
            <w:tcW w:w="22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Guatemala</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318.0</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20.3</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23.2</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361.6</w:t>
            </w:r>
          </w:p>
        </w:tc>
        <w:tc>
          <w:tcPr>
            <w:tcW w:w="10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311.9</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18.0</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23.3</w:t>
            </w:r>
          </w:p>
        </w:tc>
        <w:tc>
          <w:tcPr>
            <w:tcW w:w="9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353.1</w:t>
            </w:r>
          </w:p>
        </w:tc>
        <w:tc>
          <w:tcPr>
            <w:tcW w:w="92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2.4%</w:t>
            </w:r>
          </w:p>
        </w:tc>
      </w:tr>
      <w:tr>
        <w:trPr>
          <w:trHeight w:val="145"/>
        </w:trPr>
        <w:tc>
          <w:tcPr>
            <w:tcW w:w="22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CAM South</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264.8</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16.1</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55.8</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336.6</w:t>
            </w:r>
          </w:p>
        </w:tc>
        <w:tc>
          <w:tcPr>
            <w:tcW w:w="10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255.0</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14.9</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54.3</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324.2</w:t>
            </w:r>
          </w:p>
        </w:tc>
        <w:tc>
          <w:tcPr>
            <w:tcW w:w="92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3.8%</w:t>
            </w:r>
          </w:p>
        </w:tc>
      </w:tr>
      <w:tr>
        <w:trPr>
          <w:trHeight w:val="145"/>
        </w:trPr>
        <w:tc>
          <w:tcPr>
            <w:tcW w:w="22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Mexico and Central America</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2,227.4</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247.4</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340.5</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2,815.3</w:t>
            </w:r>
          </w:p>
        </w:tc>
        <w:tc>
          <w:tcPr>
            <w:tcW w:w="10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2,302.4</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250.2</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350.4</w:t>
            </w: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2,903.1</w:t>
            </w:r>
          </w:p>
        </w:tc>
        <w:tc>
          <w:tcPr>
            <w:tcW w:w="220" w:type="dxa"/>
            <w:vAlign w:val="bottom"/>
          </w:tcPr>
          <w:p>
            <w:pPr>
              <w:spacing w:after="0"/>
              <w:rPr>
                <w:sz w:val="12"/>
                <w:szCs w:val="12"/>
                <w:color w:val="auto"/>
              </w:rPr>
            </w:pPr>
          </w:p>
        </w:tc>
        <w:tc>
          <w:tcPr>
            <w:tcW w:w="92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-3.0%</w:t>
            </w:r>
          </w:p>
        </w:tc>
      </w:tr>
      <w:tr>
        <w:trPr>
          <w:trHeight w:val="145"/>
        </w:trPr>
        <w:tc>
          <w:tcPr>
            <w:tcW w:w="22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Colombia</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492.3</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105.7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50.2</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648.2</w:t>
            </w:r>
          </w:p>
        </w:tc>
        <w:tc>
          <w:tcPr>
            <w:tcW w:w="10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446.0</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98.0</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47.8</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591.8</w:t>
            </w:r>
          </w:p>
        </w:tc>
        <w:tc>
          <w:tcPr>
            <w:tcW w:w="92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9.5%</w:t>
            </w:r>
          </w:p>
        </w:tc>
      </w:tr>
      <w:tr>
        <w:trPr>
          <w:trHeight w:val="185"/>
        </w:trPr>
        <w:tc>
          <w:tcPr>
            <w:tcW w:w="2260" w:type="dxa"/>
            <w:vAlign w:val="bottom"/>
          </w:tcPr>
          <w:p>
            <w:pPr>
              <w:ind w:left="160"/>
              <w:spacing w:after="0" w:line="185" w:lineRule="exact"/>
              <w:rPr>
                <w:sz w:val="20"/>
                <w:szCs w:val="20"/>
                <w:color w:val="auto"/>
              </w:rPr>
            </w:pPr>
            <w:r>
              <w:rPr>
                <w:rFonts w:ascii="Times New Roman" w:cs="Times New Roman" w:eastAsia="Times New Roman" w:hAnsi="Times New Roman"/>
                <w:sz w:val="13"/>
                <w:szCs w:val="13"/>
                <w:color w:val="auto"/>
              </w:rPr>
              <w:t xml:space="preserve">Brazil </w:t>
            </w:r>
            <w:r>
              <w:rPr>
                <w:rFonts w:ascii="Times New Roman" w:cs="Times New Roman" w:eastAsia="Times New Roman" w:hAnsi="Times New Roman"/>
                <w:sz w:val="21"/>
                <w:szCs w:val="21"/>
                <w:color w:val="auto"/>
                <w:vertAlign w:val="superscript"/>
              </w:rPr>
              <w:t>(3)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1,672.3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206.1</w:t>
            </w:r>
          </w:p>
        </w:tc>
        <w:tc>
          <w:tcPr>
            <w:tcW w:w="18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337.8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2,216.2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1,629.7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206.3</w:t>
            </w:r>
          </w:p>
        </w:tc>
        <w:tc>
          <w:tcPr>
            <w:tcW w:w="2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292.7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2,128.7</w:t>
            </w:r>
          </w:p>
        </w:tc>
        <w:tc>
          <w:tcPr>
            <w:tcW w:w="220" w:type="dxa"/>
            <w:vAlign w:val="bottom"/>
          </w:tcPr>
          <w:p>
            <w:pPr>
              <w:spacing w:after="0"/>
              <w:rPr>
                <w:sz w:val="16"/>
                <w:szCs w:val="16"/>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r>
      <w:tr>
        <w:trPr>
          <w:trHeight w:val="145"/>
        </w:trPr>
        <w:tc>
          <w:tcPr>
            <w:tcW w:w="2260" w:type="dxa"/>
            <w:vAlign w:val="bottom"/>
            <w:shd w:val="clear" w:color="auto" w:fill="CCEEFF"/>
          </w:tcPr>
          <w:p>
            <w:pPr>
              <w:ind w:left="160"/>
              <w:spacing w:after="0" w:line="145" w:lineRule="exact"/>
              <w:rPr>
                <w:sz w:val="20"/>
                <w:szCs w:val="20"/>
                <w:color w:val="auto"/>
              </w:rPr>
            </w:pPr>
            <w:r>
              <w:rPr>
                <w:rFonts w:ascii="Times New Roman" w:cs="Times New Roman" w:eastAsia="Times New Roman" w:hAnsi="Times New Roman"/>
                <w:sz w:val="14"/>
                <w:szCs w:val="14"/>
                <w:color w:val="auto"/>
              </w:rPr>
              <w:t>Argentina</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163.4</w:t>
            </w:r>
          </w:p>
        </w:tc>
        <w:tc>
          <w:tcPr>
            <w:tcW w:w="104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36.3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43.1</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242.9</w:t>
            </w:r>
          </w:p>
        </w:tc>
        <w:tc>
          <w:tcPr>
            <w:tcW w:w="10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160.1</w:t>
            </w:r>
          </w:p>
        </w:tc>
        <w:tc>
          <w:tcPr>
            <w:tcW w:w="98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35.7</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36.3</w:t>
            </w:r>
          </w:p>
        </w:tc>
        <w:tc>
          <w:tcPr>
            <w:tcW w:w="98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232.2</w:t>
            </w:r>
          </w:p>
        </w:tc>
        <w:tc>
          <w:tcPr>
            <w:tcW w:w="920" w:type="dxa"/>
            <w:vAlign w:val="bottom"/>
            <w:gridSpan w:val="3"/>
            <w:shd w:val="clear" w:color="auto" w:fill="CCEEFF"/>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4.6%</w:t>
            </w:r>
          </w:p>
        </w:tc>
      </w:tr>
      <w:tr>
        <w:trPr>
          <w:trHeight w:val="145"/>
        </w:trPr>
        <w:tc>
          <w:tcPr>
            <w:tcW w:w="22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Uruguay</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50.8</w:t>
            </w:r>
          </w:p>
        </w:tc>
        <w:tc>
          <w:tcPr>
            <w:tcW w:w="104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9.0</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8.4</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68.2</w:t>
            </w:r>
          </w:p>
        </w:tc>
        <w:tc>
          <w:tcPr>
            <w:tcW w:w="10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49.4</w:t>
            </w:r>
          </w:p>
        </w:tc>
        <w:tc>
          <w:tcPr>
            <w:tcW w:w="98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8.7</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8.0</w:t>
            </w:r>
          </w:p>
        </w:tc>
        <w:tc>
          <w:tcPr>
            <w:tcW w:w="980" w:type="dxa"/>
            <w:vAlign w:val="bottom"/>
            <w:gridSpan w:val="2"/>
          </w:tcPr>
          <w:p>
            <w:pPr>
              <w:jc w:val="right"/>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66.1</w:t>
            </w:r>
          </w:p>
        </w:tc>
        <w:tc>
          <w:tcPr>
            <w:tcW w:w="920" w:type="dxa"/>
            <w:vAlign w:val="bottom"/>
            <w:gridSpan w:val="3"/>
          </w:tcPr>
          <w:p>
            <w:pPr>
              <w:jc w:val="right"/>
              <w:ind w:right="20"/>
              <w:spacing w:after="0" w:line="145" w:lineRule="exact"/>
              <w:rPr>
                <w:sz w:val="20"/>
                <w:szCs w:val="20"/>
                <w:color w:val="auto"/>
              </w:rPr>
            </w:pPr>
            <w:r>
              <w:rPr>
                <w:rFonts w:ascii="Times New Roman" w:cs="Times New Roman" w:eastAsia="Times New Roman" w:hAnsi="Times New Roman"/>
                <w:sz w:val="14"/>
                <w:szCs w:val="14"/>
                <w:color w:val="auto"/>
              </w:rPr>
              <w:t>3.2%</w:t>
            </w:r>
          </w:p>
        </w:tc>
      </w:tr>
      <w:tr>
        <w:trPr>
          <w:trHeight w:val="158"/>
        </w:trPr>
        <w:tc>
          <w:tcPr>
            <w:tcW w:w="22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South America</w:t>
            </w:r>
          </w:p>
        </w:tc>
        <w:tc>
          <w:tcPr>
            <w:tcW w:w="104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2,378.8</w:t>
            </w:r>
          </w:p>
        </w:tc>
        <w:tc>
          <w:tcPr>
            <w:tcW w:w="104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357.2</w:t>
            </w: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439.5</w:t>
            </w:r>
          </w:p>
        </w:tc>
        <w:tc>
          <w:tcPr>
            <w:tcW w:w="98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3,175.5</w:t>
            </w:r>
          </w:p>
        </w:tc>
        <w:tc>
          <w:tcPr>
            <w:tcW w:w="10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2,285.2</w:t>
            </w:r>
          </w:p>
        </w:tc>
        <w:tc>
          <w:tcPr>
            <w:tcW w:w="980" w:type="dxa"/>
            <w:vAlign w:val="bottom"/>
            <w:gridSpan w:val="2"/>
            <w:shd w:val="clear" w:color="auto" w:fill="CCEEFF"/>
          </w:tcPr>
          <w:p>
            <w:pPr>
              <w:jc w:val="right"/>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348.7</w:t>
            </w:r>
          </w:p>
        </w:tc>
        <w:tc>
          <w:tcPr>
            <w:tcW w:w="2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384.8</w:t>
            </w:r>
          </w:p>
        </w:tc>
        <w:tc>
          <w:tcPr>
            <w:tcW w:w="7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3,018.7</w:t>
            </w:r>
          </w:p>
        </w:tc>
        <w:tc>
          <w:tcPr>
            <w:tcW w:w="2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5.2%</w:t>
            </w:r>
          </w:p>
        </w:tc>
      </w:tr>
      <w:tr>
        <w:trPr>
          <w:trHeight w:val="151"/>
        </w:trPr>
        <w:tc>
          <w:tcPr>
            <w:tcW w:w="22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4,606.2</w:t>
            </w:r>
          </w:p>
        </w:tc>
        <w:tc>
          <w:tcPr>
            <w:tcW w:w="240" w:type="dxa"/>
            <w:vAlign w:val="bottom"/>
          </w:tcPr>
          <w:p>
            <w:pPr>
              <w:spacing w:after="0"/>
              <w:rPr>
                <w:sz w:val="13"/>
                <w:szCs w:val="13"/>
                <w:color w:val="auto"/>
              </w:rPr>
            </w:pPr>
          </w:p>
        </w:tc>
        <w:tc>
          <w:tcPr>
            <w:tcW w:w="8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604.6</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780.0</w:t>
            </w:r>
          </w:p>
        </w:tc>
        <w:tc>
          <w:tcPr>
            <w:tcW w:w="240" w:type="dxa"/>
            <w:vAlign w:val="bottom"/>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5,990.8</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4,587.6</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598.9</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735.2</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5,921.8</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1.2</w:t>
            </w:r>
          </w:p>
        </w:tc>
        <w:tc>
          <w:tcPr>
            <w:tcW w:w="14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w w:val="85"/>
              </w:rPr>
              <w:t>%</w:t>
            </w:r>
          </w:p>
        </w:tc>
      </w:tr>
      <w:tr>
        <w:trPr>
          <w:trHeight w:val="20"/>
        </w:trPr>
        <w:tc>
          <w:tcPr>
            <w:tcW w:w="2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6"/>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Expressed in million Mexican Pesos</w:t>
            </w: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4"/>
                <w:szCs w:val="24"/>
                <w:color w:val="auto"/>
              </w:rPr>
            </w:pPr>
          </w:p>
        </w:tc>
      </w:tr>
      <w:tr>
        <w:trPr>
          <w:trHeight w:val="205"/>
        </w:trPr>
        <w:tc>
          <w:tcPr>
            <w:tcW w:w="4800" w:type="dxa"/>
            <w:vAlign w:val="bottom"/>
            <w:shd w:val="clear" w:color="auto" w:fill="CCEEFF"/>
          </w:tcPr>
          <w:p>
            <w:pPr>
              <w:ind w:left="160"/>
              <w:spacing w:after="0" w:line="205" w:lineRule="exact"/>
              <w:rPr>
                <w:sz w:val="20"/>
                <w:szCs w:val="20"/>
                <w:color w:val="auto"/>
              </w:rPr>
            </w:pPr>
            <w:r>
              <w:rPr>
                <w:rFonts w:ascii="Times New Roman" w:cs="Times New Roman" w:eastAsia="Times New Roman" w:hAnsi="Times New Roman"/>
                <w:sz w:val="18"/>
                <w:szCs w:val="18"/>
                <w:color w:val="auto"/>
              </w:rPr>
              <w:t>Mexico</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31,127</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31,262</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rPr>
              <w:t>-0.4%</w:t>
            </w:r>
          </w:p>
        </w:tc>
      </w:tr>
      <w:tr>
        <w:trPr>
          <w:trHeight w:val="211"/>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Guatemala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4,173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11"/>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CAM South</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4,234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1"/>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 and Central America</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39,117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39,669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1"/>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Colombia</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5,364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51"/>
        </w:trPr>
        <w:tc>
          <w:tcPr>
            <w:tcW w:w="4880" w:type="dxa"/>
            <w:vAlign w:val="bottom"/>
            <w:gridSpan w:val="2"/>
          </w:tcPr>
          <w:p>
            <w:pPr>
              <w:ind w:left="160"/>
              <w:spacing w:after="0" w:line="251" w:lineRule="exact"/>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9"/>
                <w:szCs w:val="29"/>
                <w:color w:val="auto"/>
                <w:vertAlign w:val="superscript"/>
              </w:rPr>
              <w:t>(4)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21,319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20,310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1"/>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Argentina</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1"/>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Uruguay</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1"/>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31,809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30,488</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31"/>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70,925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70,157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bl>
    <w:p>
      <w:pPr>
        <w:spacing w:after="0" w:line="68" w:lineRule="exact"/>
        <w:rPr>
          <w:sz w:val="20"/>
          <w:szCs w:val="20"/>
          <w:color w:val="auto"/>
        </w:rPr>
      </w:pPr>
    </w:p>
    <w:p>
      <w:pPr>
        <w:ind w:left="320" w:hanging="314"/>
        <w:spacing w:after="0"/>
        <w:tabs>
          <w:tab w:leader="none" w:pos="320" w:val="left"/>
        </w:tabs>
        <w:numPr>
          <w:ilvl w:val="0"/>
          <w:numId w:val="44"/>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Volume and transactions in Brazil do not include beer</w:t>
      </w:r>
    </w:p>
    <w:p>
      <w:pPr>
        <w:spacing w:after="0" w:line="2" w:lineRule="exact"/>
        <w:rPr>
          <w:rFonts w:ascii="Times New Roman" w:cs="Times New Roman" w:eastAsia="Times New Roman" w:hAnsi="Times New Roman"/>
          <w:sz w:val="29"/>
          <w:szCs w:val="29"/>
          <w:i w:val="1"/>
          <w:iCs w:val="1"/>
          <w:color w:val="auto"/>
          <w:vertAlign w:val="superscript"/>
        </w:rPr>
      </w:pPr>
    </w:p>
    <w:p>
      <w:pPr>
        <w:ind w:left="320" w:hanging="314"/>
        <w:spacing w:after="0" w:line="181" w:lineRule="auto"/>
        <w:tabs>
          <w:tab w:leader="none" w:pos="320" w:val="left"/>
        </w:tabs>
        <w:numPr>
          <w:ilvl w:val="0"/>
          <w:numId w:val="4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5"/>
          <w:szCs w:val="15"/>
          <w:i w:val="1"/>
          <w:iCs w:val="1"/>
          <w:color w:val="auto"/>
        </w:rPr>
        <w:t>Brazil includes beer revenues of Ps. 1,313.0 million for the first quarter of 2026 and Ps. 1,343.1 million for the same period of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134620</wp:posOffset>
            </wp:positionV>
            <wp:extent cx="6339840" cy="23952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39840" cy="239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hanging="318"/>
        <w:spacing w:after="0" w:line="196" w:lineRule="auto"/>
        <w:tabs>
          <w:tab w:leader="none" w:pos="640" w:val="left"/>
        </w:tabs>
        <w:numPr>
          <w:ilvl w:val="0"/>
          <w:numId w:val="4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Volume is expressed in unit cases. Unit case refers to 192 ounces of finished beverage product (24 eight-ounce servings) and, when applied to soda fountains, refers to the volume of syrup, powders, and concentrate that is required to produce 192 ounces of finished beverage product.</w:t>
      </w:r>
    </w:p>
    <w:p>
      <w:pPr>
        <w:ind w:left="640" w:right="180" w:hanging="318"/>
        <w:spacing w:after="0" w:line="187" w:lineRule="auto"/>
        <w:tabs>
          <w:tab w:leader="none" w:pos="640" w:val="left"/>
        </w:tabs>
        <w:numPr>
          <w:ilvl w:val="0"/>
          <w:numId w:val="4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Transactions refer to the number of single units (e.g., a can or a bottle) sold, regardless of their size or volume or whether they are sold individually or in multipacks, except for soda fountains, which represent multiple transactions based on a standard 12 oz. serving.</w:t>
      </w:r>
    </w:p>
    <w:p>
      <w:pPr>
        <w:spacing w:after="0" w:line="200" w:lineRule="exact"/>
        <w:rPr>
          <w:sz w:val="20"/>
          <w:szCs w:val="20"/>
          <w:color w:val="auto"/>
        </w:rPr>
      </w:pPr>
    </w:p>
    <w:p>
      <w:pPr>
        <w:spacing w:after="0" w:line="203"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13 of 14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ectPr>
          <w:pgSz w:w="11900" w:h="16870" w:orient="portrait"/>
          <w:cols w:equalWidth="0" w:num="1">
            <w:col w:w="11240"/>
          </w:cols>
          <w:pgMar w:left="320" w:top="884" w:right="339" w:bottom="0"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5495" cy="401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401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1"/>
        </w:trPr>
        <w:tc>
          <w:tcPr>
            <w:tcW w:w="2500" w:type="dxa"/>
            <w:vAlign w:val="bottom"/>
          </w:tcPr>
          <w:p>
            <w:pPr>
              <w:spacing w:after="0"/>
              <w:rPr>
                <w:sz w:val="18"/>
                <w:szCs w:val="18"/>
                <w:color w:val="auto"/>
              </w:rPr>
            </w:pPr>
          </w:p>
        </w:tc>
        <w:tc>
          <w:tcPr>
            <w:tcW w:w="4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COCA-COLA FEMSA</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1"/>
        </w:trPr>
        <w:tc>
          <w:tcPr>
            <w:tcW w:w="2500" w:type="dxa"/>
            <w:vAlign w:val="bottom"/>
          </w:tcPr>
          <w:p>
            <w:pPr>
              <w:spacing w:after="0"/>
              <w:rPr>
                <w:sz w:val="20"/>
                <w:szCs w:val="20"/>
                <w:color w:val="auto"/>
              </w:rPr>
            </w:pPr>
          </w:p>
        </w:tc>
        <w:tc>
          <w:tcPr>
            <w:tcW w:w="53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MACROECONOMIC INFORMATION</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84"/>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Inflation </w:t>
            </w:r>
            <w:r>
              <w:rPr>
                <w:rFonts w:ascii="Times New Roman" w:cs="Times New Roman" w:eastAsia="Times New Roman" w:hAnsi="Times New Roman"/>
                <w:sz w:val="29"/>
                <w:szCs w:val="29"/>
                <w:b w:val="1"/>
                <w:bCs w:val="1"/>
                <w:color w:val="auto"/>
                <w:vertAlign w:val="superscript"/>
              </w:rPr>
              <w:t>(1)</w:t>
            </w:r>
          </w:p>
        </w:tc>
        <w:tc>
          <w:tcPr>
            <w:tcW w:w="2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4"/>
        </w:trPr>
        <w:tc>
          <w:tcPr>
            <w:tcW w:w="250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LTM</w:t>
            </w:r>
          </w:p>
        </w:tc>
        <w:tc>
          <w:tcPr>
            <w:tcW w:w="2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1Q26</w:t>
            </w:r>
          </w:p>
        </w:tc>
        <w:tc>
          <w:tcPr>
            <w:tcW w:w="2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YTD</w:t>
            </w:r>
          </w:p>
        </w:tc>
        <w:tc>
          <w:tcPr>
            <w:tcW w:w="160" w:type="dxa"/>
            <w:vAlign w:val="bottom"/>
            <w:tcBorders>
              <w:bottom w:val="single" w:sz="8" w:color="CCEEFF"/>
            </w:tcBorders>
          </w:tcPr>
          <w:p>
            <w:pPr>
              <w:spacing w:after="0"/>
              <w:rPr>
                <w:sz w:val="24"/>
                <w:szCs w:val="24"/>
                <w:color w:val="auto"/>
              </w:rPr>
            </w:pPr>
          </w:p>
        </w:tc>
      </w:tr>
      <w:tr>
        <w:trPr>
          <w:trHeight w:val="205"/>
        </w:trPr>
        <w:tc>
          <w:tcPr>
            <w:tcW w:w="25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Mexico</w:t>
            </w:r>
          </w:p>
        </w:tc>
        <w:tc>
          <w:tcPr>
            <w:tcW w:w="29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4.63%</w:t>
            </w:r>
          </w:p>
        </w:tc>
        <w:tc>
          <w:tcPr>
            <w:tcW w:w="1220" w:type="dxa"/>
            <w:vAlign w:val="bottom"/>
            <w:gridSpan w:val="2"/>
            <w:shd w:val="clear" w:color="auto" w:fill="CCEEFF"/>
          </w:tcPr>
          <w:p>
            <w:pPr>
              <w:jc w:val="right"/>
              <w:ind w:right="100"/>
              <w:spacing w:after="0" w:line="205" w:lineRule="exact"/>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1.17%</w:t>
            </w:r>
          </w:p>
        </w:tc>
      </w:tr>
      <w:tr>
        <w:trPr>
          <w:trHeight w:val="21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4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4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1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4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4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1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4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1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4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4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14" w:lineRule="exact"/>
        <w:rPr>
          <w:sz w:val="20"/>
          <w:szCs w:val="20"/>
          <w:color w:val="auto"/>
        </w:rPr>
      </w:pPr>
    </w:p>
    <w:p>
      <w:pPr>
        <w:ind w:left="320" w:hanging="314"/>
        <w:spacing w:after="0"/>
        <w:tabs>
          <w:tab w:leader="none" w:pos="320" w:val="left"/>
        </w:tabs>
        <w:numPr>
          <w:ilvl w:val="0"/>
          <w:numId w:val="46"/>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Source: inflation estimated by the company based on historic publications from the Central Bank of each country.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Average Exchange Rates for each period </w:t>
      </w:r>
      <w:r>
        <w:rPr>
          <w:rFonts w:ascii="Times New Roman" w:cs="Times New Roman" w:eastAsia="Times New Roman" w:hAnsi="Times New Roman"/>
          <w:sz w:val="29"/>
          <w:szCs w:val="29"/>
          <w:b w:val="1"/>
          <w:bCs w:val="1"/>
          <w:color w:val="auto"/>
          <w:vertAlign w:val="superscript"/>
        </w:rPr>
        <w:t>(2)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5"/>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Quarterly Exchange Rate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1"/>
        </w:trPr>
        <w:tc>
          <w:tcPr>
            <w:tcW w:w="2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Borders>
              <w:bottom w:val="single" w:sz="8" w:color="auto"/>
            </w:tcBorders>
            <w:gridSpan w:val="5"/>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(Local Currency per USD)</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8"/>
        </w:trPr>
        <w:tc>
          <w:tcPr>
            <w:tcW w:w="26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1Q26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1Q25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04"/>
        </w:trPr>
        <w:tc>
          <w:tcPr>
            <w:tcW w:w="2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Mexico</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17.56</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20.42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-14.0%</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3,695.49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4,188.58</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1,057.00</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485.77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21"/>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End-of-period Exchange Rates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2"/>
        </w:trPr>
        <w:tc>
          <w:tcPr>
            <w:tcW w:w="2600" w:type="dxa"/>
            <w:vAlign w:val="bottom"/>
          </w:tcPr>
          <w:p>
            <w:pPr>
              <w:spacing w:after="0"/>
              <w:rPr>
                <w:sz w:val="24"/>
                <w:szCs w:val="24"/>
                <w:color w:val="auto"/>
              </w:rPr>
            </w:pPr>
          </w:p>
        </w:tc>
        <w:tc>
          <w:tcPr>
            <w:tcW w:w="3280" w:type="dxa"/>
            <w:vAlign w:val="bottom"/>
            <w:gridSpan w:val="5"/>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Closing Exchange Rate</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gridSpan w:val="5"/>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Closing Exchange Rate</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1"/>
        </w:trPr>
        <w:tc>
          <w:tcPr>
            <w:tcW w:w="2600" w:type="dxa"/>
            <w:vAlign w:val="bottom"/>
          </w:tcPr>
          <w:p>
            <w:pPr>
              <w:spacing w:after="0"/>
              <w:rPr>
                <w:sz w:val="20"/>
                <w:szCs w:val="20"/>
                <w:color w:val="auto"/>
              </w:rPr>
            </w:pPr>
          </w:p>
        </w:tc>
        <w:tc>
          <w:tcPr>
            <w:tcW w:w="3280" w:type="dxa"/>
            <w:vAlign w:val="bottom"/>
            <w:tcBorders>
              <w:bottom w:val="single" w:sz="8" w:color="auto"/>
            </w:tcBorders>
            <w:gridSpan w:val="5"/>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(Local Currency per USD)</w:t>
            </w:r>
          </w:p>
        </w:tc>
        <w:tc>
          <w:tcPr>
            <w:tcW w:w="8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60" w:type="dxa"/>
            <w:vAlign w:val="bottom"/>
            <w:tcBorders>
              <w:bottom w:val="single" w:sz="8" w:color="auto"/>
            </w:tcBorders>
            <w:gridSpan w:val="5"/>
          </w:tcPr>
          <w:p>
            <w:pPr>
              <w:jc w:val="center"/>
              <w:ind w:left="772"/>
              <w:spacing w:after="0"/>
              <w:rPr>
                <w:sz w:val="20"/>
                <w:szCs w:val="20"/>
                <w:color w:val="auto"/>
              </w:rPr>
            </w:pPr>
            <w:r>
              <w:rPr>
                <w:rFonts w:ascii="Times New Roman" w:cs="Times New Roman" w:eastAsia="Times New Roman" w:hAnsi="Times New Roman"/>
                <w:sz w:val="18"/>
                <w:szCs w:val="18"/>
                <w:b w:val="1"/>
                <w:bCs w:val="1"/>
                <w:color w:val="auto"/>
                <w:w w:val="97"/>
              </w:rPr>
              <w:t>(Local Currency per USD)</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8"/>
        </w:trPr>
        <w:tc>
          <w:tcPr>
            <w:tcW w:w="26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Mar-26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Ene-26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Ene-25</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04"/>
        </w:trPr>
        <w:tc>
          <w:tcPr>
            <w:tcW w:w="26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Mexico</w:t>
            </w:r>
          </w:p>
        </w:tc>
        <w:tc>
          <w:tcPr>
            <w:tcW w:w="12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18.07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20.32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line="204" w:lineRule="exact"/>
              <w:rPr>
                <w:sz w:val="20"/>
                <w:szCs w:val="20"/>
                <w:color w:val="auto"/>
              </w:rPr>
            </w:pPr>
            <w:r>
              <w:rPr>
                <w:rFonts w:ascii="Times New Roman" w:cs="Times New Roman" w:eastAsia="Times New Roman" w:hAnsi="Times New Roman"/>
                <w:sz w:val="18"/>
                <w:szCs w:val="18"/>
                <w:color w:val="auto"/>
              </w:rPr>
              <w:t>-11.1%</w:t>
            </w: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17.97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-11.4%</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3,695.92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4,192.57</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3,757.08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4,409.15</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1,074.00</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1,032.00</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Costa Rica</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504.21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512.73</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Panama</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Nicaragua</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w:t>
            </w:r>
          </w:p>
        </w:tc>
        <w:tc>
          <w:tcPr>
            <w:tcW w:w="3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Uruguay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88"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Average exchange rate for each period computed with the average exchange rate of each month.</w:t>
      </w:r>
    </w:p>
    <w:p>
      <w:pPr>
        <w:spacing w:after="0" w:line="200" w:lineRule="exact"/>
        <w:rPr>
          <w:sz w:val="20"/>
          <w:szCs w:val="20"/>
          <w:color w:val="auto"/>
        </w:rPr>
      </w:pPr>
    </w:p>
    <w:p>
      <w:pPr>
        <w:spacing w:after="0" w:line="202"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Coca-Cola FEMSA Reports 1Q26 Results</w:t>
      </w:r>
      <w:r>
        <w:rPr>
          <w:sz w:val="20"/>
          <w:szCs w:val="20"/>
          <w:color w:val="auto"/>
        </w:rPr>
        <w:tab/>
      </w:r>
      <w:r>
        <w:rPr>
          <w:rFonts w:ascii="Times New Roman" w:cs="Times New Roman" w:eastAsia="Times New Roman" w:hAnsi="Times New Roman"/>
          <w:sz w:val="16"/>
          <w:szCs w:val="16"/>
          <w:b w:val="1"/>
          <w:bCs w:val="1"/>
          <w:color w:val="auto"/>
        </w:rPr>
        <w:t>Page 14 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135495" cy="401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5495" cy="40195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upperLetter"/>
      <w:start w:val="1"/>
    </w:lvl>
  </w:abstractNum>
  <w:abstractNum w:abstractNumId="2">
    <w:nsid w:val="79838CB2"/>
    <w:multiLevelType w:val="hybridMultilevel"/>
    <w:lvl w:ilvl="0">
      <w:lvlJc w:val="left"/>
      <w:lvlText w:val="1"/>
      <w:numFmt w:val="bullet"/>
      <w:start w:val="1"/>
    </w:lvl>
  </w:abstractNum>
  <w:abstractNum w:abstractNumId="3">
    <w:nsid w:val="4353D0CD"/>
    <w:multiLevelType w:val="hybridMultilevel"/>
    <w:lvl w:ilvl="0">
      <w:lvlJc w:val="left"/>
      <w:lvlText w:val="(%1)"/>
      <w:numFmt w:val="upperLetter"/>
      <w:start w:val="1"/>
    </w:lvl>
  </w:abstractNum>
  <w:abstractNum w:abstractNumId="4">
    <w:nsid w:val="B03E0C6"/>
    <w:multiLevelType w:val="hybridMultilevel"/>
    <w:lvl w:ilvl="0">
      <w:lvlJc w:val="left"/>
      <w:lvlText w:val="1"/>
      <w:numFmt w:val="bullet"/>
      <w:start w:val="1"/>
    </w:lvl>
  </w:abstractNum>
  <w:abstractNum w:abstractNumId="5">
    <w:nsid w:val="189A769B"/>
    <w:multiLevelType w:val="hybridMultilevel"/>
    <w:lvl w:ilvl="0">
      <w:lvlJc w:val="left"/>
      <w:lvlText w:val="5"/>
      <w:numFmt w:val="bullet"/>
      <w:start w:val="1"/>
    </w:lvl>
  </w:abstractNum>
  <w:abstractNum w:abstractNumId="6">
    <w:nsid w:val="54E49EB4"/>
    <w:multiLevelType w:val="hybridMultilevel"/>
    <w:lvl w:ilvl="0">
      <w:lvlJc w:val="left"/>
      <w:lvlText w:val="6"/>
      <w:numFmt w:val="bullet"/>
      <w:start w:val="1"/>
    </w:lvl>
  </w:abstractNum>
  <w:abstractNum w:abstractNumId="7">
    <w:nsid w:val="71F32454"/>
    <w:multiLevelType w:val="hybridMultilevel"/>
    <w:lvl w:ilvl="0">
      <w:lvlJc w:val="left"/>
      <w:lvlText w:val="1"/>
      <w:numFmt w:val="bullet"/>
      <w:start w:val="1"/>
    </w:lvl>
  </w:abstractNum>
  <w:abstractNum w:abstractNumId="8">
    <w:nsid w:val="2CA88611"/>
    <w:multiLevelType w:val="hybridMultilevel"/>
    <w:lvl w:ilvl="0">
      <w:lvlJc w:val="left"/>
      <w:lvlText w:val="(%1)"/>
      <w:numFmt w:val="lowerRoman"/>
      <w:start w:val="1"/>
    </w:lvl>
  </w:abstractNum>
  <w:abstractNum w:abstractNumId="9">
    <w:nsid w:val="836C40E"/>
    <w:multiLevelType w:val="hybridMultilevel"/>
    <w:lvl w:ilvl="0">
      <w:lvlJc w:val="left"/>
      <w:lvlText w:val="(%1)"/>
      <w:numFmt w:val="lowerRoman"/>
      <w:start w:val="3"/>
    </w:lvl>
  </w:abstractNum>
  <w:abstractNum w:abstractNumId="10">
    <w:nsid w:val="2901D82"/>
    <w:multiLevelType w:val="hybridMultilevel"/>
    <w:lvl w:ilvl="0">
      <w:lvlJc w:val="left"/>
      <w:lvlText w:val="(%1)"/>
      <w:numFmt w:val="upperLetter"/>
      <w:start w:val="1"/>
    </w:lvl>
  </w:abstractNum>
  <w:abstractNum w:abstractNumId="11">
    <w:nsid w:val="3A95F874"/>
    <w:multiLevelType w:val="hybridMultilevel"/>
    <w:lvl w:ilvl="0">
      <w:lvlJc w:val="left"/>
      <w:lvlText w:val="1"/>
      <w:numFmt w:val="bullet"/>
      <w:start w:val="1"/>
    </w:lvl>
  </w:abstractNum>
  <w:abstractNum w:abstractNumId="12">
    <w:nsid w:val="8138641"/>
    <w:multiLevelType w:val="hybridMultilevel"/>
    <w:lvl w:ilvl="0">
      <w:lvlJc w:val="left"/>
      <w:lvlText w:val="(%1)"/>
      <w:numFmt w:val="upperLetter"/>
      <w:start w:val="1"/>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bullet"/>
      <w:start w:val="1"/>
    </w:lvl>
  </w:abstractNum>
  <w:abstractNum w:abstractNumId="16">
    <w:nsid w:val="6CEAF087"/>
    <w:multiLevelType w:val="hybridMultilevel"/>
    <w:lvl w:ilvl="0">
      <w:lvlJc w:val="left"/>
      <w:lvlText w:val="2"/>
      <w:numFmt w:val="bullet"/>
      <w:start w:val="1"/>
    </w:lvl>
  </w:abstractNum>
  <w:abstractNum w:abstractNumId="17">
    <w:nsid w:val="22221A70"/>
    <w:multiLevelType w:val="hybridMultilevel"/>
    <w:lvl w:ilvl="0">
      <w:lvlJc w:val="left"/>
      <w:lvlText w:val="3"/>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upperLetter"/>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bullet"/>
      <w:start w:val="1"/>
    </w:lvl>
  </w:abstractNum>
  <w:abstractNum w:abstractNumId="22">
    <w:nsid w:val="5577F8E1"/>
    <w:multiLevelType w:val="hybridMultilevel"/>
    <w:lvl w:ilvl="0">
      <w:lvlJc w:val="left"/>
      <w:lvlText w:val="2"/>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upperLetter"/>
      <w:start w:val="1"/>
    </w:lvl>
  </w:abstractNum>
  <w:abstractNum w:abstractNumId="25">
    <w:nsid w:val="3804823E"/>
    <w:multiLevelType w:val="hybridMultilevel"/>
    <w:lvl w:ilvl="0">
      <w:lvlJc w:val="left"/>
      <w:lvlText w:val="(%1)"/>
      <w:numFmt w:val="upperLetter"/>
      <w:start w:val="1"/>
    </w:lvl>
  </w:abstractNum>
  <w:abstractNum w:abstractNumId="26">
    <w:nsid w:val="77465F01"/>
    <w:multiLevelType w:val="hybridMultilevel"/>
    <w:lvl w:ilvl="0">
      <w:lvlJc w:val="left"/>
      <w:lvlText w:val="(%1)"/>
      <w:numFmt w:val="decimal"/>
      <w:start w:val="7"/>
    </w:lvl>
  </w:abstractNum>
  <w:abstractNum w:abstractNumId="27">
    <w:nsid w:val="7724C67E"/>
    <w:multiLevelType w:val="hybridMultilevel"/>
    <w:lvl w:ilvl="0">
      <w:lvlJc w:val="left"/>
      <w:lvlText w:val="(%1)"/>
      <w:numFmt w:val="upperLetter"/>
      <w:start w:val="1"/>
    </w:lvl>
  </w:abstractNum>
  <w:abstractNum w:abstractNumId="28">
    <w:nsid w:val="5C482A97"/>
    <w:multiLevelType w:val="hybridMultilevel"/>
    <w:lvl w:ilvl="0">
      <w:lvlJc w:val="left"/>
      <w:lvlText w:val="(%1)"/>
      <w:numFmt w:val="upperLetter"/>
      <w:start w:val="1"/>
    </w:lvl>
  </w:abstractNum>
  <w:abstractNum w:abstractNumId="29">
    <w:nsid w:val="2463B9EA"/>
    <w:multiLevelType w:val="hybridMultilevel"/>
    <w:lvl w:ilvl="0">
      <w:lvlJc w:val="left"/>
      <w:lvlText w:val="(%1)"/>
      <w:numFmt w:val="upperLetter"/>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3"/>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2026-04-30T08:14:50Z</dcterms:created>
  <dcterms:modified xsi:type="dcterms:W3CDTF">2026-04-30T08:14:50Z</dcterms:modified>
</cp:coreProperties>
</file>