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2900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2900680"/>
                    </a:xfrm>
                    <a:prstGeom prst="rect">
                      <a:avLst/>
                    </a:prstGeom>
                    <a:noFill/>
                  </pic:spPr>
                </pic:pic>
              </a:graphicData>
            </a:graphic>
          </wp:anchor>
        </w:drawing>
      </w:r>
    </w:p>
    <w:p>
      <w:pPr>
        <w:sectPr>
          <w:pgSz w:w="11900" w:h="16838" w:orient="portrait"/>
          <w:cols w:equalWidth="0" w:num="1">
            <w:col w:w="11020"/>
          </w:cols>
          <w:pgMar w:left="440" w:top="202" w:right="439" w:bottom="1440" w:gutter="0" w:footer="0" w:header="0"/>
        </w:sectPr>
      </w:pPr>
    </w:p>
    <w:p>
      <w:pPr>
        <w:spacing w:after="0" w:line="42"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318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2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vMerge w:val="restart"/>
          </w:tcPr>
          <w:p>
            <w:pPr>
              <w:spacing w:after="0" w:line="187" w:lineRule="exact"/>
              <w:rPr>
                <w:rFonts w:ascii="Times New Roman" w:cs="Times New Roman" w:eastAsia="Times New Roman" w:hAnsi="Times New Roman"/>
                <w:sz w:val="17"/>
                <w:szCs w:val="17"/>
                <w:color w:val="0000EE"/>
                <w:w w:val="95"/>
              </w:rPr>
            </w:pPr>
            <w:hyperlink r:id="rId11">
              <w:r>
                <w:rPr>
                  <w:rFonts w:ascii="Times New Roman" w:cs="Times New Roman" w:eastAsia="Times New Roman" w:hAnsi="Times New Roman"/>
                  <w:sz w:val="17"/>
                  <w:szCs w:val="17"/>
                  <w:color w:val="0000EE"/>
                  <w:w w:val="95"/>
                </w:rPr>
                <w:t>MUELLER PAUL MICHAEL</w:t>
              </w:r>
            </w:hyperlink>
          </w:p>
        </w:tc>
        <w:tc>
          <w:tcPr>
            <w:tcW w:w="1100" w:type="dxa"/>
            <w:vAlign w:val="bottom"/>
          </w:tcPr>
          <w:p>
            <w:pPr>
              <w:spacing w:after="0"/>
              <w:rPr>
                <w:sz w:val="8"/>
                <w:szCs w:val="8"/>
                <w:color w:val="auto"/>
              </w:rPr>
            </w:pPr>
          </w:p>
        </w:tc>
        <w:tc>
          <w:tcPr>
            <w:tcW w:w="1420" w:type="dxa"/>
            <w:vAlign w:val="bottom"/>
          </w:tcPr>
          <w:p>
            <w:pPr>
              <w:ind w:left="120"/>
              <w:spacing w:after="0" w:line="94"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tcBorders>
              <w:bottom w:val="single" w:sz="8" w:color="0000EE"/>
            </w:tcBorders>
            <w:vMerge w:val="continue"/>
          </w:tcPr>
          <w:p>
            <w:pPr>
              <w:spacing w:after="0"/>
              <w:rPr>
                <w:sz w:val="9"/>
                <w:szCs w:val="9"/>
                <w:color w:val="auto"/>
              </w:rPr>
            </w:pPr>
          </w:p>
        </w:tc>
        <w:tc>
          <w:tcPr>
            <w:tcW w:w="1100" w:type="dxa"/>
            <w:vAlign w:val="bottom"/>
            <w:vMerge w:val="restart"/>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03/18/2026</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u w:val="single" w:color="auto"/>
            <w:color w:val="0000EE"/>
          </w:rPr>
          <w:t>MEXICAN ECONOMIC DEVELOPMENT INC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FMX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305" w:lineRule="exact"/>
        <w:rPr>
          <w:sz w:val="24"/>
          <w:szCs w:val="24"/>
          <w:color w:val="auto"/>
        </w:rPr>
      </w:pPr>
    </w:p>
    <w:p>
      <w:pPr>
        <w:sectPr>
          <w:pgSz w:w="11900" w:h="16838" w:orient="portrait"/>
          <w:cols w:equalWidth="0" w:num="2">
            <w:col w:w="4660" w:space="340"/>
            <w:col w:w="6020"/>
          </w:cols>
          <w:pgMar w:left="440" w:top="202" w:right="439" w:bottom="1440" w:gutter="0" w:footer="0" w:header="0"/>
          <w:type w:val="continuous"/>
        </w:sectPr>
      </w:pPr>
    </w:p>
    <w:tbl>
      <w:tblPr>
        <w:tblLayout w:type="fixed"/>
        <w:tblInd w:w="6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980" w:type="dxa"/>
            <w:vAlign w:val="bottom"/>
          </w:tcPr>
          <w:p>
            <w:pPr>
              <w:ind w:left="20"/>
              <w:spacing w:after="0"/>
              <w:rPr>
                <w:sz w:val="20"/>
                <w:szCs w:val="20"/>
                <w:color w:val="auto"/>
              </w:rPr>
            </w:pPr>
            <w:r>
              <w:rPr>
                <w:rFonts w:ascii="Arial" w:cs="Arial" w:eastAsia="Arial" w:hAnsi="Arial"/>
                <w:sz w:val="10"/>
                <w:szCs w:val="10"/>
                <w:color w:val="auto"/>
              </w:rPr>
              <w:t>(Last)</w:t>
            </w:r>
          </w:p>
        </w:tc>
        <w:tc>
          <w:tcPr>
            <w:tcW w:w="1060" w:type="dxa"/>
            <w:vAlign w:val="bottom"/>
          </w:tcPr>
          <w:p>
            <w:pPr>
              <w:ind w:left="100"/>
              <w:spacing w:after="0"/>
              <w:rPr>
                <w:sz w:val="20"/>
                <w:szCs w:val="20"/>
                <w:color w:val="auto"/>
              </w:rPr>
            </w:pPr>
            <w:r>
              <w:rPr>
                <w:rFonts w:ascii="Arial" w:cs="Arial" w:eastAsia="Arial" w:hAnsi="Arial"/>
                <w:sz w:val="10"/>
                <w:szCs w:val="10"/>
                <w:color w:val="auto"/>
              </w:rPr>
              <w:t>(First)</w:t>
            </w:r>
          </w:p>
        </w:tc>
        <w:tc>
          <w:tcPr>
            <w:tcW w:w="1120" w:type="dxa"/>
            <w:vAlign w:val="bottom"/>
          </w:tcPr>
          <w:p>
            <w:pPr>
              <w:ind w:left="80"/>
              <w:spacing w:after="0"/>
              <w:rPr>
                <w:sz w:val="20"/>
                <w:szCs w:val="20"/>
                <w:color w:val="auto"/>
              </w:rPr>
            </w:pPr>
            <w:r>
              <w:rPr>
                <w:rFonts w:ascii="Arial" w:cs="Arial" w:eastAsia="Arial" w:hAnsi="Arial"/>
                <w:sz w:val="10"/>
                <w:szCs w:val="10"/>
                <w:color w:val="auto"/>
              </w:rPr>
              <w:t>(Middle)</w:t>
            </w:r>
          </w:p>
        </w:tc>
      </w:tr>
      <w:tr>
        <w:trPr>
          <w:trHeight w:val="215"/>
        </w:trPr>
        <w:tc>
          <w:tcPr>
            <w:tcW w:w="2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AVENIDA GENERAL ANAYA 60|</w:t>
            </w:r>
          </w:p>
        </w:tc>
        <w:tc>
          <w:tcPr>
            <w:tcW w:w="112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BELLA VISTA</w:t>
            </w: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16"/>
        </w:trPr>
        <w:tc>
          <w:tcPr>
            <w:tcW w:w="20" w:type="dxa"/>
            <w:vAlign w:val="bottom"/>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r>
        <w:trPr>
          <w:trHeight w:val="208"/>
        </w:trPr>
        <w:tc>
          <w:tcPr>
            <w:tcW w:w="100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84"/>
        </w:trPr>
        <w:tc>
          <w:tcPr>
            <w:tcW w:w="20" w:type="dxa"/>
            <w:vAlign w:val="bottom"/>
          </w:tcPr>
          <w:p>
            <w:pPr>
              <w:spacing w:after="0"/>
              <w:rPr>
                <w:sz w:val="16"/>
                <w:szCs w:val="16"/>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MONTERREY</w:t>
            </w:r>
          </w:p>
        </w:tc>
        <w:tc>
          <w:tcPr>
            <w:tcW w:w="10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O5</w:t>
            </w:r>
          </w:p>
        </w:tc>
        <w:tc>
          <w:tcPr>
            <w:tcW w:w="11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64410</w:t>
            </w:r>
          </w:p>
        </w:tc>
      </w:tr>
    </w:tbl>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7" w:right="880" w:firstLine="7"/>
        <w:spacing w:after="0" w:line="270" w:lineRule="auto"/>
        <w:tabs>
          <w:tab w:leader="none" w:pos="108"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tbl>
      <w:tblPr>
        <w:tblLayout w:type="fixed"/>
        <w:tblInd w:w="513" w:type="dxa"/>
        <w:tblCellMar>
          <w:top w:w="0" w:type="dxa"/>
          <w:left w:w="0" w:type="dxa"/>
          <w:bottom w:w="0" w:type="dxa"/>
          <w:right w:w="0" w:type="dxa"/>
        </w:tblCellMar>
      </w:tblPr>
      <w:tr>
        <w:trPr>
          <w:trHeight w:val="136"/>
        </w:trPr>
        <w:tc>
          <w:tcPr>
            <w:tcW w:w="1180" w:type="dxa"/>
            <w:vAlign w:val="bottom"/>
          </w:tcPr>
          <w:p>
            <w:pPr>
              <w:spacing w:after="0"/>
              <w:rPr>
                <w:sz w:val="20"/>
                <w:szCs w:val="20"/>
                <w:color w:val="auto"/>
              </w:rPr>
            </w:pPr>
            <w:r>
              <w:rPr>
                <w:rFonts w:ascii="Arial" w:cs="Arial" w:eastAsia="Arial" w:hAnsi="Arial"/>
                <w:sz w:val="10"/>
                <w:szCs w:val="10"/>
                <w:color w:val="auto"/>
              </w:rPr>
              <w:t>Director</w:t>
            </w:r>
          </w:p>
        </w:tc>
        <w:tc>
          <w:tcPr>
            <w:tcW w:w="138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34"/>
        </w:trPr>
        <w:tc>
          <w:tcPr>
            <w:tcW w:w="1180" w:type="dxa"/>
            <w:vAlign w:val="bottom"/>
          </w:tcPr>
          <w:p>
            <w:pPr>
              <w:spacing w:after="0"/>
              <w:rPr>
                <w:sz w:val="20"/>
                <w:szCs w:val="20"/>
                <w:color w:val="auto"/>
              </w:rPr>
            </w:pPr>
            <w:r>
              <w:rPr>
                <w:rFonts w:ascii="Arial" w:cs="Arial" w:eastAsia="Arial" w:hAnsi="Arial"/>
                <w:sz w:val="10"/>
                <w:szCs w:val="10"/>
                <w:color w:val="auto"/>
              </w:rPr>
              <w:t>Officer (give title</w:t>
            </w:r>
          </w:p>
        </w:tc>
        <w:tc>
          <w:tcPr>
            <w:tcW w:w="1380" w:type="dxa"/>
            <w:vAlign w:val="bottom"/>
            <w:vMerge w:val="restart"/>
          </w:tcPr>
          <w:p>
            <w:pPr>
              <w:ind w:left="420"/>
              <w:spacing w:after="0"/>
              <w:rPr>
                <w:sz w:val="20"/>
                <w:szCs w:val="20"/>
                <w:color w:val="auto"/>
              </w:rPr>
            </w:pPr>
            <w:r>
              <w:rPr>
                <w:rFonts w:ascii="Arial" w:cs="Arial" w:eastAsia="Arial" w:hAnsi="Arial"/>
                <w:sz w:val="10"/>
                <w:szCs w:val="10"/>
                <w:color w:val="auto"/>
                <w:w w:val="99"/>
              </w:rPr>
              <w:t>Other (specify below)</w:t>
            </w:r>
          </w:p>
        </w:tc>
        <w:tc>
          <w:tcPr>
            <w:tcW w:w="0" w:type="dxa"/>
            <w:vAlign w:val="bottom"/>
          </w:tcPr>
          <w:p>
            <w:pPr>
              <w:spacing w:after="0"/>
              <w:rPr>
                <w:sz w:val="1"/>
                <w:szCs w:val="1"/>
                <w:color w:val="auto"/>
              </w:rPr>
            </w:pPr>
          </w:p>
        </w:tc>
      </w:tr>
      <w:tr>
        <w:trPr>
          <w:trHeight w:val="74"/>
        </w:trPr>
        <w:tc>
          <w:tcPr>
            <w:tcW w:w="118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8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1173"/>
        <w:spacing w:after="0"/>
        <w:rPr>
          <w:sz w:val="20"/>
          <w:szCs w:val="20"/>
          <w:color w:val="auto"/>
        </w:rPr>
      </w:pPr>
      <w:r>
        <w:rPr>
          <w:rFonts w:ascii="Times New Roman" w:cs="Times New Roman" w:eastAsia="Times New Roman" w:hAnsi="Times New Roman"/>
          <w:sz w:val="13"/>
          <w:szCs w:val="13"/>
          <w:color w:val="0000FF"/>
        </w:rPr>
        <w:t>CEO VALORA</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118" w:hanging="118"/>
        <w:spacing w:after="0"/>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89" w:lineRule="exact"/>
        <w:rPr>
          <w:rFonts w:ascii="Arial" w:cs="Arial" w:eastAsia="Arial" w:hAnsi="Arial"/>
          <w:sz w:val="10"/>
          <w:szCs w:val="10"/>
          <w:color w:val="auto"/>
        </w:rPr>
      </w:pPr>
    </w:p>
    <w:p>
      <w:pPr>
        <w:ind w:left="118" w:hanging="118"/>
        <w:spacing w:after="0"/>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Individual or Joint/Group Filing (Check Applicable Line)</w:t>
      </w:r>
    </w:p>
    <w:p>
      <w:pPr>
        <w:spacing w:after="0" w:line="51" w:lineRule="exact"/>
        <w:rPr>
          <w:sz w:val="24"/>
          <w:szCs w:val="24"/>
          <w:color w:val="auto"/>
        </w:rPr>
      </w:pPr>
    </w:p>
    <w:p>
      <w:pPr>
        <w:ind w:left="438"/>
        <w:spacing w:after="0"/>
        <w:rPr>
          <w:sz w:val="20"/>
          <w:szCs w:val="20"/>
          <w:color w:val="auto"/>
        </w:rPr>
      </w:pPr>
      <w:r>
        <w:rPr>
          <w:rFonts w:ascii="Arial" w:cs="Arial" w:eastAsia="Arial" w:hAnsi="Arial"/>
          <w:sz w:val="10"/>
          <w:szCs w:val="10"/>
          <w:color w:val="auto"/>
        </w:rPr>
        <w:t>Form filed by One Reporting Person</w:t>
      </w:r>
    </w:p>
    <w:p>
      <w:pPr>
        <w:spacing w:after="0" w:line="61" w:lineRule="exact"/>
        <w:rPr>
          <w:sz w:val="24"/>
          <w:szCs w:val="24"/>
          <w:color w:val="auto"/>
        </w:rPr>
      </w:pPr>
    </w:p>
    <w:p>
      <w:pPr>
        <w:ind w:left="438"/>
        <w:spacing w:after="0"/>
        <w:rPr>
          <w:sz w:val="20"/>
          <w:szCs w:val="20"/>
          <w:color w:val="auto"/>
        </w:rPr>
      </w:pPr>
      <w:r>
        <w:rPr>
          <w:rFonts w:ascii="Arial" w:cs="Arial" w:eastAsia="Arial" w:hAnsi="Arial"/>
          <w:sz w:val="10"/>
          <w:szCs w:val="10"/>
          <w:color w:val="auto"/>
        </w:rPr>
        <w:t>Form filed by More than One Reporting Person</w:t>
      </w:r>
    </w:p>
    <w:p>
      <w:pPr>
        <w:spacing w:after="0" w:line="404" w:lineRule="exact"/>
        <w:rPr>
          <w:sz w:val="24"/>
          <w:szCs w:val="24"/>
          <w:color w:val="auto"/>
        </w:rPr>
      </w:pPr>
    </w:p>
    <w:p>
      <w:pPr>
        <w:sectPr>
          <w:pgSz w:w="11900" w:h="16838" w:orient="portrait"/>
          <w:cols w:equalWidth="0" w:num="3">
            <w:col w:w="4287" w:space="720"/>
            <w:col w:w="3073" w:space="222"/>
            <w:col w:w="2718"/>
          </w:cols>
          <w:pgMar w:left="440" w:top="202" w:right="439" w:bottom="1440" w:gutter="0" w:footer="0" w:header="0"/>
          <w:type w:val="continuous"/>
        </w:sectPr>
      </w:pPr>
    </w:p>
    <w:p>
      <w:pPr>
        <w:spacing w:after="0" w:line="4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20" w:type="dxa"/>
            <w:vAlign w:val="bottom"/>
            <w:gridSpan w:val="2"/>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50"/>
        </w:trPr>
        <w:tc>
          <w:tcPr>
            <w:tcW w:w="20" w:type="dxa"/>
            <w:vAlign w:val="bottom"/>
            <w:tcBorders>
              <w:bottom w:val="single" w:sz="8" w:color="2C2C2C"/>
            </w:tcBorders>
          </w:tcPr>
          <w:p>
            <w:pPr>
              <w:spacing w:after="0"/>
              <w:rPr>
                <w:sz w:val="3"/>
                <w:szCs w:val="3"/>
                <w:color w:val="auto"/>
              </w:rPr>
            </w:pPr>
          </w:p>
        </w:tc>
        <w:tc>
          <w:tcPr>
            <w:tcW w:w="3120" w:type="dxa"/>
            <w:vAlign w:val="bottom"/>
            <w:tcBorders>
              <w:bottom w:val="single" w:sz="8" w:color="2C2C2C"/>
            </w:tcBorders>
          </w:tcPr>
          <w:p>
            <w:pPr>
              <w:spacing w:after="0"/>
              <w:rPr>
                <w:sz w:val="3"/>
                <w:szCs w:val="3"/>
                <w:color w:val="auto"/>
              </w:rPr>
            </w:pPr>
          </w:p>
        </w:tc>
        <w:tc>
          <w:tcPr>
            <w:tcW w:w="37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20" w:type="dxa"/>
            <w:vAlign w:val="bottom"/>
            <w:tcBorders>
              <w:top w:val="single" w:sz="8" w:color="808080"/>
            </w:tcBorders>
            <w:shd w:val="clear" w:color="auto" w:fill="2C2C2C"/>
          </w:tcPr>
          <w:p>
            <w:pPr>
              <w:spacing w:after="0" w:line="20" w:lineRule="exact"/>
              <w:rPr>
                <w:sz w:val="1"/>
                <w:szCs w:val="1"/>
                <w:color w:val="auto"/>
              </w:rPr>
            </w:pPr>
          </w:p>
        </w:tc>
        <w:tc>
          <w:tcPr>
            <w:tcW w:w="3700" w:type="dxa"/>
            <w:vAlign w:val="bottom"/>
            <w:tcBorders>
              <w:top w:val="single" w:sz="8" w:color="808080"/>
            </w:tcBorders>
            <w:shd w:val="clear" w:color="auto" w:fill="2C2C2C"/>
          </w:tcPr>
          <w:p>
            <w:pPr>
              <w:spacing w:after="0" w:line="20" w:lineRule="exact"/>
              <w:rPr>
                <w:sz w:val="1"/>
                <w:szCs w:val="1"/>
                <w:color w:val="auto"/>
              </w:rPr>
            </w:pPr>
          </w:p>
        </w:tc>
        <w:tc>
          <w:tcPr>
            <w:tcW w:w="1260" w:type="dxa"/>
            <w:vAlign w:val="bottom"/>
            <w:tcBorders>
              <w:top w:val="single" w:sz="8" w:color="808080"/>
            </w:tcBorders>
            <w:shd w:val="clear" w:color="auto" w:fill="2C2C2C"/>
          </w:tcPr>
          <w:p>
            <w:pPr>
              <w:spacing w:after="0" w:line="20" w:lineRule="exact"/>
              <w:rPr>
                <w:sz w:val="1"/>
                <w:szCs w:val="1"/>
                <w:color w:val="auto"/>
              </w:rPr>
            </w:pPr>
          </w:p>
        </w:tc>
        <w:tc>
          <w:tcPr>
            <w:tcW w:w="29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64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128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84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8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40" w:type="dxa"/>
            <w:vAlign w:val="bottom"/>
            <w:gridSpan w:val="2"/>
          </w:tcPr>
          <w:p>
            <w:pPr>
              <w:ind w:left="8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28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Expiration Date</w:t>
            </w:r>
          </w:p>
        </w:tc>
        <w:tc>
          <w:tcPr>
            <w:tcW w:w="1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Security (Instr. 4)</w:t>
            </w:r>
          </w:p>
        </w:tc>
        <w:tc>
          <w:tcPr>
            <w:tcW w:w="112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Conversion</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40" w:type="dxa"/>
            <w:vAlign w:val="bottom"/>
            <w:gridSpan w:val="2"/>
          </w:tcPr>
          <w:p>
            <w:pPr>
              <w:ind w:left="8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28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(Month/Day/Year)</w:t>
            </w:r>
          </w:p>
        </w:tc>
        <w:tc>
          <w:tcPr>
            <w:tcW w:w="1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or Exercise</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64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4" w:lineRule="exact"/>
              <w:rPr>
                <w:sz w:val="20"/>
                <w:szCs w:val="20"/>
                <w:color w:val="auto"/>
              </w:rPr>
            </w:pPr>
            <w:r>
              <w:rPr>
                <w:rFonts w:ascii="Arial" w:cs="Arial" w:eastAsia="Arial" w:hAnsi="Arial"/>
                <w:sz w:val="10"/>
                <w:szCs w:val="10"/>
                <w:b w:val="1"/>
                <w:bCs w:val="1"/>
                <w:color w:val="auto"/>
              </w:rPr>
              <w:t>Price of</w:t>
            </w:r>
          </w:p>
        </w:tc>
        <w:tc>
          <w:tcPr>
            <w:tcW w:w="88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vMerge w:val="restart"/>
          </w:tcPr>
          <w:p>
            <w:pPr>
              <w:ind w:left="4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6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720" w:type="dxa"/>
            <w:vAlign w:val="bottom"/>
          </w:tcPr>
          <w:p>
            <w:pPr>
              <w:ind w:left="60"/>
              <w:spacing w:after="0" w:line="104" w:lineRule="exact"/>
              <w:rPr>
                <w:sz w:val="20"/>
                <w:szCs w:val="20"/>
                <w:color w:val="auto"/>
              </w:rPr>
            </w:pPr>
            <w:r>
              <w:rPr>
                <w:rFonts w:ascii="Arial" w:cs="Arial" w:eastAsia="Arial" w:hAnsi="Arial"/>
                <w:sz w:val="10"/>
                <w:szCs w:val="10"/>
                <w:b w:val="1"/>
                <w:bCs w:val="1"/>
                <w:color w:val="auto"/>
              </w:rPr>
              <w:t>Derivative</w:t>
            </w: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68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Expiration</w:t>
            </w:r>
          </w:p>
        </w:tc>
        <w:tc>
          <w:tcPr>
            <w:tcW w:w="17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20" w:type="dxa"/>
            <w:vAlign w:val="bottom"/>
          </w:tcPr>
          <w:p>
            <w:pPr>
              <w:ind w:left="44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Security</w:t>
            </w: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68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720" w:type="dxa"/>
            <w:vAlign w:val="bottom"/>
            <w:vMerge w:val="continue"/>
          </w:tcPr>
          <w:p>
            <w:pPr>
              <w:spacing w:after="0"/>
              <w:rPr>
                <w:sz w:val="12"/>
                <w:szCs w:val="12"/>
                <w:color w:val="auto"/>
              </w:rPr>
            </w:pPr>
          </w:p>
        </w:tc>
        <w:tc>
          <w:tcPr>
            <w:tcW w:w="1120" w:type="dxa"/>
            <w:vAlign w:val="bottom"/>
          </w:tcPr>
          <w:p>
            <w:pPr>
              <w:ind w:left="4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6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2C2C2C"/>
            </w:tcBorders>
          </w:tcPr>
          <w:p>
            <w:pPr>
              <w:spacing w:after="0"/>
              <w:rPr>
                <w:sz w:val="21"/>
                <w:szCs w:val="21"/>
                <w:color w:val="auto"/>
              </w:rPr>
            </w:pPr>
          </w:p>
        </w:tc>
        <w:tc>
          <w:tcPr>
            <w:tcW w:w="3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Phantom Stock</w:t>
            </w: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0"/>
                <w:szCs w:val="10"/>
                <w:color w:val="0000FF"/>
              </w:rPr>
              <w:t>03/31/2026</w:t>
            </w:r>
          </w:p>
        </w:tc>
        <w:tc>
          <w:tcPr>
            <w:tcW w:w="600" w:type="dxa"/>
            <w:vAlign w:val="bottom"/>
            <w:tcBorders>
              <w:bottom w:val="single" w:sz="8" w:color="2C2C2C"/>
            </w:tcBorders>
          </w:tcPr>
          <w:p>
            <w:pPr>
              <w:jc w:val="right"/>
              <w:ind w:right="8"/>
              <w:spacing w:after="0"/>
              <w:rPr>
                <w:sz w:val="20"/>
                <w:szCs w:val="20"/>
                <w:color w:val="auto"/>
              </w:rPr>
            </w:pPr>
            <w:r>
              <w:rPr>
                <w:rFonts w:ascii="Times New Roman" w:cs="Times New Roman" w:eastAsia="Times New Roman" w:hAnsi="Times New Roman"/>
                <w:sz w:val="10"/>
                <w:szCs w:val="10"/>
                <w:color w:val="0000FF"/>
              </w:rPr>
              <w:t>03/31/2026</w:t>
            </w:r>
          </w:p>
        </w:tc>
        <w:tc>
          <w:tcPr>
            <w:tcW w:w="1720" w:type="dxa"/>
            <w:vAlign w:val="bottom"/>
            <w:tcBorders>
              <w:bottom w:val="single" w:sz="8" w:color="2C2C2C"/>
            </w:tcBorders>
          </w:tcPr>
          <w:p>
            <w:pPr>
              <w:ind w:left="800"/>
              <w:spacing w:after="0"/>
              <w:rPr>
                <w:sz w:val="20"/>
                <w:szCs w:val="20"/>
                <w:color w:val="auto"/>
              </w:rPr>
            </w:pPr>
            <w:r>
              <w:rPr>
                <w:rFonts w:ascii="Times New Roman" w:cs="Times New Roman" w:eastAsia="Times New Roman" w:hAnsi="Times New Roman"/>
                <w:sz w:val="13"/>
                <w:szCs w:val="13"/>
                <w:color w:val="0000FF"/>
              </w:rPr>
              <w:t>BD Units</w:t>
            </w:r>
          </w:p>
        </w:tc>
        <w:tc>
          <w:tcPr>
            <w:tcW w:w="11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3"/>
                <w:szCs w:val="13"/>
                <w:color w:val="0000FF"/>
              </w:rPr>
              <w:t>237,801.4</w:t>
            </w:r>
            <w:r>
              <w:rPr>
                <w:rFonts w:ascii="Times New Roman" w:cs="Times New Roman" w:eastAsia="Times New Roman" w:hAnsi="Times New Roman"/>
                <w:sz w:val="17"/>
                <w:szCs w:val="17"/>
                <w:color w:val="008000"/>
                <w:vertAlign w:val="superscript"/>
              </w:rPr>
              <w:t>(1)</w:t>
            </w:r>
          </w:p>
        </w:tc>
        <w:tc>
          <w:tcPr>
            <w:tcW w:w="7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9"/>
                <w:szCs w:val="9"/>
                <w:color w:val="008000"/>
              </w:rPr>
              <w:t>(2)</w:t>
            </w:r>
          </w:p>
        </w:tc>
        <w:tc>
          <w:tcPr>
            <w:tcW w:w="88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2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40" w:right="380" w:hanging="6"/>
        <w:spacing w:after="0" w:line="278" w:lineRule="auto"/>
        <w:tabs>
          <w:tab w:leader="none" w:pos="144"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securities reported herein are held in the form of Restricted Stock Units ("RSUs"). Each RSU represents 10 BD Units. Each BD Unit consists of one Series B Share, two Series D-B Shares and two Series D-L Shares ("BD Unit"), without par value ("Series D-B Shares" and "Series D-L Shares", respectively).</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share of phantom stock represents an economic interest equivalent of 10 BD Units of the Issuer and is settled exclusively in cash on March 31 of the applicable payment year.</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24 - Power of Attorney</w:t>
      </w:r>
    </w:p>
    <w:p>
      <w:pPr>
        <w:spacing w:after="0" w:line="57"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Sergio Rodriguez Perez, Attorney in</w:t>
            </w:r>
          </w:p>
        </w:tc>
        <w:tc>
          <w:tcPr>
            <w:tcW w:w="120" w:type="dxa"/>
            <w:vAlign w:val="bottom"/>
          </w:tcPr>
          <w:p>
            <w:pPr>
              <w:spacing w:after="0"/>
              <w:rPr>
                <w:sz w:val="12"/>
                <w:szCs w:val="12"/>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03/31/2026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080" w:type="dxa"/>
            <w:vAlign w:val="bottom"/>
            <w:gridSpan w:val="3"/>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Fact</w:t>
            </w: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80" w:type="dxa"/>
            <w:vAlign w:val="bottom"/>
          </w:tcPr>
          <w:p>
            <w:pPr>
              <w:spacing w:after="0"/>
              <w:rPr>
                <w:sz w:val="15"/>
                <w:szCs w:val="15"/>
                <w:color w:val="auto"/>
              </w:rPr>
            </w:pPr>
          </w:p>
        </w:tc>
        <w:tc>
          <w:tcPr>
            <w:tcW w:w="208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740" w:type="dxa"/>
            <w:vAlign w:val="bottom"/>
            <w:gridSpan w:val="2"/>
          </w:tcPr>
          <w:p>
            <w:pPr>
              <w:ind w:left="12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66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6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6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6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66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2124196" TargetMode="External"/><Relationship Id="rId12" Type="http://schemas.openxmlformats.org/officeDocument/2006/relationships/hyperlink" Target="http://www.sec.gov/cgi-bin/browse-edgar?action=getcompany&amp;CIK=0001061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2026-03-31T10:19:00Z</dcterms:created>
  <dcterms:modified xsi:type="dcterms:W3CDTF">2026-03-31T10:19:00Z</dcterms:modified>
</cp:coreProperties>
</file>