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828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8287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garza garza Alfonso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40"/>
        <w:spacing w:after="0" w:line="311" w:lineRule="auto"/>
        <w:rPr>
          <w:sz w:val="20"/>
          <w:szCs w:val="20"/>
          <w:color w:val="auto"/>
        </w:rPr>
      </w:pPr>
      <w:r>
        <w:rPr>
          <w:rFonts w:ascii="Times New Roman" w:cs="Times New Roman" w:eastAsia="Times New Roman" w:hAnsi="Times New Roman"/>
          <w:sz w:val="17"/>
          <w:szCs w:val="17"/>
          <w:color w:val="0000FF"/>
        </w:rPr>
        <w:t>AVENIDA GENERAL AYALA 601 BELLA VISTA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right="435"/>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MEXICAN ECONOMIC</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DEVELOPMENT 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17"/>
          <w:szCs w:val="17"/>
          <w:color w:val="0000FF"/>
        </w:rPr>
        <w:t>FMX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03/24/2026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0"/>
          <w:szCs w:val="20"/>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141"/>
        </w:trPr>
        <w:tc>
          <w:tcPr>
            <w:tcW w:w="40" w:type="dxa"/>
            <w:vAlign w:val="bottom"/>
          </w:tcPr>
          <w:p>
            <w:pPr>
              <w:spacing w:after="0"/>
              <w:rPr>
                <w:sz w:val="12"/>
                <w:szCs w:val="12"/>
                <w:color w:val="auto"/>
              </w:rPr>
            </w:pPr>
          </w:p>
        </w:tc>
        <w:tc>
          <w:tcPr>
            <w:tcW w:w="194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c>
          <w:tcPr>
            <w:tcW w:w="3760" w:type="dxa"/>
            <w:vAlign w:val="bottom"/>
          </w:tcPr>
          <w:p>
            <w:pPr>
              <w:ind w:left="16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07"/>
        </w:trPr>
        <w:tc>
          <w:tcPr>
            <w:tcW w:w="1980" w:type="dxa"/>
            <w:vAlign w:val="bottom"/>
            <w:gridSpan w:val="2"/>
            <w:vMerge w:val="continue"/>
          </w:tcPr>
          <w:p>
            <w:pPr>
              <w:spacing w:after="0"/>
              <w:rPr>
                <w:sz w:val="9"/>
                <w:szCs w:val="9"/>
                <w:color w:val="auto"/>
              </w:rPr>
            </w:pPr>
          </w:p>
        </w:tc>
        <w:tc>
          <w:tcPr>
            <w:tcW w:w="17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MONTERREY  O5</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64410</w:t>
            </w:r>
          </w:p>
        </w:tc>
        <w:tc>
          <w:tcPr>
            <w:tcW w:w="376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3760" w:type="dxa"/>
            <w:vAlign w:val="bottom"/>
          </w:tcPr>
          <w:p>
            <w:pPr>
              <w:spacing w:after="0"/>
              <w:rPr>
                <w:sz w:val="11"/>
                <w:szCs w:val="11"/>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jc w:val="center"/>
              <w:ind w:righ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1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 Owned</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 Reported</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BD Units</w:t>
            </w:r>
          </w:p>
        </w:tc>
        <w:tc>
          <w:tcPr>
            <w:tcW w:w="7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03/24/2026</w:t>
            </w: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27"/>
              <w:spacing w:after="0"/>
              <w:rPr>
                <w:sz w:val="20"/>
                <w:szCs w:val="20"/>
                <w:color w:val="auto"/>
              </w:rPr>
            </w:pPr>
            <w:r>
              <w:rPr>
                <w:rFonts w:ascii="Times New Roman" w:cs="Times New Roman" w:eastAsia="Times New Roman" w:hAnsi="Times New Roman"/>
                <w:sz w:val="17"/>
                <w:szCs w:val="17"/>
                <w:color w:val="0000FF"/>
              </w:rPr>
              <w:t>52,316</w:t>
            </w:r>
          </w:p>
        </w:tc>
        <w:tc>
          <w:tcPr>
            <w:tcW w:w="360" w:type="dxa"/>
            <w:vAlign w:val="bottom"/>
            <w:tcBorders>
              <w:bottom w:val="single" w:sz="8" w:color="2C2C2C"/>
            </w:tcBorders>
          </w:tcPr>
          <w:p>
            <w:pPr>
              <w:jc w:val="center"/>
              <w:ind w:left="122"/>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10.7909</w:t>
            </w:r>
            <w:r>
              <w:rPr>
                <w:rFonts w:ascii="Times New Roman" w:cs="Times New Roman" w:eastAsia="Times New Roman" w:hAnsi="Times New Roman"/>
                <w:sz w:val="22"/>
                <w:szCs w:val="22"/>
                <w:color w:val="008000"/>
                <w:w w:val="97"/>
                <w:vertAlign w:val="superscript"/>
              </w:rPr>
              <w:t>(1)</w:t>
            </w:r>
          </w:p>
        </w:tc>
        <w:tc>
          <w:tcPr>
            <w:tcW w:w="13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1,285,396</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BD Units</w:t>
            </w:r>
          </w:p>
        </w:tc>
        <w:tc>
          <w:tcPr>
            <w:tcW w:w="7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03/25/2026</w:t>
            </w: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27"/>
              <w:spacing w:after="0"/>
              <w:rPr>
                <w:sz w:val="20"/>
                <w:szCs w:val="20"/>
                <w:color w:val="auto"/>
              </w:rPr>
            </w:pPr>
            <w:r>
              <w:rPr>
                <w:rFonts w:ascii="Times New Roman" w:cs="Times New Roman" w:eastAsia="Times New Roman" w:hAnsi="Times New Roman"/>
                <w:sz w:val="17"/>
                <w:szCs w:val="17"/>
                <w:color w:val="0000FF"/>
              </w:rPr>
              <w:t>52,316</w:t>
            </w:r>
          </w:p>
        </w:tc>
        <w:tc>
          <w:tcPr>
            <w:tcW w:w="360" w:type="dxa"/>
            <w:vAlign w:val="bottom"/>
            <w:tcBorders>
              <w:bottom w:val="single" w:sz="8" w:color="2C2C2C"/>
            </w:tcBorders>
          </w:tcPr>
          <w:p>
            <w:pPr>
              <w:jc w:val="center"/>
              <w:ind w:left="122"/>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11.0668</w:t>
            </w:r>
            <w:r>
              <w:rPr>
                <w:rFonts w:ascii="Times New Roman" w:cs="Times New Roman" w:eastAsia="Times New Roman" w:hAnsi="Times New Roman"/>
                <w:sz w:val="22"/>
                <w:szCs w:val="22"/>
                <w:color w:val="008000"/>
                <w:w w:val="95"/>
                <w:vertAlign w:val="superscript"/>
              </w:rPr>
              <w:t>(1)</w:t>
            </w:r>
          </w:p>
        </w:tc>
        <w:tc>
          <w:tcPr>
            <w:tcW w:w="13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1,233,080</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BD Units</w:t>
            </w:r>
          </w:p>
        </w:tc>
        <w:tc>
          <w:tcPr>
            <w:tcW w:w="7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03/26/2026</w:t>
            </w: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27"/>
              <w:spacing w:after="0"/>
              <w:rPr>
                <w:sz w:val="20"/>
                <w:szCs w:val="20"/>
                <w:color w:val="auto"/>
              </w:rPr>
            </w:pPr>
            <w:r>
              <w:rPr>
                <w:rFonts w:ascii="Times New Roman" w:cs="Times New Roman" w:eastAsia="Times New Roman" w:hAnsi="Times New Roman"/>
                <w:sz w:val="17"/>
                <w:szCs w:val="17"/>
                <w:color w:val="0000FF"/>
              </w:rPr>
              <w:t>52,316</w:t>
            </w:r>
          </w:p>
        </w:tc>
        <w:tc>
          <w:tcPr>
            <w:tcW w:w="360" w:type="dxa"/>
            <w:vAlign w:val="bottom"/>
            <w:tcBorders>
              <w:bottom w:val="single" w:sz="8" w:color="2C2C2C"/>
            </w:tcBorders>
          </w:tcPr>
          <w:p>
            <w:pPr>
              <w:jc w:val="center"/>
              <w:ind w:left="122"/>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11.043</w:t>
            </w:r>
            <w:r>
              <w:rPr>
                <w:rFonts w:ascii="Times New Roman" w:cs="Times New Roman" w:eastAsia="Times New Roman" w:hAnsi="Times New Roman"/>
                <w:sz w:val="22"/>
                <w:szCs w:val="22"/>
                <w:color w:val="008000"/>
                <w:w w:val="95"/>
                <w:vertAlign w:val="superscript"/>
              </w:rPr>
              <w:t>(1)</w:t>
            </w:r>
          </w:p>
        </w:tc>
        <w:tc>
          <w:tcPr>
            <w:tcW w:w="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1,180,764</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BD Units</w:t>
            </w:r>
          </w:p>
        </w:tc>
        <w:tc>
          <w:tcPr>
            <w:tcW w:w="7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03/27/2026</w:t>
            </w: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27"/>
              <w:spacing w:after="0"/>
              <w:rPr>
                <w:sz w:val="20"/>
                <w:szCs w:val="20"/>
                <w:color w:val="auto"/>
              </w:rPr>
            </w:pPr>
            <w:r>
              <w:rPr>
                <w:rFonts w:ascii="Times New Roman" w:cs="Times New Roman" w:eastAsia="Times New Roman" w:hAnsi="Times New Roman"/>
                <w:sz w:val="17"/>
                <w:szCs w:val="17"/>
                <w:color w:val="0000FF"/>
              </w:rPr>
              <w:t>52,311</w:t>
            </w:r>
          </w:p>
        </w:tc>
        <w:tc>
          <w:tcPr>
            <w:tcW w:w="360" w:type="dxa"/>
            <w:vAlign w:val="bottom"/>
            <w:tcBorders>
              <w:bottom w:val="single" w:sz="8" w:color="2C2C2C"/>
            </w:tcBorders>
          </w:tcPr>
          <w:p>
            <w:pPr>
              <w:jc w:val="center"/>
              <w:ind w:left="122"/>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11.189</w:t>
            </w:r>
            <w:r>
              <w:rPr>
                <w:rFonts w:ascii="Times New Roman" w:cs="Times New Roman" w:eastAsia="Times New Roman" w:hAnsi="Times New Roman"/>
                <w:sz w:val="22"/>
                <w:szCs w:val="22"/>
                <w:color w:val="008000"/>
                <w:w w:val="95"/>
                <w:vertAlign w:val="superscript"/>
              </w:rPr>
              <w:t>(1)</w:t>
            </w:r>
          </w:p>
        </w:tc>
        <w:tc>
          <w:tcPr>
            <w:tcW w:w="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1,128,453</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B Units</w:t>
            </w: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3,826,577</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6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 Units</w:t>
            </w:r>
          </w:p>
        </w:tc>
        <w:tc>
          <w:tcPr>
            <w:tcW w:w="76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90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32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4,840</w:t>
            </w:r>
            <w:r>
              <w:rPr>
                <w:rFonts w:ascii="Times New Roman" w:cs="Times New Roman" w:eastAsia="Times New Roman" w:hAnsi="Times New Roman"/>
                <w:sz w:val="22"/>
                <w:szCs w:val="22"/>
                <w:color w:val="008000"/>
                <w:w w:val="93"/>
                <w:vertAlign w:val="superscript"/>
              </w:rPr>
              <w:t>(3)</w:t>
            </w:r>
          </w:p>
        </w:tc>
        <w:tc>
          <w:tcPr>
            <w:tcW w:w="920" w:type="dxa"/>
            <w:vAlign w:val="bottom"/>
            <w:tcBorders>
              <w:top w:val="single" w:sz="8" w:color="2C2C2C"/>
              <w:bottom w:val="single" w:sz="8" w:color="2C2C2C"/>
            </w:tcBorders>
          </w:tcPr>
          <w:p>
            <w:pPr>
              <w:jc w:val="center"/>
              <w:ind w:right="2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 Units</w:t>
            </w: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7"/>
              </w:rPr>
              <w:t>1,384,426,997</w:t>
            </w:r>
            <w:r>
              <w:rPr>
                <w:rFonts w:ascii="Times New Roman" w:cs="Times New Roman" w:eastAsia="Times New Roman" w:hAnsi="Times New Roman"/>
                <w:sz w:val="22"/>
                <w:szCs w:val="22"/>
                <w:color w:val="008000"/>
                <w:w w:val="97"/>
                <w:vertAlign w:val="superscript"/>
              </w:rPr>
              <w:t>(3)</w:t>
            </w:r>
          </w:p>
        </w:tc>
        <w:tc>
          <w:tcPr>
            <w:tcW w:w="920" w:type="dxa"/>
            <w:vAlign w:val="bottom"/>
          </w:tcPr>
          <w:p>
            <w:pPr>
              <w:jc w:val="center"/>
              <w:ind w:right="2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Voting</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BD Units</w:t>
            </w: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2,470,657</w:t>
            </w:r>
            <w:r>
              <w:rPr>
                <w:rFonts w:ascii="Times New Roman" w:cs="Times New Roman" w:eastAsia="Times New Roman" w:hAnsi="Times New Roman"/>
                <w:sz w:val="22"/>
                <w:szCs w:val="22"/>
                <w:color w:val="008000"/>
                <w:w w:val="96"/>
                <w:vertAlign w:val="superscript"/>
              </w:rPr>
              <w:t>(2)</w:t>
            </w:r>
          </w:p>
        </w:tc>
        <w:tc>
          <w:tcPr>
            <w:tcW w:w="920" w:type="dxa"/>
            <w:vAlign w:val="bottom"/>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2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carried out in Mexican pesos. For purposes of this Form 4, a conversion rate of MXN 17.3627 for each USD $1.00 was used.</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in the form of BD Units. Each BD Unit consists of one Series B Share, two Series D-B Shares and two Series D-L Shares, without par value ("Series D-B Shares" and "Series D-L Shares", respectively).</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in the form of B Units. Each B Unit consists of five Series B Shares, without par value ("Series B Shares").</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for the benefit of the reporting person by BBVA Mexico, S.A., Institucion de Banca Multiple, Grupo Financiero BBVA Mexico, Trust No. F/4112454, a trust in which the reporting person is participant, along with other family members.</w:t>
      </w:r>
    </w:p>
    <w:p>
      <w:pPr>
        <w:spacing w:after="0" w:line="7"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Banco Invex, S.A. Institucion de Banca Multiple, Invex Grupo Financiero, Trust No. 463 (the "Voting Trust"), an irrevocable voting trust in which the reporting person is a trust participant. Each of the trust participants is deemed to have beneficial ownership with shared voting power over the securities deposited in the Voting Trust. The reporting person hereby disclaims having any pecuniary interests derived from the beneficial ownership of any securities (with shared voting power and with shared dispositive power) other than pecuniary interests derived by the reporting person's securities contributed directly or indirectly to the Voting Trust, and this report shall not be deemed an admission that the reporting person is the beneficial owner of such securities for purposes of Section 16 or for any other purpose. For more information, see Item 7 of Fomento Economico Mexicano, S.A.B. de C.V.'s Annual Report on Form 20-F filed on April 24, 2025.</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Sergio Rodriguez Perez,</w:t>
            </w:r>
          </w:p>
        </w:tc>
        <w:tc>
          <w:tcPr>
            <w:tcW w:w="5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04/09/2026</w:t>
            </w: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Attorney 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20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119626" TargetMode="External"/><Relationship Id="rId14" Type="http://schemas.openxmlformats.org/officeDocument/2006/relationships/hyperlink" Target="http://www.sec.gov/cgi-bin/browse-edgar?action=getcompany&amp;CIK=0001061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2026-04-10T13:53:16Z</dcterms:created>
  <dcterms:modified xsi:type="dcterms:W3CDTF">2026-04-10T13:53:16Z</dcterms:modified>
</cp:coreProperties>
</file>