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39"/>
        <w:spacing w:after="0"/>
        <w:rPr>
          <w:sz w:val="20"/>
          <w:szCs w:val="20"/>
          <w:color w:val="auto"/>
        </w:rPr>
      </w:pPr>
      <w:r>
        <w:rPr>
          <w:rFonts w:ascii="Courier New" w:cs="Courier New" w:eastAsia="Courier New" w:hAnsi="Courier New"/>
          <w:sz w:val="15"/>
          <w:szCs w:val="15"/>
          <w:color w:val="auto"/>
        </w:rPr>
        <w:t>UNITED STATES</w:t>
      </w:r>
    </w:p>
    <w:p>
      <w:pPr>
        <w:jc w:val="center"/>
        <w:ind w:right="3219"/>
        <w:spacing w:after="0" w:line="237" w:lineRule="auto"/>
        <w:rPr>
          <w:sz w:val="20"/>
          <w:szCs w:val="20"/>
          <w:color w:val="auto"/>
        </w:rPr>
      </w:pPr>
      <w:r>
        <w:rPr>
          <w:rFonts w:ascii="Courier New" w:cs="Courier New" w:eastAsia="Courier New" w:hAnsi="Courier New"/>
          <w:sz w:val="15"/>
          <w:szCs w:val="15"/>
          <w:color w:val="auto"/>
        </w:rPr>
        <w:t>SECURITIES AND EXCHANGE COMMISSION</w:t>
      </w:r>
    </w:p>
    <w:p>
      <w:pPr>
        <w:jc w:val="center"/>
        <w:ind w:right="3219"/>
        <w:spacing w:after="0" w:line="238" w:lineRule="auto"/>
        <w:rPr>
          <w:sz w:val="20"/>
          <w:szCs w:val="20"/>
          <w:color w:val="auto"/>
        </w:rPr>
      </w:pPr>
      <w:r>
        <w:rPr>
          <w:rFonts w:ascii="Courier New" w:cs="Courier New" w:eastAsia="Courier New" w:hAnsi="Courier New"/>
          <w:sz w:val="15"/>
          <w:szCs w:val="15"/>
          <w:color w:val="auto"/>
        </w:rPr>
        <w:t>Washington, D.C. 20549</w:t>
      </w:r>
    </w:p>
    <w:p>
      <w:pPr>
        <w:spacing w:after="0" w:line="167"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FORM 20-F</w:t>
      </w:r>
    </w:p>
    <w:p>
      <w:pPr>
        <w:jc w:val="center"/>
        <w:ind w:right="3219"/>
        <w:spacing w:after="0" w:line="237" w:lineRule="auto"/>
        <w:rPr>
          <w:sz w:val="20"/>
          <w:szCs w:val="20"/>
          <w:color w:val="auto"/>
        </w:rPr>
      </w:pPr>
      <w:r>
        <w:rPr>
          <w:rFonts w:ascii="Courier New" w:cs="Courier New" w:eastAsia="Courier New" w:hAnsi="Courier New"/>
          <w:sz w:val="15"/>
          <w:szCs w:val="15"/>
          <w:color w:val="auto"/>
        </w:rPr>
        <w:t>ANNUAL REPORT PURSUANT TO SECTION 13</w:t>
      </w:r>
    </w:p>
    <w:p>
      <w:pPr>
        <w:jc w:val="center"/>
        <w:ind w:right="3219"/>
        <w:spacing w:after="0" w:line="238" w:lineRule="auto"/>
        <w:rPr>
          <w:sz w:val="20"/>
          <w:szCs w:val="20"/>
          <w:color w:val="auto"/>
        </w:rPr>
      </w:pPr>
      <w:r>
        <w:rPr>
          <w:rFonts w:ascii="Courier New" w:cs="Courier New" w:eastAsia="Courier New" w:hAnsi="Courier New"/>
          <w:sz w:val="15"/>
          <w:szCs w:val="15"/>
          <w:color w:val="auto"/>
        </w:rPr>
        <w:t>OF THE SECURITIES EXCHANGE ACT OF 1934</w:t>
      </w:r>
    </w:p>
    <w:p>
      <w:pPr>
        <w:spacing w:after="0" w:line="167" w:lineRule="exact"/>
        <w:rPr>
          <w:sz w:val="24"/>
          <w:szCs w:val="24"/>
          <w:color w:val="auto"/>
        </w:rPr>
      </w:pPr>
    </w:p>
    <w:p>
      <w:pPr>
        <w:ind w:left="1680"/>
        <w:spacing w:after="0"/>
        <w:rPr>
          <w:sz w:val="20"/>
          <w:szCs w:val="20"/>
          <w:color w:val="auto"/>
        </w:rPr>
      </w:pPr>
      <w:r>
        <w:rPr>
          <w:rFonts w:ascii="Courier New" w:cs="Courier New" w:eastAsia="Courier New" w:hAnsi="Courier New"/>
          <w:sz w:val="15"/>
          <w:szCs w:val="15"/>
          <w:color w:val="auto"/>
        </w:rPr>
        <w:t>For the fiscal year ended December 31, 2002</w:t>
      </w:r>
    </w:p>
    <w:p>
      <w:pPr>
        <w:spacing w:after="0" w:line="166"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Commission file number 1-14814</w:t>
      </w:r>
    </w:p>
    <w:p>
      <w:pPr>
        <w:spacing w:after="0" w:line="166"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Fomento Economico Mexicano, S.A. de C.V.</w:t>
      </w:r>
    </w:p>
    <w:p>
      <w:pPr>
        <w:jc w:val="center"/>
        <w:ind w:right="3219"/>
        <w:spacing w:after="0" w:line="237" w:lineRule="auto"/>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167" w:lineRule="exact"/>
        <w:rPr>
          <w:sz w:val="24"/>
          <w:szCs w:val="24"/>
          <w:color w:val="auto"/>
        </w:rPr>
      </w:pPr>
    </w:p>
    <w:p>
      <w:pPr>
        <w:ind w:left="2020"/>
        <w:spacing w:after="0"/>
        <w:rPr>
          <w:sz w:val="20"/>
          <w:szCs w:val="20"/>
          <w:color w:val="auto"/>
        </w:rPr>
      </w:pPr>
      <w:r>
        <w:rPr>
          <w:rFonts w:ascii="Courier New" w:cs="Courier New" w:eastAsia="Courier New" w:hAnsi="Courier New"/>
          <w:sz w:val="15"/>
          <w:szCs w:val="15"/>
          <w:color w:val="auto"/>
        </w:rPr>
        <w:t>Mexican Economic Development, Inc.</w:t>
      </w:r>
    </w:p>
    <w:p>
      <w:pPr>
        <w:ind w:left="1500"/>
        <w:spacing w:after="0" w:line="237" w:lineRule="auto"/>
        <w:rPr>
          <w:sz w:val="20"/>
          <w:szCs w:val="20"/>
          <w:color w:val="auto"/>
        </w:rPr>
      </w:pPr>
      <w:r>
        <w:rPr>
          <w:rFonts w:ascii="Courier New" w:cs="Courier New" w:eastAsia="Courier New" w:hAnsi="Courier New"/>
          <w:sz w:val="15"/>
          <w:szCs w:val="15"/>
          <w:color w:val="auto"/>
        </w:rPr>
        <w:t>(Translation of Registrant's Name into English)</w:t>
      </w:r>
    </w:p>
    <w:p>
      <w:pPr>
        <w:spacing w:after="0" w:line="167"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United Mexican States</w:t>
      </w:r>
    </w:p>
    <w:p>
      <w:pPr>
        <w:jc w:val="center"/>
        <w:ind w:right="3139"/>
        <w:spacing w:after="0" w:line="237" w:lineRule="auto"/>
        <w:rPr>
          <w:sz w:val="20"/>
          <w:szCs w:val="20"/>
          <w:color w:val="auto"/>
        </w:rPr>
      </w:pPr>
      <w:r>
        <w:rPr>
          <w:rFonts w:ascii="Courier New" w:cs="Courier New" w:eastAsia="Courier New" w:hAnsi="Courier New"/>
          <w:sz w:val="15"/>
          <w:szCs w:val="15"/>
          <w:color w:val="auto"/>
        </w:rPr>
        <w:t>(Jurisdiction of Incorporation or Organization)</w:t>
      </w:r>
    </w:p>
    <w:p>
      <w:pPr>
        <w:spacing w:after="0" w:line="167"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General Anaya No. 601 Pte.</w:t>
      </w:r>
    </w:p>
    <w:p>
      <w:pPr>
        <w:jc w:val="center"/>
        <w:ind w:right="3139"/>
        <w:spacing w:after="0" w:line="237" w:lineRule="auto"/>
        <w:rPr>
          <w:sz w:val="20"/>
          <w:szCs w:val="20"/>
          <w:color w:val="auto"/>
        </w:rPr>
      </w:pPr>
      <w:r>
        <w:rPr>
          <w:rFonts w:ascii="Courier New" w:cs="Courier New" w:eastAsia="Courier New" w:hAnsi="Courier New"/>
          <w:sz w:val="15"/>
          <w:szCs w:val="15"/>
          <w:color w:val="auto"/>
        </w:rPr>
        <w:t>Colonia Bella Vista</w:t>
      </w:r>
    </w:p>
    <w:p>
      <w:pPr>
        <w:jc w:val="center"/>
        <w:ind w:right="3219"/>
        <w:spacing w:after="0" w:line="238" w:lineRule="auto"/>
        <w:rPr>
          <w:sz w:val="20"/>
          <w:szCs w:val="20"/>
          <w:color w:val="auto"/>
        </w:rPr>
      </w:pPr>
      <w:r>
        <w:rPr>
          <w:rFonts w:ascii="Courier New" w:cs="Courier New" w:eastAsia="Courier New" w:hAnsi="Courier New"/>
          <w:sz w:val="15"/>
          <w:szCs w:val="15"/>
          <w:color w:val="auto"/>
        </w:rPr>
        <w:t>Monterrey, NL 64410 Mexico</w:t>
      </w:r>
    </w:p>
    <w:p>
      <w:pPr>
        <w:jc w:val="center"/>
        <w:ind w:right="3219"/>
        <w:spacing w:after="0" w:line="237" w:lineRule="auto"/>
        <w:rPr>
          <w:sz w:val="20"/>
          <w:szCs w:val="20"/>
          <w:color w:val="auto"/>
        </w:rPr>
      </w:pPr>
      <w:r>
        <w:rPr>
          <w:rFonts w:ascii="Courier New" w:cs="Courier New" w:eastAsia="Courier New" w:hAnsi="Courier New"/>
          <w:sz w:val="15"/>
          <w:szCs w:val="15"/>
          <w:color w:val="auto"/>
        </w:rPr>
        <w:t>(Address of Principal Executive Offices)</w:t>
      </w:r>
    </w:p>
    <w:p>
      <w:pPr>
        <w:spacing w:after="0" w:line="34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Securities registered or to be registered pursuant to Section 12(b) of the Act:</w:t>
      </w:r>
    </w:p>
    <w:p>
      <w:pPr>
        <w:sectPr>
          <w:pgSz w:w="11900" w:h="16838" w:orient="portrait"/>
          <w:cols w:equalWidth="0" w:num="1">
            <w:col w:w="10239"/>
          </w:cols>
          <w:pgMar w:left="220" w:top="393" w:right="1440" w:bottom="0" w:gutter="0" w:footer="0" w:header="0"/>
        </w:sectPr>
      </w:pPr>
    </w:p>
    <w:p>
      <w:pPr>
        <w:spacing w:after="0" w:line="340"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Title of each class</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American Depositary Shares, each</w:t>
      </w:r>
    </w:p>
    <w:p>
      <w:pPr>
        <w:spacing w:after="0" w:line="237" w:lineRule="auto"/>
        <w:rPr>
          <w:sz w:val="20"/>
          <w:szCs w:val="20"/>
          <w:color w:val="auto"/>
        </w:rPr>
      </w:pPr>
      <w:r>
        <w:rPr>
          <w:rFonts w:ascii="Courier New" w:cs="Courier New" w:eastAsia="Courier New" w:hAnsi="Courier New"/>
          <w:sz w:val="15"/>
          <w:szCs w:val="15"/>
          <w:color w:val="auto"/>
        </w:rPr>
        <w:t>representing ten BD Units, each</w:t>
      </w:r>
    </w:p>
    <w:p>
      <w:pPr>
        <w:spacing w:after="0"/>
        <w:tabs>
          <w:tab w:leader="none" w:pos="1300" w:val="left"/>
        </w:tabs>
        <w:rPr>
          <w:sz w:val="20"/>
          <w:szCs w:val="20"/>
          <w:color w:val="auto"/>
        </w:rPr>
      </w:pPr>
      <w:r>
        <w:rPr>
          <w:rFonts w:ascii="Courier New" w:cs="Courier New" w:eastAsia="Courier New" w:hAnsi="Courier New"/>
          <w:sz w:val="15"/>
          <w:szCs w:val="15"/>
          <w:color w:val="auto"/>
        </w:rPr>
        <w:t>consisting of</w:t>
      </w:r>
      <w:r>
        <w:rPr>
          <w:sz w:val="20"/>
          <w:szCs w:val="20"/>
          <w:color w:val="auto"/>
        </w:rPr>
        <w:tab/>
      </w:r>
      <w:r>
        <w:rPr>
          <w:rFonts w:ascii="Courier New" w:cs="Courier New" w:eastAsia="Courier New" w:hAnsi="Courier New"/>
          <w:sz w:val="14"/>
          <w:szCs w:val="14"/>
          <w:color w:val="auto"/>
        </w:rPr>
        <w:t>one Series B Share,</w:t>
      </w:r>
    </w:p>
    <w:p>
      <w:pPr>
        <w:spacing w:after="0" w:line="237" w:lineRule="auto"/>
        <w:rPr>
          <w:sz w:val="20"/>
          <w:szCs w:val="20"/>
          <w:color w:val="auto"/>
        </w:rPr>
      </w:pPr>
      <w:r>
        <w:rPr>
          <w:rFonts w:ascii="Courier New" w:cs="Courier New" w:eastAsia="Courier New" w:hAnsi="Courier New"/>
          <w:sz w:val="15"/>
          <w:szCs w:val="15"/>
          <w:color w:val="auto"/>
        </w:rPr>
        <w:t>two Series D-B Shares and two Series</w:t>
      </w:r>
    </w:p>
    <w:p>
      <w:pPr>
        <w:spacing w:after="0" w:line="238" w:lineRule="auto"/>
        <w:rPr>
          <w:sz w:val="20"/>
          <w:szCs w:val="20"/>
          <w:color w:val="auto"/>
        </w:rPr>
      </w:pPr>
      <w:r>
        <w:rPr>
          <w:rFonts w:ascii="Courier New" w:cs="Courier New" w:eastAsia="Courier New" w:hAnsi="Courier New"/>
          <w:sz w:val="15"/>
          <w:szCs w:val="15"/>
          <w:color w:val="auto"/>
        </w:rPr>
        <w:t>D-L Shares, without par value</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Name of Each Exchange</w:t>
      </w:r>
    </w:p>
    <w:p>
      <w:pPr>
        <w:spacing w:after="0" w:line="237" w:lineRule="auto"/>
        <w:rPr>
          <w:sz w:val="20"/>
          <w:szCs w:val="20"/>
          <w:color w:val="auto"/>
        </w:rPr>
      </w:pPr>
      <w:r>
        <w:rPr>
          <w:rFonts w:ascii="Courier New" w:cs="Courier New" w:eastAsia="Courier New" w:hAnsi="Courier New"/>
          <w:sz w:val="15"/>
          <w:szCs w:val="15"/>
          <w:color w:val="auto"/>
        </w:rPr>
        <w:t>On Which Registered</w:t>
      </w:r>
    </w:p>
    <w:p>
      <w:pPr>
        <w:spacing w:after="0" w:line="5"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New York Stock Exchange</w:t>
      </w:r>
    </w:p>
    <w:p>
      <w:pPr>
        <w:spacing w:after="0" w:line="839" w:lineRule="exact"/>
        <w:rPr>
          <w:sz w:val="24"/>
          <w:szCs w:val="24"/>
          <w:color w:val="auto"/>
        </w:rPr>
      </w:pPr>
    </w:p>
    <w:p>
      <w:pPr>
        <w:sectPr>
          <w:pgSz w:w="11900" w:h="16838" w:orient="portrait"/>
          <w:cols w:equalWidth="0" w:num="2">
            <w:col w:w="3480" w:space="720"/>
            <w:col w:w="6039"/>
          </w:cols>
          <w:pgMar w:left="220" w:top="393" w:right="1440"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Securities registered or to be registered pursuant to Section 12(g) of the Act:</w:t>
      </w:r>
    </w:p>
    <w:p>
      <w:pPr>
        <w:ind w:left="1400"/>
        <w:spacing w:after="0" w:line="237" w:lineRule="auto"/>
        <w:rPr>
          <w:sz w:val="20"/>
          <w:szCs w:val="20"/>
          <w:color w:val="auto"/>
        </w:rPr>
      </w:pPr>
      <w:r>
        <w:rPr>
          <w:rFonts w:ascii="Courier New" w:cs="Courier New" w:eastAsia="Courier New" w:hAnsi="Courier New"/>
          <w:sz w:val="15"/>
          <w:szCs w:val="15"/>
          <w:color w:val="auto"/>
        </w:rPr>
        <w:t>None</w:t>
      </w:r>
    </w:p>
    <w:p>
      <w:pPr>
        <w:spacing w:after="0" w:line="16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Securities for which there is a reporting obligation pursuant to Section 15(d)</w:t>
      </w:r>
    </w:p>
    <w:p>
      <w:pPr>
        <w:spacing w:after="0" w:line="237" w:lineRule="auto"/>
        <w:rPr>
          <w:sz w:val="20"/>
          <w:szCs w:val="20"/>
          <w:color w:val="auto"/>
        </w:rPr>
      </w:pPr>
      <w:r>
        <w:rPr>
          <w:rFonts w:ascii="Courier New" w:cs="Courier New" w:eastAsia="Courier New" w:hAnsi="Courier New"/>
          <w:sz w:val="15"/>
          <w:szCs w:val="15"/>
          <w:color w:val="auto"/>
        </w:rPr>
        <w:t>of the Act:</w:t>
      </w:r>
    </w:p>
    <w:p>
      <w:pPr>
        <w:ind w:left="1400"/>
        <w:spacing w:after="0" w:line="238" w:lineRule="auto"/>
        <w:rPr>
          <w:sz w:val="20"/>
          <w:szCs w:val="20"/>
          <w:color w:val="auto"/>
        </w:rPr>
      </w:pPr>
      <w:r>
        <w:rPr>
          <w:rFonts w:ascii="Courier New" w:cs="Courier New" w:eastAsia="Courier New" w:hAnsi="Courier New"/>
          <w:sz w:val="15"/>
          <w:szCs w:val="15"/>
          <w:color w:val="auto"/>
        </w:rPr>
        <w:t>None</w:t>
      </w:r>
    </w:p>
    <w:p>
      <w:pPr>
        <w:spacing w:after="0" w:line="173" w:lineRule="exact"/>
        <w:rPr>
          <w:sz w:val="24"/>
          <w:szCs w:val="24"/>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The number of outstanding shares of each of the issuer's classes of capital or common stock as of December 31, 2002 was:</w:t>
      </w:r>
    </w:p>
    <w:p>
      <w:pPr>
        <w:spacing w:after="0" w:line="167" w:lineRule="exact"/>
        <w:rPr>
          <w:sz w:val="24"/>
          <w:szCs w:val="24"/>
          <w:color w:val="auto"/>
        </w:rPr>
      </w:pPr>
    </w:p>
    <w:p>
      <w:pPr>
        <w:spacing w:after="0"/>
        <w:tabs>
          <w:tab w:leader="none" w:pos="1740" w:val="left"/>
          <w:tab w:leader="none" w:pos="4180" w:val="left"/>
          <w:tab w:leader="none" w:pos="4720" w:val="left"/>
        </w:tabs>
        <w:rPr>
          <w:sz w:val="20"/>
          <w:szCs w:val="20"/>
          <w:color w:val="auto"/>
        </w:rPr>
      </w:pPr>
      <w:r>
        <w:rPr>
          <w:rFonts w:ascii="Courier New" w:cs="Courier New" w:eastAsia="Courier New" w:hAnsi="Courier New"/>
          <w:sz w:val="15"/>
          <w:szCs w:val="15"/>
          <w:color w:val="auto"/>
        </w:rPr>
        <w:t>639,892,590.....</w:t>
      </w:r>
      <w:r>
        <w:rPr>
          <w:sz w:val="20"/>
          <w:szCs w:val="20"/>
          <w:color w:val="auto"/>
        </w:rPr>
        <w:tab/>
      </w:r>
      <w:r>
        <w:rPr>
          <w:rFonts w:ascii="Courier New" w:cs="Courier New" w:eastAsia="Courier New" w:hAnsi="Courier New"/>
          <w:sz w:val="15"/>
          <w:szCs w:val="15"/>
          <w:color w:val="auto"/>
        </w:rPr>
        <w:t>BD Units (the "BD Units"),</w:t>
        <w:tab/>
        <w:t>each</w:t>
      </w:r>
      <w:r>
        <w:rPr>
          <w:sz w:val="20"/>
          <w:szCs w:val="20"/>
          <w:color w:val="auto"/>
        </w:rPr>
        <w:tab/>
      </w:r>
      <w:r>
        <w:rPr>
          <w:rFonts w:ascii="Courier New" w:cs="Courier New" w:eastAsia="Courier New" w:hAnsi="Courier New"/>
          <w:sz w:val="14"/>
          <w:szCs w:val="14"/>
          <w:color w:val="auto"/>
        </w:rPr>
        <w:t>consisting of one Series B</w:t>
      </w:r>
    </w:p>
    <w:p>
      <w:pPr>
        <w:spacing w:after="0" w:line="5" w:lineRule="exact"/>
        <w:rPr>
          <w:sz w:val="24"/>
          <w:szCs w:val="24"/>
          <w:color w:val="auto"/>
        </w:rPr>
      </w:pPr>
    </w:p>
    <w:p>
      <w:pPr>
        <w:jc w:val="both"/>
        <w:ind w:left="1760" w:right="3239"/>
        <w:spacing w:after="0" w:line="235" w:lineRule="auto"/>
        <w:rPr>
          <w:sz w:val="20"/>
          <w:szCs w:val="20"/>
          <w:color w:val="auto"/>
        </w:rPr>
      </w:pPr>
      <w:r>
        <w:rPr>
          <w:rFonts w:ascii="Courier New" w:cs="Courier New" w:eastAsia="Courier New" w:hAnsi="Courier New"/>
          <w:sz w:val="15"/>
          <w:szCs w:val="15"/>
          <w:color w:val="auto"/>
        </w:rPr>
        <w:t>Share, two Series D-B Shares and two Series D-L Shares, without par value. The BD Units represent a total of 639,892,590 Series B Shares, 1,279,785,180 Series D-B Shares and 1,279,785,180 Series D-L Shares.</w:t>
      </w:r>
    </w:p>
    <w:p>
      <w:pPr>
        <w:spacing w:after="0" w:line="200" w:lineRule="exact"/>
        <w:rPr>
          <w:sz w:val="24"/>
          <w:szCs w:val="24"/>
          <w:color w:val="auto"/>
        </w:rPr>
      </w:pPr>
    </w:p>
    <w:p>
      <w:pPr>
        <w:spacing w:after="0" w:line="305" w:lineRule="exact"/>
        <w:rPr>
          <w:sz w:val="24"/>
          <w:szCs w:val="24"/>
          <w:color w:val="auto"/>
        </w:rPr>
      </w:pPr>
    </w:p>
    <w:p>
      <w:pPr>
        <w:spacing w:after="0"/>
        <w:tabs>
          <w:tab w:leader="none" w:pos="1740" w:val="left"/>
          <w:tab w:leader="none" w:pos="4020" w:val="left"/>
          <w:tab w:leader="none" w:pos="4540" w:val="left"/>
          <w:tab w:leader="none" w:pos="5580" w:val="left"/>
        </w:tabs>
        <w:rPr>
          <w:sz w:val="20"/>
          <w:szCs w:val="20"/>
          <w:color w:val="auto"/>
        </w:rPr>
      </w:pPr>
      <w:r>
        <w:rPr>
          <w:rFonts w:ascii="Courier New" w:cs="Courier New" w:eastAsia="Courier New" w:hAnsi="Courier New"/>
          <w:sz w:val="15"/>
          <w:szCs w:val="15"/>
          <w:color w:val="auto"/>
        </w:rPr>
        <w:t>419,569,500.....</w:t>
      </w:r>
      <w:r>
        <w:rPr>
          <w:sz w:val="20"/>
          <w:szCs w:val="20"/>
          <w:color w:val="auto"/>
        </w:rPr>
        <w:tab/>
      </w:r>
      <w:r>
        <w:rPr>
          <w:rFonts w:ascii="Courier New" w:cs="Courier New" w:eastAsia="Courier New" w:hAnsi="Courier New"/>
          <w:sz w:val="15"/>
          <w:szCs w:val="15"/>
          <w:color w:val="auto"/>
        </w:rPr>
        <w:t>B Units (the "B Units"),</w:t>
        <w:tab/>
        <w:t>each</w:t>
        <w:tab/>
        <w:t>consisting</w:t>
      </w:r>
      <w:r>
        <w:rPr>
          <w:sz w:val="20"/>
          <w:szCs w:val="20"/>
          <w:color w:val="auto"/>
        </w:rPr>
        <w:tab/>
      </w:r>
      <w:r>
        <w:rPr>
          <w:rFonts w:ascii="Courier New" w:cs="Courier New" w:eastAsia="Courier New" w:hAnsi="Courier New"/>
          <w:sz w:val="14"/>
          <w:szCs w:val="14"/>
          <w:color w:val="auto"/>
        </w:rPr>
        <w:t>of five Series B</w:t>
      </w:r>
    </w:p>
    <w:p>
      <w:pPr>
        <w:spacing w:after="0" w:line="5" w:lineRule="exact"/>
        <w:rPr>
          <w:sz w:val="24"/>
          <w:szCs w:val="24"/>
          <w:color w:val="auto"/>
        </w:rPr>
      </w:pPr>
    </w:p>
    <w:p>
      <w:pPr>
        <w:jc w:val="both"/>
        <w:ind w:left="1760" w:right="3239"/>
        <w:spacing w:after="0" w:line="234" w:lineRule="auto"/>
        <w:rPr>
          <w:sz w:val="20"/>
          <w:szCs w:val="20"/>
          <w:color w:val="auto"/>
        </w:rPr>
      </w:pPr>
      <w:r>
        <w:rPr>
          <w:rFonts w:ascii="Courier New" w:cs="Courier New" w:eastAsia="Courier New" w:hAnsi="Courier New"/>
          <w:sz w:val="15"/>
          <w:szCs w:val="15"/>
          <w:color w:val="auto"/>
        </w:rPr>
        <w:t>Shares without par value. The B Units represent a total of 2,097,847,500 Series B Shares.</w:t>
      </w:r>
    </w:p>
    <w:p>
      <w:pPr>
        <w:spacing w:after="0" w:line="341" w:lineRule="exact"/>
        <w:rPr>
          <w:sz w:val="24"/>
          <w:szCs w:val="24"/>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4040"/>
        <w:spacing w:after="0"/>
        <w:tabs>
          <w:tab w:leader="none" w:pos="5160" w:val="left"/>
        </w:tabs>
        <w:rPr>
          <w:sz w:val="20"/>
          <w:szCs w:val="20"/>
          <w:color w:val="auto"/>
        </w:rPr>
      </w:pPr>
      <w:r>
        <w:rPr>
          <w:rFonts w:ascii="Courier New" w:cs="Courier New" w:eastAsia="Courier New" w:hAnsi="Courier New"/>
          <w:sz w:val="15"/>
          <w:szCs w:val="15"/>
          <w:color w:val="auto"/>
        </w:rPr>
        <w:t>Yes|x|</w:t>
      </w:r>
      <w:r>
        <w:rPr>
          <w:sz w:val="20"/>
          <w:szCs w:val="20"/>
          <w:color w:val="auto"/>
        </w:rPr>
        <w:tab/>
      </w:r>
      <w:r>
        <w:rPr>
          <w:rFonts w:ascii="Courier New" w:cs="Courier New" w:eastAsia="Courier New" w:hAnsi="Courier New"/>
          <w:sz w:val="15"/>
          <w:szCs w:val="15"/>
          <w:color w:val="auto"/>
        </w:rPr>
        <w:t>No |_|</w:t>
      </w:r>
    </w:p>
    <w:p>
      <w:pPr>
        <w:spacing w:after="0" w:line="172" w:lineRule="exact"/>
        <w:rPr>
          <w:sz w:val="24"/>
          <w:szCs w:val="24"/>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Indicate by check mark which financial statement item the registrant has elected to follow.</w:t>
      </w:r>
    </w:p>
    <w:p>
      <w:pPr>
        <w:spacing w:after="0" w:line="167" w:lineRule="exact"/>
        <w:rPr>
          <w:sz w:val="24"/>
          <w:szCs w:val="24"/>
          <w:color w:val="auto"/>
        </w:rPr>
      </w:pPr>
    </w:p>
    <w:p>
      <w:pPr>
        <w:jc w:val="center"/>
        <w:ind w:right="59"/>
        <w:spacing w:after="0"/>
        <w:tabs>
          <w:tab w:leader="none" w:pos="160" w:val="left"/>
        </w:tabs>
        <w:rPr>
          <w:sz w:val="20"/>
          <w:szCs w:val="20"/>
          <w:color w:val="auto"/>
        </w:rPr>
      </w:pPr>
      <w:r>
        <w:rPr>
          <w:rFonts w:ascii="Courier New" w:cs="Courier New" w:eastAsia="Courier New" w:hAnsi="Courier New"/>
          <w:sz w:val="15"/>
          <w:szCs w:val="15"/>
          <w:color w:val="auto"/>
        </w:rPr>
        <w:t>|_| Item 17</w:t>
      </w:r>
      <w:r>
        <w:rPr>
          <w:sz w:val="20"/>
          <w:szCs w:val="20"/>
          <w:color w:val="auto"/>
        </w:rPr>
        <w:tab/>
      </w:r>
      <w:r>
        <w:rPr>
          <w:rFonts w:ascii="Courier New" w:cs="Courier New" w:eastAsia="Courier New" w:hAnsi="Courier New"/>
          <w:sz w:val="14"/>
          <w:szCs w:val="14"/>
          <w:color w:val="auto"/>
        </w:rPr>
        <w:t>|x| Item 18</w:t>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9800" w:type="dxa"/>
            <w:vAlign w:val="bottom"/>
          </w:tcPr>
          <w:p>
            <w:pPr>
              <w:jc w:val="right"/>
              <w:ind w:right="5427"/>
              <w:spacing w:after="0"/>
              <w:rPr>
                <w:sz w:val="20"/>
                <w:szCs w:val="20"/>
                <w:color w:val="auto"/>
              </w:rPr>
            </w:pPr>
            <w:r>
              <w:rPr>
                <w:rFonts w:ascii="Courier New" w:cs="Courier New" w:eastAsia="Courier New" w:hAnsi="Courier New"/>
                <w:sz w:val="15"/>
                <w:szCs w:val="15"/>
                <w:color w:val="auto"/>
              </w:rPr>
              <w:t>Table of Contents</w:t>
            </w:r>
          </w:p>
        </w:tc>
        <w:tc>
          <w:tcPr>
            <w:tcW w:w="360" w:type="dxa"/>
            <w:vAlign w:val="bottom"/>
          </w:tcPr>
          <w:p>
            <w:pPr>
              <w:spacing w:after="0"/>
              <w:rPr>
                <w:sz w:val="14"/>
                <w:szCs w:val="14"/>
                <w:color w:val="auto"/>
              </w:rPr>
            </w:pPr>
          </w:p>
        </w:tc>
      </w:tr>
      <w:tr>
        <w:trPr>
          <w:trHeight w:val="336"/>
        </w:trPr>
        <w:tc>
          <w:tcPr>
            <w:tcW w:w="98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Page</w:t>
            </w:r>
          </w:p>
        </w:tc>
      </w:tr>
      <w:tr>
        <w:trPr>
          <w:trHeight w:val="336"/>
        </w:trPr>
        <w:tc>
          <w:tcPr>
            <w:tcW w:w="9800" w:type="dxa"/>
            <w:vAlign w:val="bottom"/>
          </w:tcPr>
          <w:p>
            <w:pPr>
              <w:jc w:val="right"/>
              <w:spacing w:after="0"/>
              <w:rPr>
                <w:sz w:val="20"/>
                <w:szCs w:val="20"/>
                <w:color w:val="auto"/>
              </w:rPr>
            </w:pPr>
            <w:r>
              <w:rPr>
                <w:rFonts w:ascii="Courier New" w:cs="Courier New" w:eastAsia="Courier New" w:hAnsi="Courier New"/>
                <w:sz w:val="15"/>
                <w:szCs w:val="15"/>
                <w:color w:val="auto"/>
                <w:w w:val="96"/>
              </w:rPr>
              <w:t>INTRODUCTION.....................................................................................................</w:t>
            </w:r>
          </w:p>
        </w:tc>
        <w:tc>
          <w:tcPr>
            <w:tcW w:w="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w:t>
            </w:r>
          </w:p>
        </w:tc>
      </w:tr>
      <w:tr>
        <w:trPr>
          <w:trHeight w:val="168"/>
        </w:trPr>
        <w:tc>
          <w:tcPr>
            <w:tcW w:w="9800" w:type="dxa"/>
            <w:vAlign w:val="bottom"/>
          </w:tcPr>
          <w:p>
            <w:pPr>
              <w:jc w:val="right"/>
              <w:ind w:right="8487"/>
              <w:spacing w:after="0" w:line="168" w:lineRule="exact"/>
              <w:rPr>
                <w:sz w:val="20"/>
                <w:szCs w:val="20"/>
                <w:color w:val="auto"/>
              </w:rPr>
            </w:pPr>
            <w:r>
              <w:rPr>
                <w:rFonts w:ascii="Courier New" w:cs="Courier New" w:eastAsia="Courier New" w:hAnsi="Courier New"/>
                <w:sz w:val="15"/>
                <w:szCs w:val="15"/>
                <w:color w:val="auto"/>
                <w:w w:val="96"/>
              </w:rPr>
              <w:t>- ------------</w:t>
            </w:r>
          </w:p>
        </w:tc>
        <w:tc>
          <w:tcPr>
            <w:tcW w:w="360" w:type="dxa"/>
            <w:vAlign w:val="bottom"/>
          </w:tcPr>
          <w:p>
            <w:pPr>
              <w:spacing w:after="0"/>
              <w:rPr>
                <w:sz w:val="14"/>
                <w:szCs w:val="14"/>
                <w:color w:val="auto"/>
              </w:rPr>
            </w:pPr>
          </w:p>
        </w:tc>
      </w:tr>
      <w:tr>
        <w:trPr>
          <w:trHeight w:val="336"/>
        </w:trPr>
        <w:tc>
          <w:tcPr>
            <w:tcW w:w="9800" w:type="dxa"/>
            <w:vAlign w:val="bottom"/>
          </w:tcPr>
          <w:p>
            <w:pPr>
              <w:jc w:val="right"/>
              <w:spacing w:after="0"/>
              <w:rPr>
                <w:sz w:val="20"/>
                <w:szCs w:val="20"/>
                <w:color w:val="auto"/>
              </w:rPr>
            </w:pPr>
            <w:r>
              <w:rPr>
                <w:rFonts w:ascii="Courier New" w:cs="Courier New" w:eastAsia="Courier New" w:hAnsi="Courier New"/>
                <w:sz w:val="15"/>
                <w:szCs w:val="15"/>
                <w:color w:val="auto"/>
              </w:rPr>
              <w:t>References.....................................................................................</w:t>
            </w:r>
          </w:p>
        </w:tc>
        <w:tc>
          <w:tcPr>
            <w:tcW w:w="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w:t>
            </w:r>
          </w:p>
        </w:tc>
      </w:tr>
      <w:tr>
        <w:trPr>
          <w:trHeight w:val="168"/>
        </w:trPr>
        <w:tc>
          <w:tcPr>
            <w:tcW w:w="980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r>
      <w:tr>
        <w:trPr>
          <w:trHeight w:val="336"/>
        </w:trPr>
        <w:tc>
          <w:tcPr>
            <w:tcW w:w="9800" w:type="dxa"/>
            <w:vAlign w:val="bottom"/>
          </w:tcPr>
          <w:p>
            <w:pPr>
              <w:jc w:val="right"/>
              <w:spacing w:after="0"/>
              <w:rPr>
                <w:sz w:val="20"/>
                <w:szCs w:val="20"/>
                <w:color w:val="auto"/>
              </w:rPr>
            </w:pPr>
            <w:r>
              <w:rPr>
                <w:rFonts w:ascii="Courier New" w:cs="Courier New" w:eastAsia="Courier New" w:hAnsi="Courier New"/>
                <w:sz w:val="15"/>
                <w:szCs w:val="15"/>
                <w:color w:val="auto"/>
              </w:rPr>
              <w:t>Accounting Principles..........................................................................</w:t>
            </w:r>
          </w:p>
        </w:tc>
        <w:tc>
          <w:tcPr>
            <w:tcW w:w="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w:t>
            </w:r>
          </w:p>
        </w:tc>
      </w:tr>
      <w:tr>
        <w:trPr>
          <w:trHeight w:val="168"/>
        </w:trPr>
        <w:tc>
          <w:tcPr>
            <w:tcW w:w="980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r>
      <w:tr>
        <w:trPr>
          <w:trHeight w:val="336"/>
        </w:trPr>
        <w:tc>
          <w:tcPr>
            <w:tcW w:w="9800" w:type="dxa"/>
            <w:vAlign w:val="bottom"/>
          </w:tcPr>
          <w:p>
            <w:pPr>
              <w:jc w:val="right"/>
              <w:spacing w:after="0"/>
              <w:rPr>
                <w:sz w:val="20"/>
                <w:szCs w:val="20"/>
                <w:color w:val="auto"/>
              </w:rPr>
            </w:pPr>
            <w:r>
              <w:rPr>
                <w:rFonts w:ascii="Courier New" w:cs="Courier New" w:eastAsia="Courier New" w:hAnsi="Courier New"/>
                <w:sz w:val="15"/>
                <w:szCs w:val="15"/>
                <w:color w:val="auto"/>
              </w:rPr>
              <w:t>Currency Translations and Estimates............................................................</w:t>
            </w:r>
          </w:p>
        </w:tc>
        <w:tc>
          <w:tcPr>
            <w:tcW w:w="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w:t>
            </w:r>
          </w:p>
        </w:tc>
      </w:tr>
      <w:tr>
        <w:trPr>
          <w:trHeight w:val="168"/>
        </w:trPr>
        <w:tc>
          <w:tcPr>
            <w:tcW w:w="980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r>
    </w:tbl>
    <w:p>
      <w:pPr>
        <w:sectPr>
          <w:pgSz w:w="11900" w:h="16838" w:orient="portrait"/>
          <w:cols w:equalWidth="0" w:num="1">
            <w:col w:w="10239"/>
          </w:cols>
          <w:pgMar w:left="220" w:top="393"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800" w:type="dxa"/>
            <w:vAlign w:val="bottom"/>
          </w:tcPr>
          <w:p>
            <w:pPr>
              <w:jc w:val="right"/>
              <w:spacing w:after="0"/>
              <w:rPr>
                <w:sz w:val="20"/>
                <w:szCs w:val="20"/>
                <w:color w:val="auto"/>
              </w:rPr>
            </w:pPr>
            <w:r>
              <w:rPr>
                <w:rFonts w:ascii="Courier New" w:cs="Courier New" w:eastAsia="Courier New" w:hAnsi="Courier New"/>
                <w:sz w:val="15"/>
                <w:szCs w:val="15"/>
                <w:color w:val="auto"/>
              </w:rPr>
              <w:t>Forward-Looking Information....................................................................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68"/>
        </w:trPr>
        <w:tc>
          <w:tcPr>
            <w:tcW w:w="980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r>
      <w:tr>
        <w:trPr>
          <w:trHeight w:val="336"/>
        </w:trPr>
        <w:tc>
          <w:tcPr>
            <w:tcW w:w="9800" w:type="dxa"/>
            <w:vAlign w:val="bottom"/>
          </w:tcPr>
          <w:p>
            <w:pPr>
              <w:jc w:val="right"/>
              <w:spacing w:after="0"/>
              <w:rPr>
                <w:sz w:val="20"/>
                <w:szCs w:val="20"/>
                <w:color w:val="auto"/>
              </w:rPr>
            </w:pPr>
            <w:r>
              <w:rPr>
                <w:rFonts w:ascii="Courier New" w:cs="Courier New" w:eastAsia="Courier New" w:hAnsi="Courier New"/>
                <w:sz w:val="15"/>
                <w:szCs w:val="15"/>
                <w:color w:val="auto"/>
                <w:w w:val="96"/>
              </w:rPr>
              <w:t>ITEM 1. NOT APPLICABLE...........................................................................................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68"/>
        </w:trPr>
        <w:tc>
          <w:tcPr>
            <w:tcW w:w="98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80" w:type="dxa"/>
            <w:vAlign w:val="bottom"/>
          </w:tcPr>
          <w:p>
            <w:pPr>
              <w:spacing w:after="0"/>
              <w:rPr>
                <w:sz w:val="14"/>
                <w:szCs w:val="14"/>
                <w:color w:val="auto"/>
              </w:rPr>
            </w:pPr>
          </w:p>
        </w:tc>
      </w:tr>
      <w:tr>
        <w:trPr>
          <w:trHeight w:val="336"/>
        </w:trPr>
        <w:tc>
          <w:tcPr>
            <w:tcW w:w="9800" w:type="dxa"/>
            <w:vAlign w:val="bottom"/>
          </w:tcPr>
          <w:p>
            <w:pPr>
              <w:jc w:val="right"/>
              <w:spacing w:after="0"/>
              <w:rPr>
                <w:sz w:val="20"/>
                <w:szCs w:val="20"/>
                <w:color w:val="auto"/>
              </w:rPr>
            </w:pPr>
            <w:r>
              <w:rPr>
                <w:rFonts w:ascii="Courier New" w:cs="Courier New" w:eastAsia="Courier New" w:hAnsi="Courier New"/>
                <w:sz w:val="15"/>
                <w:szCs w:val="15"/>
                <w:color w:val="auto"/>
                <w:w w:val="96"/>
              </w:rPr>
              <w:t>ITEM 2. NOT APPLICABLE...........................................................................................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68"/>
        </w:trPr>
        <w:tc>
          <w:tcPr>
            <w:tcW w:w="98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80" w:type="dxa"/>
            <w:vAlign w:val="bottom"/>
          </w:tcPr>
          <w:p>
            <w:pPr>
              <w:spacing w:after="0"/>
              <w:rPr>
                <w:sz w:val="14"/>
                <w:szCs w:val="14"/>
                <w:color w:val="auto"/>
              </w:rPr>
            </w:pPr>
          </w:p>
        </w:tc>
      </w:tr>
      <w:tr>
        <w:trPr>
          <w:trHeight w:val="336"/>
        </w:trPr>
        <w:tc>
          <w:tcPr>
            <w:tcW w:w="9800" w:type="dxa"/>
            <w:vAlign w:val="bottom"/>
          </w:tcPr>
          <w:p>
            <w:pPr>
              <w:jc w:val="right"/>
              <w:spacing w:after="0"/>
              <w:rPr>
                <w:sz w:val="20"/>
                <w:szCs w:val="20"/>
                <w:color w:val="auto"/>
              </w:rPr>
            </w:pPr>
            <w:r>
              <w:rPr>
                <w:rFonts w:ascii="Courier New" w:cs="Courier New" w:eastAsia="Courier New" w:hAnsi="Courier New"/>
                <w:sz w:val="15"/>
                <w:szCs w:val="15"/>
                <w:color w:val="auto"/>
                <w:w w:val="96"/>
              </w:rPr>
              <w:t>ITEM 3. KEY INFORMATION..........................................................................................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68"/>
        </w:trPr>
        <w:tc>
          <w:tcPr>
            <w:tcW w:w="98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80" w:type="dxa"/>
            <w:vAlign w:val="bottom"/>
          </w:tcPr>
          <w:p>
            <w:pPr>
              <w:spacing w:after="0"/>
              <w:rPr>
                <w:sz w:val="14"/>
                <w:szCs w:val="14"/>
                <w:color w:val="auto"/>
              </w:rPr>
            </w:pPr>
          </w:p>
        </w:tc>
      </w:tr>
      <w:tr>
        <w:trPr>
          <w:trHeight w:val="336"/>
        </w:trPr>
        <w:tc>
          <w:tcPr>
            <w:tcW w:w="9800" w:type="dxa"/>
            <w:vAlign w:val="bottom"/>
          </w:tcPr>
          <w:p>
            <w:pPr>
              <w:jc w:val="right"/>
              <w:spacing w:after="0"/>
              <w:rPr>
                <w:sz w:val="20"/>
                <w:szCs w:val="20"/>
                <w:color w:val="auto"/>
              </w:rPr>
            </w:pPr>
            <w:r>
              <w:rPr>
                <w:rFonts w:ascii="Courier New" w:cs="Courier New" w:eastAsia="Courier New" w:hAnsi="Courier New"/>
                <w:sz w:val="15"/>
                <w:szCs w:val="15"/>
                <w:color w:val="auto"/>
              </w:rPr>
              <w:t>Selected Financial Data........................................................................</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68"/>
        </w:trPr>
        <w:tc>
          <w:tcPr>
            <w:tcW w:w="980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r>
      <w:tr>
        <w:trPr>
          <w:trHeight w:val="336"/>
        </w:trPr>
        <w:tc>
          <w:tcPr>
            <w:tcW w:w="9800" w:type="dxa"/>
            <w:vAlign w:val="bottom"/>
          </w:tcPr>
          <w:p>
            <w:pPr>
              <w:jc w:val="right"/>
              <w:spacing w:after="0"/>
              <w:rPr>
                <w:sz w:val="20"/>
                <w:szCs w:val="20"/>
                <w:color w:val="auto"/>
              </w:rPr>
            </w:pPr>
            <w:r>
              <w:rPr>
                <w:rFonts w:ascii="Courier New" w:cs="Courier New" w:eastAsia="Courier New" w:hAnsi="Courier New"/>
                <w:sz w:val="15"/>
                <w:szCs w:val="15"/>
                <w:color w:val="auto"/>
              </w:rPr>
              <w:t>Dividends......................................................................................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68"/>
        </w:trPr>
        <w:tc>
          <w:tcPr>
            <w:tcW w:w="980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r>
      <w:tr>
        <w:trPr>
          <w:trHeight w:val="336"/>
        </w:trPr>
        <w:tc>
          <w:tcPr>
            <w:tcW w:w="9800" w:type="dxa"/>
            <w:vAlign w:val="bottom"/>
          </w:tcPr>
          <w:p>
            <w:pPr>
              <w:jc w:val="right"/>
              <w:spacing w:after="0"/>
              <w:rPr>
                <w:sz w:val="20"/>
                <w:szCs w:val="20"/>
                <w:color w:val="auto"/>
              </w:rPr>
            </w:pPr>
            <w:r>
              <w:rPr>
                <w:rFonts w:ascii="Courier New" w:cs="Courier New" w:eastAsia="Courier New" w:hAnsi="Courier New"/>
                <w:sz w:val="15"/>
                <w:szCs w:val="15"/>
                <w:color w:val="auto"/>
              </w:rPr>
              <w:t>Exchange Rate Information......................................................................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168"/>
        </w:trPr>
        <w:tc>
          <w:tcPr>
            <w:tcW w:w="980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r>
      <w:tr>
        <w:trPr>
          <w:trHeight w:val="336"/>
        </w:trPr>
        <w:tc>
          <w:tcPr>
            <w:tcW w:w="9800" w:type="dxa"/>
            <w:vAlign w:val="bottom"/>
          </w:tcPr>
          <w:p>
            <w:pPr>
              <w:jc w:val="right"/>
              <w:spacing w:after="0"/>
              <w:rPr>
                <w:sz w:val="20"/>
                <w:szCs w:val="20"/>
                <w:color w:val="auto"/>
              </w:rPr>
            </w:pPr>
            <w:r>
              <w:rPr>
                <w:rFonts w:ascii="Courier New" w:cs="Courier New" w:eastAsia="Courier New" w:hAnsi="Courier New"/>
                <w:sz w:val="15"/>
                <w:szCs w:val="15"/>
                <w:color w:val="auto"/>
              </w:rPr>
              <w:t>Risk Factors...................................................................................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68"/>
        </w:trPr>
        <w:tc>
          <w:tcPr>
            <w:tcW w:w="980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r>
      <w:tr>
        <w:trPr>
          <w:trHeight w:val="336"/>
        </w:trPr>
        <w:tc>
          <w:tcPr>
            <w:tcW w:w="9800" w:type="dxa"/>
            <w:vAlign w:val="bottom"/>
          </w:tcPr>
          <w:p>
            <w:pPr>
              <w:jc w:val="right"/>
              <w:spacing w:after="0"/>
              <w:rPr>
                <w:sz w:val="20"/>
                <w:szCs w:val="20"/>
                <w:color w:val="auto"/>
              </w:rPr>
            </w:pPr>
            <w:r>
              <w:rPr>
                <w:rFonts w:ascii="Courier New" w:cs="Courier New" w:eastAsia="Courier New" w:hAnsi="Courier New"/>
                <w:sz w:val="15"/>
                <w:szCs w:val="15"/>
                <w:color w:val="auto"/>
                <w:w w:val="97"/>
              </w:rPr>
              <w:t>ITEM 4. INFORMATION ON THE COMPANY..............................................................................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18</w:t>
            </w:r>
          </w:p>
        </w:tc>
      </w:tr>
      <w:tr>
        <w:trPr>
          <w:trHeight w:val="168"/>
        </w:trPr>
        <w:tc>
          <w:tcPr>
            <w:tcW w:w="98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80" w:type="dxa"/>
            <w:vAlign w:val="bottom"/>
          </w:tcPr>
          <w:p>
            <w:pPr>
              <w:spacing w:after="0"/>
              <w:rPr>
                <w:sz w:val="14"/>
                <w:szCs w:val="14"/>
                <w:color w:val="auto"/>
              </w:rPr>
            </w:pPr>
          </w:p>
        </w:tc>
      </w:tr>
      <w:tr>
        <w:trPr>
          <w:trHeight w:val="336"/>
        </w:trPr>
        <w:tc>
          <w:tcPr>
            <w:tcW w:w="9800" w:type="dxa"/>
            <w:vAlign w:val="bottom"/>
          </w:tcPr>
          <w:p>
            <w:pPr>
              <w:jc w:val="right"/>
              <w:spacing w:after="0"/>
              <w:rPr>
                <w:sz w:val="20"/>
                <w:szCs w:val="20"/>
                <w:color w:val="auto"/>
              </w:rPr>
            </w:pPr>
            <w:r>
              <w:rPr>
                <w:rFonts w:ascii="Courier New" w:cs="Courier New" w:eastAsia="Courier New" w:hAnsi="Courier New"/>
                <w:sz w:val="15"/>
                <w:szCs w:val="15"/>
                <w:color w:val="auto"/>
              </w:rPr>
              <w:t>Overview......................................................................................</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18</w:t>
            </w:r>
          </w:p>
        </w:tc>
      </w:tr>
      <w:tr>
        <w:trPr>
          <w:trHeight w:val="168"/>
        </w:trPr>
        <w:tc>
          <w:tcPr>
            <w:tcW w:w="980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r>
      <w:tr>
        <w:trPr>
          <w:trHeight w:val="336"/>
        </w:trPr>
        <w:tc>
          <w:tcPr>
            <w:tcW w:w="9800" w:type="dxa"/>
            <w:vAlign w:val="bottom"/>
          </w:tcPr>
          <w:p>
            <w:pPr>
              <w:jc w:val="right"/>
              <w:spacing w:after="0"/>
              <w:rPr>
                <w:sz w:val="20"/>
                <w:szCs w:val="20"/>
                <w:color w:val="auto"/>
              </w:rPr>
            </w:pPr>
            <w:r>
              <w:rPr>
                <w:rFonts w:ascii="Courier New" w:cs="Courier New" w:eastAsia="Courier New" w:hAnsi="Courier New"/>
                <w:sz w:val="15"/>
                <w:szCs w:val="15"/>
                <w:color w:val="auto"/>
              </w:rPr>
              <w:t>Corporate Background..........................................................................</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18</w:t>
            </w:r>
          </w:p>
        </w:tc>
      </w:tr>
      <w:tr>
        <w:trPr>
          <w:trHeight w:val="168"/>
        </w:trPr>
        <w:tc>
          <w:tcPr>
            <w:tcW w:w="980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r>
      <w:tr>
        <w:trPr>
          <w:trHeight w:val="336"/>
        </w:trPr>
        <w:tc>
          <w:tcPr>
            <w:tcW w:w="9800" w:type="dxa"/>
            <w:vAlign w:val="bottom"/>
          </w:tcPr>
          <w:p>
            <w:pPr>
              <w:jc w:val="right"/>
              <w:spacing w:after="0"/>
              <w:rPr>
                <w:sz w:val="20"/>
                <w:szCs w:val="20"/>
                <w:color w:val="auto"/>
              </w:rPr>
            </w:pPr>
            <w:r>
              <w:rPr>
                <w:rFonts w:ascii="Courier New" w:cs="Courier New" w:eastAsia="Courier New" w:hAnsi="Courier New"/>
                <w:sz w:val="15"/>
                <w:szCs w:val="15"/>
                <w:color w:val="auto"/>
              </w:rPr>
              <w:t>The Panamco Acquisition.......................................................................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20</w:t>
            </w:r>
          </w:p>
        </w:tc>
      </w:tr>
      <w:tr>
        <w:trPr>
          <w:trHeight w:val="168"/>
        </w:trPr>
        <w:tc>
          <w:tcPr>
            <w:tcW w:w="980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r>
      <w:tr>
        <w:trPr>
          <w:trHeight w:val="336"/>
        </w:trPr>
        <w:tc>
          <w:tcPr>
            <w:tcW w:w="9800" w:type="dxa"/>
            <w:vAlign w:val="bottom"/>
          </w:tcPr>
          <w:p>
            <w:pPr>
              <w:jc w:val="right"/>
              <w:spacing w:after="0"/>
              <w:rPr>
                <w:sz w:val="20"/>
                <w:szCs w:val="20"/>
                <w:color w:val="auto"/>
              </w:rPr>
            </w:pPr>
            <w:r>
              <w:rPr>
                <w:rFonts w:ascii="Courier New" w:cs="Courier New" w:eastAsia="Courier New" w:hAnsi="Courier New"/>
                <w:sz w:val="15"/>
                <w:szCs w:val="15"/>
                <w:color w:val="auto"/>
              </w:rPr>
              <w:t>Ownership Structure...........................................................................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21</w:t>
            </w:r>
          </w:p>
        </w:tc>
      </w:tr>
      <w:tr>
        <w:trPr>
          <w:trHeight w:val="168"/>
        </w:trPr>
        <w:tc>
          <w:tcPr>
            <w:tcW w:w="980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r>
      <w:tr>
        <w:trPr>
          <w:trHeight w:val="336"/>
        </w:trPr>
        <w:tc>
          <w:tcPr>
            <w:tcW w:w="9800" w:type="dxa"/>
            <w:vAlign w:val="bottom"/>
          </w:tcPr>
          <w:p>
            <w:pPr>
              <w:jc w:val="right"/>
              <w:spacing w:after="0"/>
              <w:rPr>
                <w:sz w:val="20"/>
                <w:szCs w:val="20"/>
                <w:color w:val="auto"/>
              </w:rPr>
            </w:pPr>
            <w:r>
              <w:rPr>
                <w:rFonts w:ascii="Courier New" w:cs="Courier New" w:eastAsia="Courier New" w:hAnsi="Courier New"/>
                <w:sz w:val="15"/>
                <w:szCs w:val="15"/>
                <w:color w:val="auto"/>
              </w:rPr>
              <w:t>Significant Subsidiaries......................................................................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23</w:t>
            </w:r>
          </w:p>
        </w:tc>
      </w:tr>
      <w:tr>
        <w:trPr>
          <w:trHeight w:val="168"/>
        </w:trPr>
        <w:tc>
          <w:tcPr>
            <w:tcW w:w="980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r>
      <w:tr>
        <w:trPr>
          <w:trHeight w:val="336"/>
        </w:trPr>
        <w:tc>
          <w:tcPr>
            <w:tcW w:w="9800" w:type="dxa"/>
            <w:vAlign w:val="bottom"/>
          </w:tcPr>
          <w:p>
            <w:pPr>
              <w:jc w:val="right"/>
              <w:spacing w:after="0"/>
              <w:rPr>
                <w:sz w:val="20"/>
                <w:szCs w:val="20"/>
                <w:color w:val="auto"/>
              </w:rPr>
            </w:pPr>
            <w:r>
              <w:rPr>
                <w:rFonts w:ascii="Courier New" w:cs="Courier New" w:eastAsia="Courier New" w:hAnsi="Courier New"/>
                <w:sz w:val="15"/>
                <w:szCs w:val="15"/>
                <w:color w:val="auto"/>
              </w:rPr>
              <w:t>Business Strategy.............................................................................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23</w:t>
            </w:r>
          </w:p>
        </w:tc>
      </w:tr>
      <w:tr>
        <w:trPr>
          <w:trHeight w:val="168"/>
        </w:trPr>
        <w:tc>
          <w:tcPr>
            <w:tcW w:w="980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r>
      <w:tr>
        <w:trPr>
          <w:trHeight w:val="336"/>
        </w:trPr>
        <w:tc>
          <w:tcPr>
            <w:tcW w:w="9800" w:type="dxa"/>
            <w:vAlign w:val="bottom"/>
          </w:tcPr>
          <w:p>
            <w:pPr>
              <w:jc w:val="right"/>
              <w:spacing w:after="0"/>
              <w:rPr>
                <w:sz w:val="20"/>
                <w:szCs w:val="20"/>
                <w:color w:val="auto"/>
              </w:rPr>
            </w:pPr>
            <w:r>
              <w:rPr>
                <w:rFonts w:ascii="Courier New" w:cs="Courier New" w:eastAsia="Courier New" w:hAnsi="Courier New"/>
                <w:sz w:val="15"/>
                <w:szCs w:val="15"/>
                <w:color w:val="auto"/>
              </w:rPr>
              <w:t>FEMSA Cerveza.................................................................................</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24</w:t>
            </w:r>
          </w:p>
        </w:tc>
      </w:tr>
      <w:tr>
        <w:trPr>
          <w:trHeight w:val="168"/>
        </w:trPr>
        <w:tc>
          <w:tcPr>
            <w:tcW w:w="980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r>
      <w:tr>
        <w:trPr>
          <w:trHeight w:val="336"/>
        </w:trPr>
        <w:tc>
          <w:tcPr>
            <w:tcW w:w="9800" w:type="dxa"/>
            <w:vAlign w:val="bottom"/>
          </w:tcPr>
          <w:p>
            <w:pPr>
              <w:jc w:val="right"/>
              <w:spacing w:after="0"/>
              <w:rPr>
                <w:sz w:val="20"/>
                <w:szCs w:val="20"/>
                <w:color w:val="auto"/>
              </w:rPr>
            </w:pPr>
            <w:r>
              <w:rPr>
                <w:rFonts w:ascii="Courier New" w:cs="Courier New" w:eastAsia="Courier New" w:hAnsi="Courier New"/>
                <w:sz w:val="15"/>
                <w:szCs w:val="15"/>
                <w:color w:val="auto"/>
              </w:rPr>
              <w:t>Coca-Cola FEMSA...............................................................................</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39</w:t>
            </w:r>
          </w:p>
        </w:tc>
      </w:tr>
      <w:tr>
        <w:trPr>
          <w:trHeight w:val="168"/>
        </w:trPr>
        <w:tc>
          <w:tcPr>
            <w:tcW w:w="980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r>
      <w:tr>
        <w:trPr>
          <w:trHeight w:val="336"/>
        </w:trPr>
        <w:tc>
          <w:tcPr>
            <w:tcW w:w="9800" w:type="dxa"/>
            <w:vAlign w:val="bottom"/>
          </w:tcPr>
          <w:p>
            <w:pPr>
              <w:jc w:val="right"/>
              <w:spacing w:after="0"/>
              <w:rPr>
                <w:sz w:val="20"/>
                <w:szCs w:val="20"/>
                <w:color w:val="auto"/>
              </w:rPr>
            </w:pPr>
            <w:r>
              <w:rPr>
                <w:rFonts w:ascii="Courier New" w:cs="Courier New" w:eastAsia="Courier New" w:hAnsi="Courier New"/>
                <w:sz w:val="15"/>
                <w:szCs w:val="15"/>
                <w:color w:val="auto"/>
              </w:rPr>
              <w:t>FEMSA Comercio................................................................................</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55</w:t>
            </w:r>
          </w:p>
        </w:tc>
      </w:tr>
      <w:tr>
        <w:trPr>
          <w:trHeight w:val="168"/>
        </w:trPr>
        <w:tc>
          <w:tcPr>
            <w:tcW w:w="980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r>
      <w:tr>
        <w:trPr>
          <w:trHeight w:val="336"/>
        </w:trPr>
        <w:tc>
          <w:tcPr>
            <w:tcW w:w="9800" w:type="dxa"/>
            <w:vAlign w:val="bottom"/>
          </w:tcPr>
          <w:p>
            <w:pPr>
              <w:jc w:val="right"/>
              <w:spacing w:after="0"/>
              <w:rPr>
                <w:sz w:val="20"/>
                <w:szCs w:val="20"/>
                <w:color w:val="auto"/>
              </w:rPr>
            </w:pPr>
            <w:r>
              <w:rPr>
                <w:rFonts w:ascii="Courier New" w:cs="Courier New" w:eastAsia="Courier New" w:hAnsi="Courier New"/>
                <w:sz w:val="15"/>
                <w:szCs w:val="15"/>
                <w:color w:val="auto"/>
              </w:rPr>
              <w:t>FEMSA Empaques................................................................................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60</w:t>
            </w:r>
          </w:p>
        </w:tc>
      </w:tr>
      <w:tr>
        <w:trPr>
          <w:trHeight w:val="168"/>
        </w:trPr>
        <w:tc>
          <w:tcPr>
            <w:tcW w:w="980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r>
      <w:tr>
        <w:trPr>
          <w:trHeight w:val="336"/>
        </w:trPr>
        <w:tc>
          <w:tcPr>
            <w:tcW w:w="9800" w:type="dxa"/>
            <w:vAlign w:val="bottom"/>
          </w:tcPr>
          <w:p>
            <w:pPr>
              <w:jc w:val="right"/>
              <w:spacing w:after="0"/>
              <w:rPr>
                <w:sz w:val="20"/>
                <w:szCs w:val="20"/>
                <w:color w:val="auto"/>
              </w:rPr>
            </w:pPr>
            <w:r>
              <w:rPr>
                <w:rFonts w:ascii="Courier New" w:cs="Courier New" w:eastAsia="Courier New" w:hAnsi="Courier New"/>
                <w:sz w:val="15"/>
                <w:szCs w:val="15"/>
                <w:color w:val="auto"/>
              </w:rPr>
              <w:t>Logistica.....................................................................................</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69</w:t>
            </w:r>
          </w:p>
        </w:tc>
      </w:tr>
      <w:tr>
        <w:trPr>
          <w:trHeight w:val="168"/>
        </w:trPr>
        <w:tc>
          <w:tcPr>
            <w:tcW w:w="980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r>
      <w:tr>
        <w:trPr>
          <w:trHeight w:val="336"/>
        </w:trPr>
        <w:tc>
          <w:tcPr>
            <w:tcW w:w="9800" w:type="dxa"/>
            <w:vAlign w:val="bottom"/>
          </w:tcPr>
          <w:p>
            <w:pPr>
              <w:jc w:val="right"/>
              <w:spacing w:after="0"/>
              <w:rPr>
                <w:sz w:val="20"/>
                <w:szCs w:val="20"/>
                <w:color w:val="auto"/>
              </w:rPr>
            </w:pPr>
            <w:r>
              <w:rPr>
                <w:rFonts w:ascii="Courier New" w:cs="Courier New" w:eastAsia="Courier New" w:hAnsi="Courier New"/>
                <w:sz w:val="15"/>
                <w:szCs w:val="15"/>
                <w:color w:val="auto"/>
              </w:rPr>
              <w:t>Perfil Corporativo............................................................................</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69</w:t>
            </w:r>
          </w:p>
        </w:tc>
      </w:tr>
      <w:tr>
        <w:trPr>
          <w:trHeight w:val="168"/>
        </w:trPr>
        <w:tc>
          <w:tcPr>
            <w:tcW w:w="980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r>
      <w:tr>
        <w:trPr>
          <w:trHeight w:val="336"/>
        </w:trPr>
        <w:tc>
          <w:tcPr>
            <w:tcW w:w="9800" w:type="dxa"/>
            <w:vAlign w:val="bottom"/>
          </w:tcPr>
          <w:p>
            <w:pPr>
              <w:jc w:val="right"/>
              <w:spacing w:after="0"/>
              <w:rPr>
                <w:sz w:val="20"/>
                <w:szCs w:val="20"/>
                <w:color w:val="auto"/>
              </w:rPr>
            </w:pPr>
            <w:r>
              <w:rPr>
                <w:rFonts w:ascii="Courier New" w:cs="Courier New" w:eastAsia="Courier New" w:hAnsi="Courier New"/>
                <w:sz w:val="15"/>
                <w:szCs w:val="15"/>
                <w:color w:val="auto"/>
              </w:rPr>
              <w:t>FEMSA Servicios...............................................................................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69</w:t>
            </w:r>
          </w:p>
        </w:tc>
      </w:tr>
      <w:tr>
        <w:trPr>
          <w:trHeight w:val="168"/>
        </w:trPr>
        <w:tc>
          <w:tcPr>
            <w:tcW w:w="980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r>
      <w:tr>
        <w:trPr>
          <w:trHeight w:val="336"/>
        </w:trPr>
        <w:tc>
          <w:tcPr>
            <w:tcW w:w="9800" w:type="dxa"/>
            <w:vAlign w:val="bottom"/>
          </w:tcPr>
          <w:p>
            <w:pPr>
              <w:jc w:val="right"/>
              <w:spacing w:after="0"/>
              <w:rPr>
                <w:sz w:val="20"/>
                <w:szCs w:val="20"/>
                <w:color w:val="auto"/>
              </w:rPr>
            </w:pPr>
            <w:r>
              <w:rPr>
                <w:rFonts w:ascii="Courier New" w:cs="Courier New" w:eastAsia="Courier New" w:hAnsi="Courier New"/>
                <w:sz w:val="15"/>
                <w:szCs w:val="15"/>
                <w:color w:val="auto"/>
              </w:rPr>
              <w:t>Description of Property, Plant and Equipment..................................................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70</w:t>
            </w:r>
          </w:p>
        </w:tc>
      </w:tr>
      <w:tr>
        <w:trPr>
          <w:trHeight w:val="168"/>
        </w:trPr>
        <w:tc>
          <w:tcPr>
            <w:tcW w:w="980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r>
      <w:tr>
        <w:trPr>
          <w:trHeight w:val="336"/>
        </w:trPr>
        <w:tc>
          <w:tcPr>
            <w:tcW w:w="9800" w:type="dxa"/>
            <w:vAlign w:val="bottom"/>
          </w:tcPr>
          <w:p>
            <w:pPr>
              <w:jc w:val="right"/>
              <w:spacing w:after="0"/>
              <w:rPr>
                <w:sz w:val="20"/>
                <w:szCs w:val="20"/>
                <w:color w:val="auto"/>
              </w:rPr>
            </w:pPr>
            <w:r>
              <w:rPr>
                <w:rFonts w:ascii="Courier New" w:cs="Courier New" w:eastAsia="Courier New" w:hAnsi="Courier New"/>
                <w:sz w:val="15"/>
                <w:szCs w:val="15"/>
                <w:color w:val="auto"/>
              </w:rPr>
              <w:t>Capital Expenditures and Divestitures.........................................................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72</w:t>
            </w:r>
          </w:p>
        </w:tc>
      </w:tr>
      <w:tr>
        <w:trPr>
          <w:trHeight w:val="168"/>
        </w:trPr>
        <w:tc>
          <w:tcPr>
            <w:tcW w:w="980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r>
      <w:tr>
        <w:trPr>
          <w:trHeight w:val="336"/>
        </w:trPr>
        <w:tc>
          <w:tcPr>
            <w:tcW w:w="9800" w:type="dxa"/>
            <w:vAlign w:val="bottom"/>
          </w:tcPr>
          <w:p>
            <w:pPr>
              <w:jc w:val="right"/>
              <w:spacing w:after="0"/>
              <w:rPr>
                <w:sz w:val="20"/>
                <w:szCs w:val="20"/>
                <w:color w:val="auto"/>
              </w:rPr>
            </w:pPr>
            <w:r>
              <w:rPr>
                <w:rFonts w:ascii="Courier New" w:cs="Courier New" w:eastAsia="Courier New" w:hAnsi="Courier New"/>
                <w:sz w:val="15"/>
                <w:szCs w:val="15"/>
                <w:color w:val="auto"/>
              </w:rPr>
              <w:t>Regulatory Matters............................................................................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73</w:t>
            </w:r>
          </w:p>
        </w:tc>
      </w:tr>
      <w:tr>
        <w:trPr>
          <w:trHeight w:val="168"/>
        </w:trPr>
        <w:tc>
          <w:tcPr>
            <w:tcW w:w="980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r>
      <w:tr>
        <w:trPr>
          <w:trHeight w:val="336"/>
        </w:trPr>
        <w:tc>
          <w:tcPr>
            <w:tcW w:w="9800" w:type="dxa"/>
            <w:vAlign w:val="bottom"/>
          </w:tcPr>
          <w:p>
            <w:pPr>
              <w:jc w:val="right"/>
              <w:spacing w:after="0"/>
              <w:rPr>
                <w:sz w:val="20"/>
                <w:szCs w:val="20"/>
                <w:color w:val="auto"/>
              </w:rPr>
            </w:pPr>
            <w:r>
              <w:rPr>
                <w:rFonts w:ascii="Courier New" w:cs="Courier New" w:eastAsia="Courier New" w:hAnsi="Courier New"/>
                <w:sz w:val="15"/>
                <w:szCs w:val="15"/>
                <w:color w:val="auto"/>
              </w:rPr>
              <w:t>Insurance.....................................................................................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75</w:t>
            </w:r>
          </w:p>
        </w:tc>
      </w:tr>
      <w:tr>
        <w:trPr>
          <w:trHeight w:val="168"/>
        </w:trPr>
        <w:tc>
          <w:tcPr>
            <w:tcW w:w="980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r>
      <w:tr>
        <w:trPr>
          <w:trHeight w:val="336"/>
        </w:trPr>
        <w:tc>
          <w:tcPr>
            <w:tcW w:w="9800" w:type="dxa"/>
            <w:vAlign w:val="bottom"/>
          </w:tcPr>
          <w:p>
            <w:pPr>
              <w:jc w:val="right"/>
              <w:spacing w:after="0"/>
              <w:rPr>
                <w:sz w:val="20"/>
                <w:szCs w:val="20"/>
                <w:color w:val="auto"/>
              </w:rPr>
            </w:pPr>
            <w:r>
              <w:rPr>
                <w:rFonts w:ascii="Courier New" w:cs="Courier New" w:eastAsia="Courier New" w:hAnsi="Courier New"/>
                <w:sz w:val="15"/>
                <w:szCs w:val="15"/>
                <w:color w:val="auto"/>
                <w:w w:val="97"/>
              </w:rPr>
              <w:t>ITEM 5.  OPERATING AND FINANCIAL REVIEW AND PROSPECTS...........................................................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76</w:t>
            </w:r>
          </w:p>
        </w:tc>
      </w:tr>
      <w:tr>
        <w:trPr>
          <w:trHeight w:val="168"/>
        </w:trPr>
        <w:tc>
          <w:tcPr>
            <w:tcW w:w="98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80" w:type="dxa"/>
            <w:vAlign w:val="bottom"/>
          </w:tcPr>
          <w:p>
            <w:pPr>
              <w:spacing w:after="0"/>
              <w:rPr>
                <w:sz w:val="14"/>
                <w:szCs w:val="14"/>
                <w:color w:val="auto"/>
              </w:rPr>
            </w:pPr>
          </w:p>
        </w:tc>
      </w:tr>
      <w:tr>
        <w:trPr>
          <w:trHeight w:val="336"/>
        </w:trPr>
        <w:tc>
          <w:tcPr>
            <w:tcW w:w="9800" w:type="dxa"/>
            <w:vAlign w:val="bottom"/>
          </w:tcPr>
          <w:p>
            <w:pPr>
              <w:jc w:val="right"/>
              <w:spacing w:after="0"/>
              <w:rPr>
                <w:sz w:val="20"/>
                <w:szCs w:val="20"/>
                <w:color w:val="auto"/>
              </w:rPr>
            </w:pPr>
            <w:r>
              <w:rPr>
                <w:rFonts w:ascii="Courier New" w:cs="Courier New" w:eastAsia="Courier New" w:hAnsi="Courier New"/>
                <w:sz w:val="15"/>
                <w:szCs w:val="15"/>
                <w:color w:val="auto"/>
              </w:rPr>
              <w:t>Critical Accounting Policies..................................................................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76</w:t>
            </w:r>
          </w:p>
        </w:tc>
      </w:tr>
      <w:tr>
        <w:trPr>
          <w:trHeight w:val="168"/>
        </w:trPr>
        <w:tc>
          <w:tcPr>
            <w:tcW w:w="980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r>
      <w:tr>
        <w:trPr>
          <w:trHeight w:val="336"/>
        </w:trPr>
        <w:tc>
          <w:tcPr>
            <w:tcW w:w="9800" w:type="dxa"/>
            <w:vAlign w:val="bottom"/>
          </w:tcPr>
          <w:p>
            <w:pPr>
              <w:jc w:val="right"/>
              <w:spacing w:after="0"/>
              <w:rPr>
                <w:sz w:val="20"/>
                <w:szCs w:val="20"/>
                <w:color w:val="auto"/>
              </w:rPr>
            </w:pPr>
            <w:r>
              <w:rPr>
                <w:rFonts w:ascii="Courier New" w:cs="Courier New" w:eastAsia="Courier New" w:hAnsi="Courier New"/>
                <w:sz w:val="15"/>
                <w:szCs w:val="15"/>
                <w:color w:val="auto"/>
              </w:rPr>
              <w:t>New Accounting Pronouncements.................................................................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79</w:t>
            </w:r>
          </w:p>
        </w:tc>
      </w:tr>
      <w:tr>
        <w:trPr>
          <w:trHeight w:val="168"/>
        </w:trPr>
        <w:tc>
          <w:tcPr>
            <w:tcW w:w="980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r>
      <w:tr>
        <w:trPr>
          <w:trHeight w:val="336"/>
        </w:trPr>
        <w:tc>
          <w:tcPr>
            <w:tcW w:w="9800" w:type="dxa"/>
            <w:vAlign w:val="bottom"/>
          </w:tcPr>
          <w:p>
            <w:pPr>
              <w:jc w:val="right"/>
              <w:spacing w:after="0"/>
              <w:rPr>
                <w:sz w:val="20"/>
                <w:szCs w:val="20"/>
                <w:color w:val="auto"/>
              </w:rPr>
            </w:pPr>
            <w:r>
              <w:rPr>
                <w:rFonts w:ascii="Courier New" w:cs="Courier New" w:eastAsia="Courier New" w:hAnsi="Courier New"/>
                <w:sz w:val="15"/>
                <w:szCs w:val="15"/>
                <w:color w:val="auto"/>
              </w:rPr>
              <w:t>Operating Results.............................................................................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83</w:t>
            </w:r>
          </w:p>
        </w:tc>
      </w:tr>
      <w:tr>
        <w:trPr>
          <w:trHeight w:val="168"/>
        </w:trPr>
        <w:tc>
          <w:tcPr>
            <w:tcW w:w="980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r>
      <w:tr>
        <w:trPr>
          <w:trHeight w:val="336"/>
        </w:trPr>
        <w:tc>
          <w:tcPr>
            <w:tcW w:w="9800" w:type="dxa"/>
            <w:vAlign w:val="bottom"/>
          </w:tcPr>
          <w:p>
            <w:pPr>
              <w:jc w:val="right"/>
              <w:spacing w:after="0"/>
              <w:rPr>
                <w:sz w:val="20"/>
                <w:szCs w:val="20"/>
                <w:color w:val="auto"/>
              </w:rPr>
            </w:pPr>
            <w:r>
              <w:rPr>
                <w:rFonts w:ascii="Courier New" w:cs="Courier New" w:eastAsia="Courier New" w:hAnsi="Courier New"/>
                <w:sz w:val="15"/>
                <w:szCs w:val="15"/>
                <w:color w:val="auto"/>
              </w:rPr>
              <w:t>Operating Leverage............................................................................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85</w:t>
            </w:r>
          </w:p>
        </w:tc>
      </w:tr>
      <w:tr>
        <w:trPr>
          <w:trHeight w:val="168"/>
        </w:trPr>
        <w:tc>
          <w:tcPr>
            <w:tcW w:w="980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r>
    </w:tbl>
    <w:p>
      <w:pPr>
        <w:sectPr>
          <w:pgSz w:w="11900" w:h="16838" w:orient="portrait"/>
          <w:cols w:equalWidth="0" w:num="1">
            <w:col w:w="10239"/>
          </w:cols>
          <w:pgMar w:left="220" w:top="135" w:right="1440" w:bottom="663"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720" w:type="dxa"/>
            <w:vAlign w:val="bottom"/>
          </w:tcPr>
          <w:p>
            <w:pPr>
              <w:jc w:val="right"/>
              <w:spacing w:after="0"/>
              <w:rPr>
                <w:sz w:val="20"/>
                <w:szCs w:val="20"/>
                <w:color w:val="auto"/>
              </w:rPr>
            </w:pPr>
            <w:r>
              <w:rPr>
                <w:rFonts w:ascii="Courier New" w:cs="Courier New" w:eastAsia="Courier New" w:hAnsi="Courier New"/>
                <w:sz w:val="15"/>
                <w:szCs w:val="15"/>
                <w:color w:val="auto"/>
              </w:rPr>
              <w:t>Impact of the Panamco Acquisition.............................................................</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85</w:t>
            </w:r>
          </w:p>
        </w:tc>
      </w:tr>
      <w:tr>
        <w:trPr>
          <w:trHeight w:val="168"/>
        </w:trPr>
        <w:tc>
          <w:tcPr>
            <w:tcW w:w="972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r>
      <w:tr>
        <w:trPr>
          <w:trHeight w:val="336"/>
        </w:trPr>
        <w:tc>
          <w:tcPr>
            <w:tcW w:w="9720" w:type="dxa"/>
            <w:vAlign w:val="bottom"/>
          </w:tcPr>
          <w:p>
            <w:pPr>
              <w:jc w:val="right"/>
              <w:spacing w:after="0"/>
              <w:rPr>
                <w:sz w:val="20"/>
                <w:szCs w:val="20"/>
                <w:color w:val="auto"/>
              </w:rPr>
            </w:pPr>
            <w:r>
              <w:rPr>
                <w:rFonts w:ascii="Courier New" w:cs="Courier New" w:eastAsia="Courier New" w:hAnsi="Courier New"/>
                <w:sz w:val="15"/>
                <w:szCs w:val="15"/>
                <w:color w:val="auto"/>
              </w:rPr>
              <w:t>Results of Operations.........................................................................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86</w:t>
            </w:r>
          </w:p>
        </w:tc>
      </w:tr>
      <w:tr>
        <w:trPr>
          <w:trHeight w:val="168"/>
        </w:trPr>
        <w:tc>
          <w:tcPr>
            <w:tcW w:w="972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r>
      <w:tr>
        <w:trPr>
          <w:trHeight w:val="336"/>
        </w:trPr>
        <w:tc>
          <w:tcPr>
            <w:tcW w:w="9720" w:type="dxa"/>
            <w:vAlign w:val="bottom"/>
          </w:tcPr>
          <w:p>
            <w:pPr>
              <w:jc w:val="right"/>
              <w:spacing w:after="0"/>
              <w:rPr>
                <w:sz w:val="20"/>
                <w:szCs w:val="20"/>
                <w:color w:val="auto"/>
              </w:rPr>
            </w:pPr>
            <w:r>
              <w:rPr>
                <w:rFonts w:ascii="Courier New" w:cs="Courier New" w:eastAsia="Courier New" w:hAnsi="Courier New"/>
                <w:sz w:val="15"/>
                <w:szCs w:val="15"/>
                <w:color w:val="auto"/>
              </w:rPr>
              <w:t>Liquidity and Capital Resources..............................................................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104</w:t>
            </w:r>
          </w:p>
        </w:tc>
      </w:tr>
      <w:tr>
        <w:trPr>
          <w:trHeight w:val="168"/>
        </w:trPr>
        <w:tc>
          <w:tcPr>
            <w:tcW w:w="972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r>
      <w:tr>
        <w:trPr>
          <w:trHeight w:val="336"/>
        </w:trPr>
        <w:tc>
          <w:tcPr>
            <w:tcW w:w="9720" w:type="dxa"/>
            <w:vAlign w:val="bottom"/>
          </w:tcPr>
          <w:p>
            <w:pPr>
              <w:jc w:val="right"/>
              <w:spacing w:after="0"/>
              <w:rPr>
                <w:sz w:val="20"/>
                <w:szCs w:val="20"/>
                <w:color w:val="auto"/>
              </w:rPr>
            </w:pPr>
            <w:r>
              <w:rPr>
                <w:rFonts w:ascii="Courier New" w:cs="Courier New" w:eastAsia="Courier New" w:hAnsi="Courier New"/>
                <w:sz w:val="15"/>
                <w:szCs w:val="15"/>
                <w:color w:val="auto"/>
              </w:rPr>
              <w:t>Plan for the Disposal of Certain Fixed Assets................................................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109</w:t>
            </w:r>
          </w:p>
        </w:tc>
      </w:tr>
      <w:tr>
        <w:trPr>
          <w:trHeight w:val="168"/>
        </w:trPr>
        <w:tc>
          <w:tcPr>
            <w:tcW w:w="972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r>
      <w:tr>
        <w:trPr>
          <w:trHeight w:val="336"/>
        </w:trPr>
        <w:tc>
          <w:tcPr>
            <w:tcW w:w="9720" w:type="dxa"/>
            <w:vAlign w:val="bottom"/>
          </w:tcPr>
          <w:p>
            <w:pPr>
              <w:jc w:val="right"/>
              <w:spacing w:after="0"/>
              <w:rPr>
                <w:sz w:val="20"/>
                <w:szCs w:val="20"/>
                <w:color w:val="auto"/>
              </w:rPr>
            </w:pPr>
            <w:r>
              <w:rPr>
                <w:rFonts w:ascii="Courier New" w:cs="Courier New" w:eastAsia="Courier New" w:hAnsi="Courier New"/>
                <w:sz w:val="15"/>
                <w:szCs w:val="15"/>
                <w:color w:val="auto"/>
              </w:rPr>
              <w:t>U.S. GAAP Reconciliation.....................................................................</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109</w:t>
            </w:r>
          </w:p>
        </w:tc>
      </w:tr>
      <w:tr>
        <w:trPr>
          <w:trHeight w:val="168"/>
        </w:trPr>
        <w:tc>
          <w:tcPr>
            <w:tcW w:w="972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r>
      <w:tr>
        <w:trPr>
          <w:trHeight w:val="336"/>
        </w:trPr>
        <w:tc>
          <w:tcPr>
            <w:tcW w:w="9720" w:type="dxa"/>
            <w:vAlign w:val="bottom"/>
          </w:tcPr>
          <w:p>
            <w:pPr>
              <w:jc w:val="right"/>
              <w:spacing w:after="0"/>
              <w:rPr>
                <w:sz w:val="20"/>
                <w:szCs w:val="20"/>
                <w:color w:val="auto"/>
              </w:rPr>
            </w:pPr>
            <w:r>
              <w:rPr>
                <w:rFonts w:ascii="Courier New" w:cs="Courier New" w:eastAsia="Courier New" w:hAnsi="Courier New"/>
                <w:sz w:val="15"/>
                <w:szCs w:val="15"/>
                <w:color w:val="auto"/>
                <w:w w:val="97"/>
              </w:rPr>
              <w:t>ITEM 6.  DIRECTORS, SENIOR MANAGEMENT AND EMPLOYEES............................................................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111</w:t>
            </w:r>
          </w:p>
        </w:tc>
      </w:tr>
      <w:tr>
        <w:trPr>
          <w:trHeight w:val="168"/>
        </w:trPr>
        <w:tc>
          <w:tcPr>
            <w:tcW w:w="97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60" w:type="dxa"/>
            <w:vAlign w:val="bottom"/>
          </w:tcPr>
          <w:p>
            <w:pPr>
              <w:spacing w:after="0"/>
              <w:rPr>
                <w:sz w:val="14"/>
                <w:szCs w:val="14"/>
                <w:color w:val="auto"/>
              </w:rPr>
            </w:pPr>
          </w:p>
        </w:tc>
      </w:tr>
      <w:tr>
        <w:trPr>
          <w:trHeight w:val="336"/>
        </w:trPr>
        <w:tc>
          <w:tcPr>
            <w:tcW w:w="9720" w:type="dxa"/>
            <w:vAlign w:val="bottom"/>
          </w:tcPr>
          <w:p>
            <w:pPr>
              <w:jc w:val="right"/>
              <w:spacing w:after="0"/>
              <w:rPr>
                <w:sz w:val="20"/>
                <w:szCs w:val="20"/>
                <w:color w:val="auto"/>
              </w:rPr>
            </w:pPr>
            <w:r>
              <w:rPr>
                <w:rFonts w:ascii="Courier New" w:cs="Courier New" w:eastAsia="Courier New" w:hAnsi="Courier New"/>
                <w:sz w:val="15"/>
                <w:szCs w:val="15"/>
                <w:color w:val="auto"/>
              </w:rPr>
              <w:t>Directors....................................................................................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111</w:t>
            </w:r>
          </w:p>
        </w:tc>
      </w:tr>
      <w:tr>
        <w:trPr>
          <w:trHeight w:val="168"/>
        </w:trPr>
        <w:tc>
          <w:tcPr>
            <w:tcW w:w="972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r>
      <w:tr>
        <w:trPr>
          <w:trHeight w:val="336"/>
        </w:trPr>
        <w:tc>
          <w:tcPr>
            <w:tcW w:w="9720" w:type="dxa"/>
            <w:vAlign w:val="bottom"/>
          </w:tcPr>
          <w:p>
            <w:pPr>
              <w:jc w:val="right"/>
              <w:spacing w:after="0"/>
              <w:rPr>
                <w:sz w:val="20"/>
                <w:szCs w:val="20"/>
                <w:color w:val="auto"/>
              </w:rPr>
            </w:pPr>
            <w:r>
              <w:rPr>
                <w:rFonts w:ascii="Courier New" w:cs="Courier New" w:eastAsia="Courier New" w:hAnsi="Courier New"/>
                <w:sz w:val="15"/>
                <w:szCs w:val="15"/>
                <w:color w:val="auto"/>
              </w:rPr>
              <w:t>Examiner.....................................................................................</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117</w:t>
            </w:r>
          </w:p>
        </w:tc>
      </w:tr>
      <w:tr>
        <w:trPr>
          <w:trHeight w:val="168"/>
        </w:trPr>
        <w:tc>
          <w:tcPr>
            <w:tcW w:w="972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r>
      <w:tr>
        <w:trPr>
          <w:trHeight w:val="336"/>
        </w:trPr>
        <w:tc>
          <w:tcPr>
            <w:tcW w:w="9720" w:type="dxa"/>
            <w:vAlign w:val="bottom"/>
          </w:tcPr>
          <w:p>
            <w:pPr>
              <w:jc w:val="right"/>
              <w:spacing w:after="0"/>
              <w:rPr>
                <w:sz w:val="20"/>
                <w:szCs w:val="20"/>
                <w:color w:val="auto"/>
              </w:rPr>
            </w:pPr>
            <w:r>
              <w:rPr>
                <w:rFonts w:ascii="Courier New" w:cs="Courier New" w:eastAsia="Courier New" w:hAnsi="Courier New"/>
                <w:sz w:val="15"/>
                <w:szCs w:val="15"/>
                <w:color w:val="auto"/>
              </w:rPr>
              <w:t>Senior Management............................................................................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118</w:t>
            </w:r>
          </w:p>
        </w:tc>
      </w:tr>
      <w:tr>
        <w:trPr>
          <w:trHeight w:val="168"/>
        </w:trPr>
        <w:tc>
          <w:tcPr>
            <w:tcW w:w="972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r>
      <w:tr>
        <w:trPr>
          <w:trHeight w:val="336"/>
        </w:trPr>
        <w:tc>
          <w:tcPr>
            <w:tcW w:w="9720" w:type="dxa"/>
            <w:vAlign w:val="bottom"/>
          </w:tcPr>
          <w:p>
            <w:pPr>
              <w:jc w:val="right"/>
              <w:spacing w:after="0"/>
              <w:rPr>
                <w:sz w:val="20"/>
                <w:szCs w:val="20"/>
                <w:color w:val="auto"/>
              </w:rPr>
            </w:pPr>
            <w:r>
              <w:rPr>
                <w:rFonts w:ascii="Courier New" w:cs="Courier New" w:eastAsia="Courier New" w:hAnsi="Courier New"/>
                <w:sz w:val="15"/>
                <w:szCs w:val="15"/>
                <w:color w:val="auto"/>
              </w:rPr>
              <w:t>Executive Officers...........................................................................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118</w:t>
            </w:r>
          </w:p>
        </w:tc>
      </w:tr>
      <w:tr>
        <w:trPr>
          <w:trHeight w:val="168"/>
        </w:trPr>
        <w:tc>
          <w:tcPr>
            <w:tcW w:w="972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r>
      <w:tr>
        <w:trPr>
          <w:trHeight w:val="336"/>
        </w:trPr>
        <w:tc>
          <w:tcPr>
            <w:tcW w:w="9720" w:type="dxa"/>
            <w:vAlign w:val="bottom"/>
          </w:tcPr>
          <w:p>
            <w:pPr>
              <w:jc w:val="right"/>
              <w:spacing w:after="0"/>
              <w:rPr>
                <w:sz w:val="20"/>
                <w:szCs w:val="20"/>
                <w:color w:val="auto"/>
              </w:rPr>
            </w:pPr>
            <w:r>
              <w:rPr>
                <w:rFonts w:ascii="Courier New" w:cs="Courier New" w:eastAsia="Courier New" w:hAnsi="Courier New"/>
                <w:sz w:val="15"/>
                <w:szCs w:val="15"/>
                <w:color w:val="auto"/>
              </w:rPr>
              <w:t>Compensation of Directors and Senior Management..............................................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121</w:t>
            </w:r>
          </w:p>
        </w:tc>
      </w:tr>
      <w:tr>
        <w:trPr>
          <w:trHeight w:val="168"/>
        </w:trPr>
        <w:tc>
          <w:tcPr>
            <w:tcW w:w="972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r>
      <w:tr>
        <w:trPr>
          <w:trHeight w:val="336"/>
        </w:trPr>
        <w:tc>
          <w:tcPr>
            <w:tcW w:w="9720" w:type="dxa"/>
            <w:vAlign w:val="bottom"/>
          </w:tcPr>
          <w:p>
            <w:pPr>
              <w:jc w:val="right"/>
              <w:spacing w:after="0"/>
              <w:rPr>
                <w:sz w:val="20"/>
                <w:szCs w:val="20"/>
                <w:color w:val="auto"/>
              </w:rPr>
            </w:pPr>
            <w:r>
              <w:rPr>
                <w:rFonts w:ascii="Courier New" w:cs="Courier New" w:eastAsia="Courier New" w:hAnsi="Courier New"/>
                <w:sz w:val="15"/>
                <w:szCs w:val="15"/>
                <w:color w:val="auto"/>
              </w:rPr>
              <w:t>Executive Incentive Program..................................................................</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121</w:t>
            </w:r>
          </w:p>
        </w:tc>
      </w:tr>
      <w:tr>
        <w:trPr>
          <w:trHeight w:val="168"/>
        </w:trPr>
        <w:tc>
          <w:tcPr>
            <w:tcW w:w="972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r>
      <w:tr>
        <w:trPr>
          <w:trHeight w:val="336"/>
        </w:trPr>
        <w:tc>
          <w:tcPr>
            <w:tcW w:w="9720" w:type="dxa"/>
            <w:vAlign w:val="bottom"/>
          </w:tcPr>
          <w:p>
            <w:pPr>
              <w:jc w:val="right"/>
              <w:spacing w:after="0"/>
              <w:rPr>
                <w:sz w:val="20"/>
                <w:szCs w:val="20"/>
                <w:color w:val="auto"/>
              </w:rPr>
            </w:pPr>
            <w:r>
              <w:rPr>
                <w:rFonts w:ascii="Courier New" w:cs="Courier New" w:eastAsia="Courier New" w:hAnsi="Courier New"/>
                <w:sz w:val="15"/>
                <w:szCs w:val="15"/>
                <w:color w:val="auto"/>
              </w:rPr>
              <w:t>Stock Incentive Plan.........................................................................</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122</w:t>
            </w:r>
          </w:p>
        </w:tc>
      </w:tr>
      <w:tr>
        <w:trPr>
          <w:trHeight w:val="168"/>
        </w:trPr>
        <w:tc>
          <w:tcPr>
            <w:tcW w:w="972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r>
      <w:tr>
        <w:trPr>
          <w:trHeight w:val="336"/>
        </w:trPr>
        <w:tc>
          <w:tcPr>
            <w:tcW w:w="9720" w:type="dxa"/>
            <w:vAlign w:val="bottom"/>
          </w:tcPr>
          <w:p>
            <w:pPr>
              <w:jc w:val="right"/>
              <w:spacing w:after="0"/>
              <w:rPr>
                <w:sz w:val="20"/>
                <w:szCs w:val="20"/>
                <w:color w:val="auto"/>
              </w:rPr>
            </w:pPr>
            <w:r>
              <w:rPr>
                <w:rFonts w:ascii="Courier New" w:cs="Courier New" w:eastAsia="Courier New" w:hAnsi="Courier New"/>
                <w:sz w:val="15"/>
                <w:szCs w:val="15"/>
                <w:color w:val="auto"/>
              </w:rPr>
              <w:t>Share Ownership..............................................................................</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122</w:t>
            </w:r>
          </w:p>
        </w:tc>
      </w:tr>
      <w:tr>
        <w:trPr>
          <w:trHeight w:val="168"/>
        </w:trPr>
        <w:tc>
          <w:tcPr>
            <w:tcW w:w="972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r>
      <w:tr>
        <w:trPr>
          <w:trHeight w:val="336"/>
        </w:trPr>
        <w:tc>
          <w:tcPr>
            <w:tcW w:w="9720" w:type="dxa"/>
            <w:vAlign w:val="bottom"/>
          </w:tcPr>
          <w:p>
            <w:pPr>
              <w:jc w:val="right"/>
              <w:spacing w:after="0"/>
              <w:rPr>
                <w:sz w:val="20"/>
                <w:szCs w:val="20"/>
                <w:color w:val="auto"/>
              </w:rPr>
            </w:pPr>
            <w:r>
              <w:rPr>
                <w:rFonts w:ascii="Courier New" w:cs="Courier New" w:eastAsia="Courier New" w:hAnsi="Courier New"/>
                <w:sz w:val="15"/>
                <w:szCs w:val="15"/>
                <w:color w:val="auto"/>
              </w:rPr>
              <w:t>Board Practices..............................................................................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123</w:t>
            </w:r>
          </w:p>
        </w:tc>
      </w:tr>
      <w:tr>
        <w:trPr>
          <w:trHeight w:val="168"/>
        </w:trPr>
        <w:tc>
          <w:tcPr>
            <w:tcW w:w="972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r>
      <w:tr>
        <w:trPr>
          <w:trHeight w:val="336"/>
        </w:trPr>
        <w:tc>
          <w:tcPr>
            <w:tcW w:w="9720" w:type="dxa"/>
            <w:vAlign w:val="bottom"/>
          </w:tcPr>
          <w:p>
            <w:pPr>
              <w:jc w:val="right"/>
              <w:spacing w:after="0"/>
              <w:rPr>
                <w:sz w:val="20"/>
                <w:szCs w:val="20"/>
                <w:color w:val="auto"/>
              </w:rPr>
            </w:pPr>
            <w:r>
              <w:rPr>
                <w:rFonts w:ascii="Courier New" w:cs="Courier New" w:eastAsia="Courier New" w:hAnsi="Courier New"/>
                <w:sz w:val="15"/>
                <w:szCs w:val="15"/>
                <w:color w:val="auto"/>
              </w:rPr>
              <w:t>Employees....................................................................................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124</w:t>
            </w:r>
          </w:p>
        </w:tc>
      </w:tr>
      <w:tr>
        <w:trPr>
          <w:trHeight w:val="168"/>
        </w:trPr>
        <w:tc>
          <w:tcPr>
            <w:tcW w:w="972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r>
      <w:tr>
        <w:trPr>
          <w:trHeight w:val="336"/>
        </w:trPr>
        <w:tc>
          <w:tcPr>
            <w:tcW w:w="9720" w:type="dxa"/>
            <w:vAlign w:val="bottom"/>
          </w:tcPr>
          <w:p>
            <w:pPr>
              <w:jc w:val="right"/>
              <w:spacing w:after="0"/>
              <w:rPr>
                <w:sz w:val="20"/>
                <w:szCs w:val="20"/>
                <w:color w:val="auto"/>
              </w:rPr>
            </w:pPr>
            <w:r>
              <w:rPr>
                <w:rFonts w:ascii="Courier New" w:cs="Courier New" w:eastAsia="Courier New" w:hAnsi="Courier New"/>
                <w:sz w:val="15"/>
                <w:szCs w:val="15"/>
                <w:color w:val="auto"/>
              </w:rPr>
              <w:t>Insurance Policies...........................................................................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125</w:t>
            </w:r>
          </w:p>
        </w:tc>
      </w:tr>
      <w:tr>
        <w:trPr>
          <w:trHeight w:val="168"/>
        </w:trPr>
        <w:tc>
          <w:tcPr>
            <w:tcW w:w="972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r>
      <w:tr>
        <w:trPr>
          <w:trHeight w:val="336"/>
        </w:trPr>
        <w:tc>
          <w:tcPr>
            <w:tcW w:w="9720" w:type="dxa"/>
            <w:vAlign w:val="bottom"/>
          </w:tcPr>
          <w:p>
            <w:pPr>
              <w:jc w:val="right"/>
              <w:spacing w:after="0"/>
              <w:rPr>
                <w:sz w:val="20"/>
                <w:szCs w:val="20"/>
                <w:color w:val="auto"/>
              </w:rPr>
            </w:pPr>
            <w:r>
              <w:rPr>
                <w:rFonts w:ascii="Courier New" w:cs="Courier New" w:eastAsia="Courier New" w:hAnsi="Courier New"/>
                <w:sz w:val="15"/>
                <w:szCs w:val="15"/>
                <w:color w:val="auto"/>
                <w:w w:val="97"/>
              </w:rPr>
              <w:t>ITEM 7. MAJOR SHAREHOLDERS AND RELATED PARTY TRANSACTIONS......................................................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126</w:t>
            </w:r>
          </w:p>
        </w:tc>
      </w:tr>
      <w:tr>
        <w:trPr>
          <w:trHeight w:val="168"/>
        </w:trPr>
        <w:tc>
          <w:tcPr>
            <w:tcW w:w="97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60" w:type="dxa"/>
            <w:vAlign w:val="bottom"/>
          </w:tcPr>
          <w:p>
            <w:pPr>
              <w:spacing w:after="0"/>
              <w:rPr>
                <w:sz w:val="14"/>
                <w:szCs w:val="14"/>
                <w:color w:val="auto"/>
              </w:rPr>
            </w:pPr>
          </w:p>
        </w:tc>
      </w:tr>
      <w:tr>
        <w:trPr>
          <w:trHeight w:val="336"/>
        </w:trPr>
        <w:tc>
          <w:tcPr>
            <w:tcW w:w="9720" w:type="dxa"/>
            <w:vAlign w:val="bottom"/>
          </w:tcPr>
          <w:p>
            <w:pPr>
              <w:jc w:val="right"/>
              <w:spacing w:after="0"/>
              <w:rPr>
                <w:sz w:val="20"/>
                <w:szCs w:val="20"/>
                <w:color w:val="auto"/>
              </w:rPr>
            </w:pPr>
            <w:r>
              <w:rPr>
                <w:rFonts w:ascii="Courier New" w:cs="Courier New" w:eastAsia="Courier New" w:hAnsi="Courier New"/>
                <w:sz w:val="15"/>
                <w:szCs w:val="15"/>
                <w:color w:val="auto"/>
              </w:rPr>
              <w:t>Major Shareholders...........................................................................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126</w:t>
            </w:r>
          </w:p>
        </w:tc>
      </w:tr>
      <w:tr>
        <w:trPr>
          <w:trHeight w:val="168"/>
        </w:trPr>
        <w:tc>
          <w:tcPr>
            <w:tcW w:w="972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r>
      <w:tr>
        <w:trPr>
          <w:trHeight w:val="336"/>
        </w:trPr>
        <w:tc>
          <w:tcPr>
            <w:tcW w:w="9720" w:type="dxa"/>
            <w:vAlign w:val="bottom"/>
          </w:tcPr>
          <w:p>
            <w:pPr>
              <w:jc w:val="right"/>
              <w:spacing w:after="0"/>
              <w:rPr>
                <w:sz w:val="20"/>
                <w:szCs w:val="20"/>
                <w:color w:val="auto"/>
              </w:rPr>
            </w:pPr>
            <w:r>
              <w:rPr>
                <w:rFonts w:ascii="Courier New" w:cs="Courier New" w:eastAsia="Courier New" w:hAnsi="Courier New"/>
                <w:sz w:val="15"/>
                <w:szCs w:val="15"/>
                <w:color w:val="auto"/>
              </w:rPr>
              <w:t>Related Party Transactions...................................................................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126</w:t>
            </w:r>
          </w:p>
        </w:tc>
      </w:tr>
      <w:tr>
        <w:trPr>
          <w:trHeight w:val="168"/>
        </w:trPr>
        <w:tc>
          <w:tcPr>
            <w:tcW w:w="972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r>
      <w:tr>
        <w:trPr>
          <w:trHeight w:val="336"/>
        </w:trPr>
        <w:tc>
          <w:tcPr>
            <w:tcW w:w="9720" w:type="dxa"/>
            <w:vAlign w:val="bottom"/>
          </w:tcPr>
          <w:p>
            <w:pPr>
              <w:jc w:val="right"/>
              <w:spacing w:after="0"/>
              <w:rPr>
                <w:sz w:val="20"/>
                <w:szCs w:val="20"/>
                <w:color w:val="auto"/>
              </w:rPr>
            </w:pPr>
            <w:r>
              <w:rPr>
                <w:rFonts w:ascii="Courier New" w:cs="Courier New" w:eastAsia="Courier New" w:hAnsi="Courier New"/>
                <w:sz w:val="15"/>
                <w:szCs w:val="15"/>
                <w:color w:val="auto"/>
                <w:w w:val="97"/>
              </w:rPr>
              <w:t>ITEM 8. FINANCIAL INFORMATION..................................................................................</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129</w:t>
            </w:r>
          </w:p>
        </w:tc>
      </w:tr>
      <w:tr>
        <w:trPr>
          <w:trHeight w:val="168"/>
        </w:trPr>
        <w:tc>
          <w:tcPr>
            <w:tcW w:w="97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60" w:type="dxa"/>
            <w:vAlign w:val="bottom"/>
          </w:tcPr>
          <w:p>
            <w:pPr>
              <w:spacing w:after="0"/>
              <w:rPr>
                <w:sz w:val="14"/>
                <w:szCs w:val="14"/>
                <w:color w:val="auto"/>
              </w:rPr>
            </w:pPr>
          </w:p>
        </w:tc>
      </w:tr>
      <w:tr>
        <w:trPr>
          <w:trHeight w:val="336"/>
        </w:trPr>
        <w:tc>
          <w:tcPr>
            <w:tcW w:w="9720" w:type="dxa"/>
            <w:vAlign w:val="bottom"/>
          </w:tcPr>
          <w:p>
            <w:pPr>
              <w:jc w:val="right"/>
              <w:spacing w:after="0"/>
              <w:rPr>
                <w:sz w:val="20"/>
                <w:szCs w:val="20"/>
                <w:color w:val="auto"/>
              </w:rPr>
            </w:pPr>
            <w:r>
              <w:rPr>
                <w:rFonts w:ascii="Courier New" w:cs="Courier New" w:eastAsia="Courier New" w:hAnsi="Courier New"/>
                <w:sz w:val="15"/>
                <w:szCs w:val="15"/>
                <w:color w:val="auto"/>
              </w:rPr>
              <w:t>Consolidated Financial Statements............................................................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129</w:t>
            </w:r>
          </w:p>
        </w:tc>
      </w:tr>
      <w:tr>
        <w:trPr>
          <w:trHeight w:val="168"/>
        </w:trPr>
        <w:tc>
          <w:tcPr>
            <w:tcW w:w="972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r>
      <w:tr>
        <w:trPr>
          <w:trHeight w:val="336"/>
        </w:trPr>
        <w:tc>
          <w:tcPr>
            <w:tcW w:w="9720" w:type="dxa"/>
            <w:vAlign w:val="bottom"/>
          </w:tcPr>
          <w:p>
            <w:pPr>
              <w:jc w:val="right"/>
              <w:spacing w:after="0"/>
              <w:rPr>
                <w:sz w:val="20"/>
                <w:szCs w:val="20"/>
                <w:color w:val="auto"/>
              </w:rPr>
            </w:pPr>
            <w:r>
              <w:rPr>
                <w:rFonts w:ascii="Courier New" w:cs="Courier New" w:eastAsia="Courier New" w:hAnsi="Courier New"/>
                <w:sz w:val="15"/>
                <w:szCs w:val="15"/>
                <w:color w:val="auto"/>
              </w:rPr>
              <w:t>Dividend Policy..............................................................................</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129</w:t>
            </w:r>
          </w:p>
        </w:tc>
      </w:tr>
      <w:tr>
        <w:trPr>
          <w:trHeight w:val="168"/>
        </w:trPr>
        <w:tc>
          <w:tcPr>
            <w:tcW w:w="972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r>
      <w:tr>
        <w:trPr>
          <w:trHeight w:val="336"/>
        </w:trPr>
        <w:tc>
          <w:tcPr>
            <w:tcW w:w="9720" w:type="dxa"/>
            <w:vAlign w:val="bottom"/>
          </w:tcPr>
          <w:p>
            <w:pPr>
              <w:jc w:val="right"/>
              <w:spacing w:after="0"/>
              <w:rPr>
                <w:sz w:val="20"/>
                <w:szCs w:val="20"/>
                <w:color w:val="auto"/>
              </w:rPr>
            </w:pPr>
            <w:r>
              <w:rPr>
                <w:rFonts w:ascii="Courier New" w:cs="Courier New" w:eastAsia="Courier New" w:hAnsi="Courier New"/>
                <w:sz w:val="15"/>
                <w:szCs w:val="15"/>
                <w:color w:val="auto"/>
              </w:rPr>
              <w:t>Legal Proceedings............................................................................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129</w:t>
            </w:r>
          </w:p>
        </w:tc>
      </w:tr>
      <w:tr>
        <w:trPr>
          <w:trHeight w:val="168"/>
        </w:trPr>
        <w:tc>
          <w:tcPr>
            <w:tcW w:w="972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r>
      <w:tr>
        <w:trPr>
          <w:trHeight w:val="336"/>
        </w:trPr>
        <w:tc>
          <w:tcPr>
            <w:tcW w:w="9720" w:type="dxa"/>
            <w:vAlign w:val="bottom"/>
          </w:tcPr>
          <w:p>
            <w:pPr>
              <w:jc w:val="right"/>
              <w:spacing w:after="0"/>
              <w:rPr>
                <w:sz w:val="20"/>
                <w:szCs w:val="20"/>
                <w:color w:val="auto"/>
              </w:rPr>
            </w:pPr>
            <w:r>
              <w:rPr>
                <w:rFonts w:ascii="Courier New" w:cs="Courier New" w:eastAsia="Courier New" w:hAnsi="Courier New"/>
                <w:sz w:val="15"/>
                <w:szCs w:val="15"/>
                <w:color w:val="auto"/>
                <w:w w:val="97"/>
              </w:rPr>
              <w:t>ITEM 9. THE OFFER AND LISTING..................................................................................</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132</w:t>
            </w:r>
          </w:p>
        </w:tc>
      </w:tr>
      <w:tr>
        <w:trPr>
          <w:trHeight w:val="168"/>
        </w:trPr>
        <w:tc>
          <w:tcPr>
            <w:tcW w:w="97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60" w:type="dxa"/>
            <w:vAlign w:val="bottom"/>
          </w:tcPr>
          <w:p>
            <w:pPr>
              <w:spacing w:after="0"/>
              <w:rPr>
                <w:sz w:val="14"/>
                <w:szCs w:val="14"/>
                <w:color w:val="auto"/>
              </w:rPr>
            </w:pPr>
          </w:p>
        </w:tc>
      </w:tr>
      <w:tr>
        <w:trPr>
          <w:trHeight w:val="336"/>
        </w:trPr>
        <w:tc>
          <w:tcPr>
            <w:tcW w:w="9720" w:type="dxa"/>
            <w:vAlign w:val="bottom"/>
          </w:tcPr>
          <w:p>
            <w:pPr>
              <w:jc w:val="right"/>
              <w:spacing w:after="0"/>
              <w:rPr>
                <w:sz w:val="20"/>
                <w:szCs w:val="20"/>
                <w:color w:val="auto"/>
              </w:rPr>
            </w:pPr>
            <w:r>
              <w:rPr>
                <w:rFonts w:ascii="Courier New" w:cs="Courier New" w:eastAsia="Courier New" w:hAnsi="Courier New"/>
                <w:sz w:val="15"/>
                <w:szCs w:val="15"/>
                <w:color w:val="auto"/>
              </w:rPr>
              <w:t>Description of Securities....................................................................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132</w:t>
            </w:r>
          </w:p>
        </w:tc>
      </w:tr>
      <w:tr>
        <w:trPr>
          <w:trHeight w:val="168"/>
        </w:trPr>
        <w:tc>
          <w:tcPr>
            <w:tcW w:w="972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r>
      <w:tr>
        <w:trPr>
          <w:trHeight w:val="336"/>
        </w:trPr>
        <w:tc>
          <w:tcPr>
            <w:tcW w:w="9720" w:type="dxa"/>
            <w:vAlign w:val="bottom"/>
          </w:tcPr>
          <w:p>
            <w:pPr>
              <w:jc w:val="right"/>
              <w:spacing w:after="0"/>
              <w:rPr>
                <w:sz w:val="20"/>
                <w:szCs w:val="20"/>
                <w:color w:val="auto"/>
              </w:rPr>
            </w:pPr>
            <w:r>
              <w:rPr>
                <w:rFonts w:ascii="Courier New" w:cs="Courier New" w:eastAsia="Courier New" w:hAnsi="Courier New"/>
                <w:sz w:val="15"/>
                <w:szCs w:val="15"/>
                <w:color w:val="auto"/>
              </w:rPr>
              <w:t>Trading Markets..............................................................................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132</w:t>
            </w:r>
          </w:p>
        </w:tc>
      </w:tr>
      <w:tr>
        <w:trPr>
          <w:trHeight w:val="168"/>
        </w:trPr>
        <w:tc>
          <w:tcPr>
            <w:tcW w:w="972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r>
      <w:tr>
        <w:trPr>
          <w:trHeight w:val="336"/>
        </w:trPr>
        <w:tc>
          <w:tcPr>
            <w:tcW w:w="9720" w:type="dxa"/>
            <w:vAlign w:val="bottom"/>
          </w:tcPr>
          <w:p>
            <w:pPr>
              <w:jc w:val="right"/>
              <w:spacing w:after="0"/>
              <w:rPr>
                <w:sz w:val="20"/>
                <w:szCs w:val="20"/>
                <w:color w:val="auto"/>
              </w:rPr>
            </w:pPr>
            <w:r>
              <w:rPr>
                <w:rFonts w:ascii="Courier New" w:cs="Courier New" w:eastAsia="Courier New" w:hAnsi="Courier New"/>
                <w:sz w:val="15"/>
                <w:szCs w:val="15"/>
                <w:color w:val="auto"/>
              </w:rPr>
              <w:t>Trading on the Mexican Stock Exchange........................................................</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132</w:t>
            </w:r>
          </w:p>
        </w:tc>
      </w:tr>
      <w:tr>
        <w:trPr>
          <w:trHeight w:val="168"/>
        </w:trPr>
        <w:tc>
          <w:tcPr>
            <w:tcW w:w="972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r>
      <w:tr>
        <w:trPr>
          <w:trHeight w:val="336"/>
        </w:trPr>
        <w:tc>
          <w:tcPr>
            <w:tcW w:w="9720" w:type="dxa"/>
            <w:vAlign w:val="bottom"/>
          </w:tcPr>
          <w:p>
            <w:pPr>
              <w:jc w:val="right"/>
              <w:spacing w:after="0"/>
              <w:rPr>
                <w:sz w:val="20"/>
                <w:szCs w:val="20"/>
                <w:color w:val="auto"/>
              </w:rPr>
            </w:pPr>
            <w:r>
              <w:rPr>
                <w:rFonts w:ascii="Courier New" w:cs="Courier New" w:eastAsia="Courier New" w:hAnsi="Courier New"/>
                <w:sz w:val="15"/>
                <w:szCs w:val="15"/>
                <w:color w:val="auto"/>
              </w:rPr>
              <w:t>Price History................................................................................</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133</w:t>
            </w:r>
          </w:p>
        </w:tc>
      </w:tr>
      <w:tr>
        <w:trPr>
          <w:trHeight w:val="168"/>
        </w:trPr>
        <w:tc>
          <w:tcPr>
            <w:tcW w:w="972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r>
      <w:tr>
        <w:trPr>
          <w:trHeight w:val="336"/>
        </w:trPr>
        <w:tc>
          <w:tcPr>
            <w:tcW w:w="9720" w:type="dxa"/>
            <w:vAlign w:val="bottom"/>
          </w:tcPr>
          <w:p>
            <w:pPr>
              <w:jc w:val="right"/>
              <w:spacing w:after="0"/>
              <w:rPr>
                <w:sz w:val="20"/>
                <w:szCs w:val="20"/>
                <w:color w:val="auto"/>
              </w:rPr>
            </w:pPr>
            <w:r>
              <w:rPr>
                <w:rFonts w:ascii="Courier New" w:cs="Courier New" w:eastAsia="Courier New" w:hAnsi="Courier New"/>
                <w:sz w:val="15"/>
                <w:szCs w:val="15"/>
                <w:color w:val="auto"/>
                <w:w w:val="97"/>
              </w:rPr>
              <w:t>ITEM 10. ADDITIONAL INFORMATION................................................................................</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137</w:t>
            </w:r>
          </w:p>
        </w:tc>
      </w:tr>
      <w:tr>
        <w:trPr>
          <w:trHeight w:val="168"/>
        </w:trPr>
        <w:tc>
          <w:tcPr>
            <w:tcW w:w="97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60" w:type="dxa"/>
            <w:vAlign w:val="bottom"/>
          </w:tcPr>
          <w:p>
            <w:pPr>
              <w:spacing w:after="0"/>
              <w:rPr>
                <w:sz w:val="14"/>
                <w:szCs w:val="14"/>
                <w:color w:val="auto"/>
              </w:rPr>
            </w:pPr>
          </w:p>
        </w:tc>
      </w:tr>
      <w:tr>
        <w:trPr>
          <w:trHeight w:val="336"/>
        </w:trPr>
        <w:tc>
          <w:tcPr>
            <w:tcW w:w="9720" w:type="dxa"/>
            <w:vAlign w:val="bottom"/>
          </w:tcPr>
          <w:p>
            <w:pPr>
              <w:jc w:val="right"/>
              <w:spacing w:after="0"/>
              <w:rPr>
                <w:sz w:val="20"/>
                <w:szCs w:val="20"/>
                <w:color w:val="auto"/>
              </w:rPr>
            </w:pPr>
            <w:r>
              <w:rPr>
                <w:rFonts w:ascii="Courier New" w:cs="Courier New" w:eastAsia="Courier New" w:hAnsi="Courier New"/>
                <w:sz w:val="15"/>
                <w:szCs w:val="15"/>
                <w:color w:val="auto"/>
              </w:rPr>
              <w:t>Bylaws.......................................................................................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137</w:t>
            </w:r>
          </w:p>
        </w:tc>
      </w:tr>
    </w:tbl>
    <w:p>
      <w:pPr>
        <w:sectPr>
          <w:pgSz w:w="11900" w:h="16838" w:orient="portrait"/>
          <w:cols w:equalWidth="0" w:num="1">
            <w:col w:w="10239"/>
          </w:cols>
          <w:pgMar w:left="220" w:top="1290" w:right="1440" w:bottom="0" w:gutter="0" w:footer="0" w:header="0"/>
        </w:sectPr>
      </w:pPr>
    </w:p>
    <w:bookmarkStart w:id="3" w:name="page4"/>
    <w:bookmarkEnd w:id="3"/>
    <w:p>
      <w:pPr>
        <w:spacing w:after="0" w:line="1"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8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r>
      <w:tr>
        <w:trPr>
          <w:trHeight w:val="336"/>
        </w:trPr>
        <w:tc>
          <w:tcPr>
            <w:tcW w:w="8140" w:type="dxa"/>
            <w:vAlign w:val="bottom"/>
          </w:tcPr>
          <w:p>
            <w:pPr>
              <w:spacing w:after="0"/>
              <w:rPr>
                <w:sz w:val="20"/>
                <w:szCs w:val="20"/>
                <w:color w:val="auto"/>
              </w:rPr>
            </w:pPr>
            <w:r>
              <w:rPr>
                <w:rFonts w:ascii="Courier New" w:cs="Courier New" w:eastAsia="Courier New" w:hAnsi="Courier New"/>
                <w:sz w:val="15"/>
                <w:szCs w:val="15"/>
                <w:color w:val="auto"/>
                <w:w w:val="97"/>
              </w:rPr>
              <w:t>Organization and Register....................................................................</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137</w:t>
            </w:r>
          </w:p>
        </w:tc>
      </w:tr>
      <w:tr>
        <w:trPr>
          <w:trHeight w:val="168"/>
        </w:trPr>
        <w:tc>
          <w:tcPr>
            <w:tcW w:w="8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r>
      <w:tr>
        <w:trPr>
          <w:trHeight w:val="336"/>
        </w:trPr>
        <w:tc>
          <w:tcPr>
            <w:tcW w:w="8140" w:type="dxa"/>
            <w:vAlign w:val="bottom"/>
          </w:tcPr>
          <w:p>
            <w:pPr>
              <w:spacing w:after="0"/>
              <w:rPr>
                <w:sz w:val="20"/>
                <w:szCs w:val="20"/>
                <w:color w:val="auto"/>
              </w:rPr>
            </w:pPr>
            <w:r>
              <w:rPr>
                <w:rFonts w:ascii="Courier New" w:cs="Courier New" w:eastAsia="Courier New" w:hAnsi="Courier New"/>
                <w:sz w:val="15"/>
                <w:szCs w:val="15"/>
                <w:color w:val="auto"/>
                <w:w w:val="97"/>
              </w:rPr>
              <w:t>Voting Rights and Certain Minority Rights....................................................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137</w:t>
            </w:r>
          </w:p>
        </w:tc>
      </w:tr>
      <w:tr>
        <w:trPr>
          <w:trHeight w:val="168"/>
        </w:trPr>
        <w:tc>
          <w:tcPr>
            <w:tcW w:w="8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r>
      <w:tr>
        <w:trPr>
          <w:trHeight w:val="336"/>
        </w:trPr>
        <w:tc>
          <w:tcPr>
            <w:tcW w:w="8140" w:type="dxa"/>
            <w:vAlign w:val="bottom"/>
          </w:tcPr>
          <w:p>
            <w:pPr>
              <w:spacing w:after="0"/>
              <w:rPr>
                <w:sz w:val="20"/>
                <w:szCs w:val="20"/>
                <w:color w:val="auto"/>
              </w:rPr>
            </w:pPr>
            <w:r>
              <w:rPr>
                <w:rFonts w:ascii="Courier New" w:cs="Courier New" w:eastAsia="Courier New" w:hAnsi="Courier New"/>
                <w:sz w:val="15"/>
                <w:szCs w:val="15"/>
                <w:color w:val="auto"/>
                <w:w w:val="97"/>
              </w:rPr>
              <w:t>Shareholder Meetings.........................................................................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137</w:t>
            </w:r>
          </w:p>
        </w:tc>
      </w:tr>
      <w:tr>
        <w:trPr>
          <w:trHeight w:val="168"/>
        </w:trPr>
        <w:tc>
          <w:tcPr>
            <w:tcW w:w="8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r>
      <w:tr>
        <w:trPr>
          <w:trHeight w:val="336"/>
        </w:trPr>
        <w:tc>
          <w:tcPr>
            <w:tcW w:w="8140" w:type="dxa"/>
            <w:vAlign w:val="bottom"/>
          </w:tcPr>
          <w:p>
            <w:pPr>
              <w:spacing w:after="0"/>
              <w:rPr>
                <w:sz w:val="20"/>
                <w:szCs w:val="20"/>
                <w:color w:val="auto"/>
              </w:rPr>
            </w:pPr>
            <w:r>
              <w:rPr>
                <w:rFonts w:ascii="Courier New" w:cs="Courier New" w:eastAsia="Courier New" w:hAnsi="Courier New"/>
                <w:sz w:val="15"/>
                <w:szCs w:val="15"/>
                <w:color w:val="auto"/>
                <w:w w:val="97"/>
              </w:rPr>
              <w:t>Dividend Rights..............................................................................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138</w:t>
            </w:r>
          </w:p>
        </w:tc>
      </w:tr>
      <w:tr>
        <w:trPr>
          <w:trHeight w:val="168"/>
        </w:trPr>
        <w:tc>
          <w:tcPr>
            <w:tcW w:w="8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r>
    </w:tbl>
    <w:p>
      <w:pPr>
        <w:sectPr>
          <w:pgSz w:w="11900" w:h="16838" w:orient="portrait"/>
          <w:cols w:equalWidth="0" w:num="1">
            <w:col w:w="9019"/>
          </w:cols>
          <w:pgMar w:left="1440" w:top="135" w:right="1440"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720" w:type="dxa"/>
            <w:vAlign w:val="bottom"/>
          </w:tcPr>
          <w:p>
            <w:pPr>
              <w:jc w:val="right"/>
              <w:spacing w:after="0"/>
              <w:rPr>
                <w:sz w:val="20"/>
                <w:szCs w:val="20"/>
                <w:color w:val="auto"/>
              </w:rPr>
            </w:pPr>
            <w:r>
              <w:rPr>
                <w:rFonts w:ascii="Courier New" w:cs="Courier New" w:eastAsia="Courier New" w:hAnsi="Courier New"/>
                <w:sz w:val="15"/>
                <w:szCs w:val="15"/>
                <w:color w:val="auto"/>
              </w:rPr>
              <w:t>Change in Capital and Withdrawal Rights......................................................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139</w:t>
            </w:r>
          </w:p>
        </w:tc>
      </w:tr>
      <w:tr>
        <w:trPr>
          <w:trHeight w:val="168"/>
        </w:trPr>
        <w:tc>
          <w:tcPr>
            <w:tcW w:w="972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r>
      <w:tr>
        <w:trPr>
          <w:trHeight w:val="336"/>
        </w:trPr>
        <w:tc>
          <w:tcPr>
            <w:tcW w:w="9720" w:type="dxa"/>
            <w:vAlign w:val="bottom"/>
          </w:tcPr>
          <w:p>
            <w:pPr>
              <w:jc w:val="right"/>
              <w:spacing w:after="0"/>
              <w:rPr>
                <w:sz w:val="20"/>
                <w:szCs w:val="20"/>
                <w:color w:val="auto"/>
              </w:rPr>
            </w:pPr>
            <w:r>
              <w:rPr>
                <w:rFonts w:ascii="Courier New" w:cs="Courier New" w:eastAsia="Courier New" w:hAnsi="Courier New"/>
                <w:sz w:val="15"/>
                <w:szCs w:val="15"/>
                <w:color w:val="auto"/>
              </w:rPr>
              <w:t>Preemptive Rights............................................................................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139</w:t>
            </w:r>
          </w:p>
        </w:tc>
      </w:tr>
      <w:tr>
        <w:trPr>
          <w:trHeight w:val="168"/>
        </w:trPr>
        <w:tc>
          <w:tcPr>
            <w:tcW w:w="972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r>
      <w:tr>
        <w:trPr>
          <w:trHeight w:val="336"/>
        </w:trPr>
        <w:tc>
          <w:tcPr>
            <w:tcW w:w="9720" w:type="dxa"/>
            <w:vAlign w:val="bottom"/>
          </w:tcPr>
          <w:p>
            <w:pPr>
              <w:jc w:val="right"/>
              <w:spacing w:after="0"/>
              <w:rPr>
                <w:sz w:val="20"/>
                <w:szCs w:val="20"/>
                <w:color w:val="auto"/>
              </w:rPr>
            </w:pPr>
            <w:r>
              <w:rPr>
                <w:rFonts w:ascii="Courier New" w:cs="Courier New" w:eastAsia="Courier New" w:hAnsi="Courier New"/>
                <w:sz w:val="15"/>
                <w:szCs w:val="15"/>
                <w:color w:val="auto"/>
              </w:rPr>
              <w:t>Limitations on Share Ownership...............................................................</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140</w:t>
            </w:r>
          </w:p>
        </w:tc>
      </w:tr>
      <w:tr>
        <w:trPr>
          <w:trHeight w:val="168"/>
        </w:trPr>
        <w:tc>
          <w:tcPr>
            <w:tcW w:w="972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r>
      <w:tr>
        <w:trPr>
          <w:trHeight w:val="336"/>
        </w:trPr>
        <w:tc>
          <w:tcPr>
            <w:tcW w:w="9720" w:type="dxa"/>
            <w:vAlign w:val="bottom"/>
          </w:tcPr>
          <w:p>
            <w:pPr>
              <w:jc w:val="right"/>
              <w:spacing w:after="0"/>
              <w:rPr>
                <w:sz w:val="20"/>
                <w:szCs w:val="20"/>
                <w:color w:val="auto"/>
              </w:rPr>
            </w:pPr>
            <w:r>
              <w:rPr>
                <w:rFonts w:ascii="Courier New" w:cs="Courier New" w:eastAsia="Courier New" w:hAnsi="Courier New"/>
                <w:sz w:val="15"/>
                <w:szCs w:val="15"/>
                <w:color w:val="auto"/>
              </w:rPr>
              <w:t>Other Provisions.............................................................................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140</w:t>
            </w:r>
          </w:p>
        </w:tc>
      </w:tr>
      <w:tr>
        <w:trPr>
          <w:trHeight w:val="168"/>
        </w:trPr>
        <w:tc>
          <w:tcPr>
            <w:tcW w:w="972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r>
      <w:tr>
        <w:trPr>
          <w:trHeight w:val="336"/>
        </w:trPr>
        <w:tc>
          <w:tcPr>
            <w:tcW w:w="9720" w:type="dxa"/>
            <w:vAlign w:val="bottom"/>
          </w:tcPr>
          <w:p>
            <w:pPr>
              <w:jc w:val="right"/>
              <w:spacing w:after="0"/>
              <w:rPr>
                <w:sz w:val="20"/>
                <w:szCs w:val="20"/>
                <w:color w:val="auto"/>
              </w:rPr>
            </w:pPr>
            <w:r>
              <w:rPr>
                <w:rFonts w:ascii="Courier New" w:cs="Courier New" w:eastAsia="Courier New" w:hAnsi="Courier New"/>
                <w:sz w:val="15"/>
                <w:szCs w:val="15"/>
                <w:color w:val="auto"/>
              </w:rPr>
              <w:t>Taxation.....................................................................................</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141</w:t>
            </w:r>
          </w:p>
        </w:tc>
      </w:tr>
      <w:tr>
        <w:trPr>
          <w:trHeight w:val="168"/>
        </w:trPr>
        <w:tc>
          <w:tcPr>
            <w:tcW w:w="972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r>
      <w:tr>
        <w:trPr>
          <w:trHeight w:val="336"/>
        </w:trPr>
        <w:tc>
          <w:tcPr>
            <w:tcW w:w="9720" w:type="dxa"/>
            <w:vAlign w:val="bottom"/>
          </w:tcPr>
          <w:p>
            <w:pPr>
              <w:jc w:val="right"/>
              <w:spacing w:after="0"/>
              <w:rPr>
                <w:sz w:val="20"/>
                <w:szCs w:val="20"/>
                <w:color w:val="auto"/>
              </w:rPr>
            </w:pPr>
            <w:r>
              <w:rPr>
                <w:rFonts w:ascii="Courier New" w:cs="Courier New" w:eastAsia="Courier New" w:hAnsi="Courier New"/>
                <w:sz w:val="15"/>
                <w:szCs w:val="15"/>
                <w:color w:val="auto"/>
              </w:rPr>
              <w:t>Material Contracts...........................................................................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144</w:t>
            </w:r>
          </w:p>
        </w:tc>
      </w:tr>
      <w:tr>
        <w:trPr>
          <w:trHeight w:val="168"/>
        </w:trPr>
        <w:tc>
          <w:tcPr>
            <w:tcW w:w="972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r>
      <w:tr>
        <w:trPr>
          <w:trHeight w:val="336"/>
        </w:trPr>
        <w:tc>
          <w:tcPr>
            <w:tcW w:w="9720" w:type="dxa"/>
            <w:vAlign w:val="bottom"/>
          </w:tcPr>
          <w:p>
            <w:pPr>
              <w:jc w:val="right"/>
              <w:spacing w:after="0"/>
              <w:rPr>
                <w:sz w:val="20"/>
                <w:szCs w:val="20"/>
                <w:color w:val="auto"/>
              </w:rPr>
            </w:pPr>
            <w:r>
              <w:rPr>
                <w:rFonts w:ascii="Courier New" w:cs="Courier New" w:eastAsia="Courier New" w:hAnsi="Courier New"/>
                <w:sz w:val="15"/>
                <w:szCs w:val="15"/>
                <w:color w:val="auto"/>
              </w:rPr>
              <w:t>Documents on Display.........................................................................</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151</w:t>
            </w:r>
          </w:p>
        </w:tc>
      </w:tr>
      <w:tr>
        <w:trPr>
          <w:trHeight w:val="168"/>
        </w:trPr>
        <w:tc>
          <w:tcPr>
            <w:tcW w:w="972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r>
      <w:tr>
        <w:trPr>
          <w:trHeight w:val="336"/>
        </w:trPr>
        <w:tc>
          <w:tcPr>
            <w:tcW w:w="9720" w:type="dxa"/>
            <w:vAlign w:val="bottom"/>
          </w:tcPr>
          <w:p>
            <w:pPr>
              <w:jc w:val="right"/>
              <w:spacing w:after="0"/>
              <w:rPr>
                <w:sz w:val="20"/>
                <w:szCs w:val="20"/>
                <w:color w:val="auto"/>
              </w:rPr>
            </w:pPr>
            <w:r>
              <w:rPr>
                <w:rFonts w:ascii="Courier New" w:cs="Courier New" w:eastAsia="Courier New" w:hAnsi="Courier New"/>
                <w:sz w:val="15"/>
                <w:szCs w:val="15"/>
                <w:color w:val="auto"/>
                <w:w w:val="97"/>
              </w:rPr>
              <w:t>ITEM 11. QUANTITATIVE AND QUALITATIVE DISCLOSURES ABOUT MARKET RISK............................................</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152</w:t>
            </w:r>
          </w:p>
        </w:tc>
      </w:tr>
      <w:tr>
        <w:trPr>
          <w:trHeight w:val="168"/>
        </w:trPr>
        <w:tc>
          <w:tcPr>
            <w:tcW w:w="97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60" w:type="dxa"/>
            <w:vAlign w:val="bottom"/>
          </w:tcPr>
          <w:p>
            <w:pPr>
              <w:spacing w:after="0"/>
              <w:rPr>
                <w:sz w:val="14"/>
                <w:szCs w:val="14"/>
                <w:color w:val="auto"/>
              </w:rPr>
            </w:pPr>
          </w:p>
        </w:tc>
      </w:tr>
      <w:tr>
        <w:trPr>
          <w:trHeight w:val="336"/>
        </w:trPr>
        <w:tc>
          <w:tcPr>
            <w:tcW w:w="9720" w:type="dxa"/>
            <w:vAlign w:val="bottom"/>
          </w:tcPr>
          <w:p>
            <w:pPr>
              <w:jc w:val="right"/>
              <w:spacing w:after="0"/>
              <w:rPr>
                <w:sz w:val="20"/>
                <w:szCs w:val="20"/>
                <w:color w:val="auto"/>
              </w:rPr>
            </w:pPr>
            <w:r>
              <w:rPr>
                <w:rFonts w:ascii="Courier New" w:cs="Courier New" w:eastAsia="Courier New" w:hAnsi="Courier New"/>
                <w:sz w:val="15"/>
                <w:szCs w:val="15"/>
                <w:color w:val="auto"/>
              </w:rPr>
              <w:t>Interest Rate Risk...........................................................................</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152</w:t>
            </w:r>
          </w:p>
        </w:tc>
      </w:tr>
      <w:tr>
        <w:trPr>
          <w:trHeight w:val="168"/>
        </w:trPr>
        <w:tc>
          <w:tcPr>
            <w:tcW w:w="972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r>
      <w:tr>
        <w:trPr>
          <w:trHeight w:val="336"/>
        </w:trPr>
        <w:tc>
          <w:tcPr>
            <w:tcW w:w="9720" w:type="dxa"/>
            <w:vAlign w:val="bottom"/>
          </w:tcPr>
          <w:p>
            <w:pPr>
              <w:jc w:val="right"/>
              <w:spacing w:after="0"/>
              <w:rPr>
                <w:sz w:val="20"/>
                <w:szCs w:val="20"/>
                <w:color w:val="auto"/>
              </w:rPr>
            </w:pPr>
            <w:r>
              <w:rPr>
                <w:rFonts w:ascii="Courier New" w:cs="Courier New" w:eastAsia="Courier New" w:hAnsi="Courier New"/>
                <w:sz w:val="15"/>
                <w:szCs w:val="15"/>
                <w:color w:val="auto"/>
              </w:rPr>
              <w:t>Foreign Currency Exchange Rate Risk..........................................................</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153</w:t>
            </w:r>
          </w:p>
        </w:tc>
      </w:tr>
      <w:tr>
        <w:trPr>
          <w:trHeight w:val="168"/>
        </w:trPr>
        <w:tc>
          <w:tcPr>
            <w:tcW w:w="972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r>
      <w:tr>
        <w:trPr>
          <w:trHeight w:val="336"/>
        </w:trPr>
        <w:tc>
          <w:tcPr>
            <w:tcW w:w="9720" w:type="dxa"/>
            <w:vAlign w:val="bottom"/>
          </w:tcPr>
          <w:p>
            <w:pPr>
              <w:jc w:val="right"/>
              <w:spacing w:after="0"/>
              <w:rPr>
                <w:sz w:val="20"/>
                <w:szCs w:val="20"/>
                <w:color w:val="auto"/>
              </w:rPr>
            </w:pPr>
            <w:r>
              <w:rPr>
                <w:rFonts w:ascii="Courier New" w:cs="Courier New" w:eastAsia="Courier New" w:hAnsi="Courier New"/>
                <w:sz w:val="15"/>
                <w:szCs w:val="15"/>
                <w:color w:val="auto"/>
              </w:rPr>
              <w:t>Equity Risk..................................................................................</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154</w:t>
            </w:r>
          </w:p>
        </w:tc>
      </w:tr>
      <w:tr>
        <w:trPr>
          <w:trHeight w:val="168"/>
        </w:trPr>
        <w:tc>
          <w:tcPr>
            <w:tcW w:w="972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r>
      <w:tr>
        <w:trPr>
          <w:trHeight w:val="336"/>
        </w:trPr>
        <w:tc>
          <w:tcPr>
            <w:tcW w:w="9720" w:type="dxa"/>
            <w:vAlign w:val="bottom"/>
          </w:tcPr>
          <w:p>
            <w:pPr>
              <w:jc w:val="right"/>
              <w:spacing w:after="0"/>
              <w:rPr>
                <w:sz w:val="20"/>
                <w:szCs w:val="20"/>
                <w:color w:val="auto"/>
              </w:rPr>
            </w:pPr>
            <w:r>
              <w:rPr>
                <w:rFonts w:ascii="Courier New" w:cs="Courier New" w:eastAsia="Courier New" w:hAnsi="Courier New"/>
                <w:sz w:val="15"/>
                <w:szCs w:val="15"/>
                <w:color w:val="auto"/>
              </w:rPr>
              <w:t>Commodity Price Risk.........................................................................</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155</w:t>
            </w:r>
          </w:p>
        </w:tc>
      </w:tr>
      <w:tr>
        <w:trPr>
          <w:trHeight w:val="168"/>
        </w:trPr>
        <w:tc>
          <w:tcPr>
            <w:tcW w:w="972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r>
      <w:tr>
        <w:trPr>
          <w:trHeight w:val="336"/>
        </w:trPr>
        <w:tc>
          <w:tcPr>
            <w:tcW w:w="9720" w:type="dxa"/>
            <w:vAlign w:val="bottom"/>
          </w:tcPr>
          <w:p>
            <w:pPr>
              <w:jc w:val="right"/>
              <w:spacing w:after="0"/>
              <w:rPr>
                <w:sz w:val="20"/>
                <w:szCs w:val="20"/>
                <w:color w:val="auto"/>
              </w:rPr>
            </w:pPr>
            <w:r>
              <w:rPr>
                <w:rFonts w:ascii="Courier New" w:cs="Courier New" w:eastAsia="Courier New" w:hAnsi="Courier New"/>
                <w:sz w:val="15"/>
                <w:szCs w:val="15"/>
                <w:color w:val="auto"/>
                <w:w w:val="97"/>
              </w:rPr>
              <w:t>ITEMS 12-14. NOT APPLICABLE....................................................................................</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156</w:t>
            </w:r>
          </w:p>
        </w:tc>
      </w:tr>
      <w:tr>
        <w:trPr>
          <w:trHeight w:val="168"/>
        </w:trPr>
        <w:tc>
          <w:tcPr>
            <w:tcW w:w="97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60" w:type="dxa"/>
            <w:vAlign w:val="bottom"/>
          </w:tcPr>
          <w:p>
            <w:pPr>
              <w:spacing w:after="0"/>
              <w:rPr>
                <w:sz w:val="14"/>
                <w:szCs w:val="14"/>
                <w:color w:val="auto"/>
              </w:rPr>
            </w:pPr>
          </w:p>
        </w:tc>
      </w:tr>
      <w:tr>
        <w:trPr>
          <w:trHeight w:val="336"/>
        </w:trPr>
        <w:tc>
          <w:tcPr>
            <w:tcW w:w="9720" w:type="dxa"/>
            <w:vAlign w:val="bottom"/>
          </w:tcPr>
          <w:p>
            <w:pPr>
              <w:jc w:val="right"/>
              <w:spacing w:after="0"/>
              <w:rPr>
                <w:sz w:val="20"/>
                <w:szCs w:val="20"/>
                <w:color w:val="auto"/>
              </w:rPr>
            </w:pPr>
            <w:r>
              <w:rPr>
                <w:rFonts w:ascii="Courier New" w:cs="Courier New" w:eastAsia="Courier New" w:hAnsi="Courier New"/>
                <w:sz w:val="15"/>
                <w:szCs w:val="15"/>
                <w:color w:val="auto"/>
                <w:w w:val="97"/>
              </w:rPr>
              <w:t>ITEM 15. CONTROLS AND PROCEDURES...............................................................................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157</w:t>
            </w:r>
          </w:p>
        </w:tc>
      </w:tr>
      <w:tr>
        <w:trPr>
          <w:trHeight w:val="168"/>
        </w:trPr>
        <w:tc>
          <w:tcPr>
            <w:tcW w:w="97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60" w:type="dxa"/>
            <w:vAlign w:val="bottom"/>
          </w:tcPr>
          <w:p>
            <w:pPr>
              <w:spacing w:after="0"/>
              <w:rPr>
                <w:sz w:val="14"/>
                <w:szCs w:val="14"/>
                <w:color w:val="auto"/>
              </w:rPr>
            </w:pPr>
          </w:p>
        </w:tc>
      </w:tr>
      <w:tr>
        <w:trPr>
          <w:trHeight w:val="336"/>
        </w:trPr>
        <w:tc>
          <w:tcPr>
            <w:tcW w:w="9720" w:type="dxa"/>
            <w:vAlign w:val="bottom"/>
          </w:tcPr>
          <w:p>
            <w:pPr>
              <w:jc w:val="right"/>
              <w:spacing w:after="0"/>
              <w:rPr>
                <w:sz w:val="20"/>
                <w:szCs w:val="20"/>
                <w:color w:val="auto"/>
              </w:rPr>
            </w:pPr>
            <w:r>
              <w:rPr>
                <w:rFonts w:ascii="Courier New" w:cs="Courier New" w:eastAsia="Courier New" w:hAnsi="Courier New"/>
                <w:sz w:val="15"/>
                <w:szCs w:val="15"/>
                <w:color w:val="auto"/>
                <w:w w:val="97"/>
              </w:rPr>
              <w:t>ITEMS 16-17. NOT APPLICABLE....................................................................................</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158</w:t>
            </w:r>
          </w:p>
        </w:tc>
      </w:tr>
      <w:tr>
        <w:trPr>
          <w:trHeight w:val="168"/>
        </w:trPr>
        <w:tc>
          <w:tcPr>
            <w:tcW w:w="97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60" w:type="dxa"/>
            <w:vAlign w:val="bottom"/>
          </w:tcPr>
          <w:p>
            <w:pPr>
              <w:spacing w:after="0"/>
              <w:rPr>
                <w:sz w:val="14"/>
                <w:szCs w:val="14"/>
                <w:color w:val="auto"/>
              </w:rPr>
            </w:pPr>
          </w:p>
        </w:tc>
      </w:tr>
      <w:tr>
        <w:trPr>
          <w:trHeight w:val="336"/>
        </w:trPr>
        <w:tc>
          <w:tcPr>
            <w:tcW w:w="9720" w:type="dxa"/>
            <w:vAlign w:val="bottom"/>
          </w:tcPr>
          <w:p>
            <w:pPr>
              <w:jc w:val="right"/>
              <w:spacing w:after="0"/>
              <w:rPr>
                <w:sz w:val="20"/>
                <w:szCs w:val="20"/>
                <w:color w:val="auto"/>
              </w:rPr>
            </w:pPr>
            <w:r>
              <w:rPr>
                <w:rFonts w:ascii="Courier New" w:cs="Courier New" w:eastAsia="Courier New" w:hAnsi="Courier New"/>
                <w:sz w:val="15"/>
                <w:szCs w:val="15"/>
                <w:color w:val="auto"/>
                <w:w w:val="97"/>
              </w:rPr>
              <w:t>ITEM 18. FINANCIAL STATEMENTS..................................................................................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159</w:t>
            </w:r>
          </w:p>
        </w:tc>
      </w:tr>
      <w:tr>
        <w:trPr>
          <w:trHeight w:val="168"/>
        </w:trPr>
        <w:tc>
          <w:tcPr>
            <w:tcW w:w="97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60" w:type="dxa"/>
            <w:vAlign w:val="bottom"/>
          </w:tcPr>
          <w:p>
            <w:pPr>
              <w:spacing w:after="0"/>
              <w:rPr>
                <w:sz w:val="14"/>
                <w:szCs w:val="14"/>
                <w:color w:val="auto"/>
              </w:rPr>
            </w:pP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19. EXHIBITS 160</w:t>
      </w:r>
    </w:p>
    <w:p>
      <w:pPr>
        <w:spacing w:after="0" w:line="237" w:lineRule="auto"/>
        <w:rPr>
          <w:sz w:val="20"/>
          <w:szCs w:val="20"/>
          <w:color w:val="auto"/>
        </w:rPr>
      </w:pPr>
      <w:r>
        <w:rPr>
          <w:rFonts w:ascii="Courier New" w:cs="Courier New" w:eastAsia="Courier New" w:hAnsi="Courier New"/>
          <w:sz w:val="15"/>
          <w:szCs w:val="15"/>
          <w:color w:val="auto"/>
        </w:rPr>
        <w:t>- -------- --------</w:t>
      </w:r>
    </w:p>
    <w:p>
      <w:pPr>
        <w:sectPr>
          <w:pgSz w:w="11900" w:h="16838" w:orient="portrait"/>
          <w:cols w:equalWidth="0" w:num="1">
            <w:col w:w="10239"/>
          </w:cols>
          <w:pgMar w:left="220" w:top="129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5"/>
          <w:szCs w:val="15"/>
          <w:color w:val="auto"/>
        </w:rPr>
        <w:t>INTRODUCTION</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References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terms "FEMSA," "our company," "we," "us," and "our," are used in this Annual Report to refer to Fomento Economico Mexicano, S.A. de C.V. ("FEMSA") and, except where the context otherwise requires, its subsidiaries on a consolidated basis. On May 6, 2003, our subsidiary Coca-Cola FEMSA, S.A. de C.V. ("Coca-Cola FEMSA") acquired Panamerican Beverages, Inc. ("Panamco"). Unless the context otherwise requires, references to FEMSA do not include Panamco and its subsidiaries, which were not reflected in our financial statements for the twelve months ended and as of December 31, 2002.</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are an integrated beverage company incorporated under the laws of the United Mexican States ("Mexico"). We are a holding company whose principal assets are a 99.99% interest in Grupo Industrial Emprex, S.A. de C.V. ("Emprex") and a 100% interest in Compania Internacional de Bebidas, S.A. de C.V. ("CIBSA"), which are also holding companies incorporated under the laws of Mexico.</w:t>
      </w:r>
    </w:p>
    <w:p>
      <w:pPr>
        <w:spacing w:after="0" w:line="175"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References herein to "U.S. Dollars," "US$," "Dollars" or "$" are to the lawful currency of the United States. References herein to "Pesos" or "Ps." are to the lawful currency of Mexico. References herein to "Argentine pesos" or "Aps." are to the lawful currency of the Republic of Argentina ("Argentina"). The term "billion" as used in this Annual Report means one thousand million.</w:t>
      </w:r>
    </w:p>
    <w:p>
      <w:pPr>
        <w:spacing w:after="0" w:line="16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term "beer" as used in this Annual Report refers generally to fermented alcoholic beverages brewed from malt and flavored with hops. The term "hectoliter" means 100 liters or approximately 26.4 U.S. gallons.</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Per capita growth rates and levels, product segments, relative prices and packaging information contained in this Annual Report with respect to FEMSA Cerveza, S.A. de C.V. ("FEMSA Cerveza"), our 70%-owned subsidiary engaged in the production, distribution and marketing of beer, have been computed and are based upon our statistics and assumptions. FEMSA Cerveza volume figures contained in this Annual Report refer to invoiced sales volume. Invoiced sales volume represents the number of hectoliters of beer sold by FEMSA Cerveza's breweries to unaffiliated distributors and by affiliated distributors to retailers.</w:t>
      </w:r>
    </w:p>
    <w:p>
      <w:pPr>
        <w:spacing w:after="0" w:line="166"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Per capita growth rates and levels, product segments, relative prices and packaging information contained in this Annual Report with respect to Coca-Cola FEMSA, our 51%-owned subsidiary engaged in the production, distribution and marketing of nonalcoholic beverages, have been computed and are based upon Coca-Cola FEMSA's statistics and assumptions. The term "soft drink" as used in this Annual Report refers generally to non-alcoholic beverages including those carbonated or containing natural or artificial flavors and sweeteners. The term "unit case" refers to 192 ounces of finished beverage product (equivalent to 24 eight-ounce servings) and, when applied to fountain syrup and concentrate, refers to the volume of concentrate or fountain syrup that is required to produce 192 ounces of finished beverage product.</w:t>
      </w:r>
    </w:p>
    <w:p>
      <w:pPr>
        <w:spacing w:after="0" w:line="16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To the extent estimates are contained in this Annual Report, we believe that such estimates, which are based on internal data, are reliable. Amounts in this Annual Report are rounded, and the totals may therefore not precisely equal the sums of the numbers presented.</w:t>
      </w:r>
    </w:p>
    <w:p>
      <w:pPr>
        <w:spacing w:after="0" w:line="169"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Accounting Principles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publish our financial statements in Mexican Pesos and prepare such financial statements in accordance with Generally Accepted Accounting Principles in Mexico ("Mexican GAAP"). Mexican GAAP differs in certain significant respects from Generally Accepted Accounting Principles in the United States ("U.S. GAAP"). Notes 24 and 25 to the Consolidated Financial Statements provide a description of the principal differences between Mexican GAAP and U.S. GAAP as they relate to our company and a reconciliation to U.S. GAAP of majority net income and majority stockholders' equity.</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953" w:right="1440" w:bottom="1440" w:gutter="0" w:footer="0" w:header="0"/>
        </w:sectPr>
      </w:pPr>
    </w:p>
    <w:bookmarkStart w:id="6" w:name="page7"/>
    <w:bookmarkEnd w:id="6"/>
    <w:p>
      <w:pPr>
        <w:ind w:left="2020"/>
        <w:spacing w:after="0"/>
        <w:rPr>
          <w:sz w:val="20"/>
          <w:szCs w:val="20"/>
          <w:color w:val="auto"/>
        </w:rPr>
      </w:pPr>
      <w:r>
        <w:rPr>
          <w:rFonts w:ascii="Courier New" w:cs="Courier New" w:eastAsia="Courier New" w:hAnsi="Courier New"/>
          <w:sz w:val="15"/>
          <w:szCs w:val="15"/>
          <w:color w:val="auto"/>
        </w:rPr>
        <w:t>Currency Translations and Estimates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This Annual Report contains translations of certain Peso amounts into U.S. Dollars at specified rates solely for the convenience of the reader. These translations should not be construed as representations that the Peso amounts actually represent the U.S. Dollar amounts or could be converted into U.S. Dollars at the rate indicated. Unless otherwise indicated, these U.S. Dollar amounts have been translated from Pesos at an exchange rate of Ps. 10.459 to US$1.00, the exchange rate quoted by dealers to FEMSA for the settlement of obligations in foreign currencies on December 31, 2002. On December 31, 2002 and on June 13, 2003, the noon buying rates for Pesos as published by the Federal Reserve Bank of New York were Ps. 10.43 to US$1.00 and Ps. 10.60 to US$1.00, respectively. See "Item 3. Key Information--Exchange Rate Information" for information regarding exchange rates since 1998.</w:t>
      </w:r>
    </w:p>
    <w:p>
      <w:pPr>
        <w:spacing w:after="0" w:line="16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Per capita growth rates and population data have been computed based upon statistics prepared by Mexico's Instituto Nacional de Estadistica, Geografia e Informatica (the National Institute of Statistics, Geography and Information, or the "Mexican Institute of Statistics"), the Federal Reserve Bank of New York, Banco de Mexico and upon our estimates.</w:t>
      </w:r>
    </w:p>
    <w:p>
      <w:pPr>
        <w:spacing w:after="0" w:line="167"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Forward-Looking Information</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This Annual Report contains words, such as "believe," "expect" and "anticipate" and similar expressions that identify forward-looking statements. Use of such words reflects our views about future events and financial performance. Actual results could differ materially from those projected in such forward-looking statements as a result of various factors that may be beyond our control, including but not limited to effects on our company from changes in our relationship with or among our affiliated companies, movements in the prices of raw materials, competition, significant developments in Mexico or international economic or political situations, or changes in our regulatory environment. In addition, Coca-Cola FEMSA has recently consummated the acquisition of Panamco, which exposes us to a variety of new risks and challenges. Accordingly, we caution readers not to place undue reliance on these forward-looking statements. In any event, these statements speak only as of their respective dates, and we undertake no obligation to update or revise any of them, whether as a result of new information, future events or otherwise.</w:t>
      </w:r>
    </w:p>
    <w:p>
      <w:pPr>
        <w:spacing w:after="0" w:line="200" w:lineRule="exact"/>
        <w:rPr>
          <w:sz w:val="20"/>
          <w:szCs w:val="20"/>
          <w:color w:val="auto"/>
        </w:rPr>
      </w:pPr>
    </w:p>
    <w:p>
      <w:pPr>
        <w:spacing w:after="0" w:line="29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17" w:right="1440" w:bottom="1440" w:gutter="0" w:footer="0" w:header="0"/>
        </w:sectPr>
      </w:pPr>
    </w:p>
    <w:bookmarkStart w:id="7" w:name="page8"/>
    <w:bookmarkEnd w:id="7"/>
    <w:p>
      <w:pPr>
        <w:spacing w:after="0"/>
        <w:tabs>
          <w:tab w:leader="none" w:pos="78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NOT APPLICABLE</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NOT APPLICABLE</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KEY INFORMATION</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Selected Financial Data</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This Annual Report includes (under Item 18) our audited consolidated balance sheets as of December 31, 2002 and 2001 and the related consolidated income statements, changes in stockholders' equity and changes in financial position for the years ended December 31, 2002, 2001 and 2000. Our consolidated financial statements are prepared in accordance with Mexican GAAP which differs in certain significant respects from U.S. GAAP. Notes 24 and 25 to our consolidated financial statements provide a description of the principal differences between Mexican GAAP and U.S. GAAP as they relate to FEMSA, together with a reconciliation to U.S. GAAP of net majority income, majority shareholders' equity and certain other selected financial data. The effects of inflation accounting under Mexican GAAP have not been reversed in the reconciliation to U.S. GAAP. See Note 24 to consolidated financial statements.</w:t>
      </w:r>
    </w:p>
    <w:p>
      <w:pPr>
        <w:spacing w:after="0" w:line="164"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On May 6, 2003, our subsidiary Coca-Cola FEMSA acquired Panamco. Panamco is not reflected in our consolidated financial statements presented in this Annual Report.</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following table presents selected financial information. This information should be read in conjunction with, and is qualified in its entirety by reference to, our consolidated financial statements, including the Notes thereto. The selected financial information is presented on a consolidated basis, and is not necessarily indicative of our financial position or results of operations at or for any future date or period.</w:t>
      </w:r>
    </w:p>
    <w:p>
      <w:pPr>
        <w:spacing w:after="0" w:line="200" w:lineRule="exact"/>
        <w:rPr>
          <w:sz w:val="20"/>
          <w:szCs w:val="20"/>
          <w:color w:val="auto"/>
        </w:rPr>
      </w:pPr>
    </w:p>
    <w:p>
      <w:pPr>
        <w:spacing w:after="0" w:line="30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953"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70"/>
        </w:trPr>
        <w:tc>
          <w:tcPr>
            <w:tcW w:w="2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160" w:type="dxa"/>
            <w:vAlign w:val="bottom"/>
            <w:gridSpan w:val="5"/>
          </w:tcPr>
          <w:p>
            <w:pPr>
              <w:jc w:val="right"/>
              <w:ind w:right="7"/>
              <w:spacing w:after="0"/>
              <w:rPr>
                <w:sz w:val="20"/>
                <w:szCs w:val="20"/>
                <w:color w:val="auto"/>
              </w:rPr>
            </w:pPr>
            <w:r>
              <w:rPr>
                <w:rFonts w:ascii="Courier New" w:cs="Courier New" w:eastAsia="Courier New" w:hAnsi="Courier New"/>
                <w:sz w:val="15"/>
                <w:szCs w:val="15"/>
                <w:color w:val="auto"/>
              </w:rPr>
              <w:t>Selected Consolidated Financial Information</w:t>
            </w: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540" w:type="dxa"/>
            <w:vAlign w:val="bottom"/>
            <w:gridSpan w:val="3"/>
          </w:tcPr>
          <w:p>
            <w:pPr>
              <w:jc w:val="right"/>
              <w:ind w:right="67"/>
              <w:spacing w:after="0" w:line="168" w:lineRule="exact"/>
              <w:rPr>
                <w:sz w:val="20"/>
                <w:szCs w:val="20"/>
                <w:color w:val="auto"/>
              </w:rPr>
            </w:pPr>
            <w:r>
              <w:rPr>
                <w:rFonts w:ascii="Courier New" w:cs="Courier New" w:eastAsia="Courier New" w:hAnsi="Courier New"/>
                <w:sz w:val="15"/>
                <w:szCs w:val="15"/>
                <w:color w:val="auto"/>
              </w:rPr>
              <w:t>Year Ended December 31,</w:t>
            </w: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2002(1)</w:t>
            </w: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2002</w:t>
            </w: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2001</w:t>
            </w:r>
          </w:p>
        </w:tc>
        <w:tc>
          <w:tcPr>
            <w:tcW w:w="44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2000</w:t>
            </w:r>
          </w:p>
        </w:tc>
        <w:tc>
          <w:tcPr>
            <w:tcW w:w="48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1999</w:t>
            </w:r>
          </w:p>
        </w:tc>
        <w:tc>
          <w:tcPr>
            <w:tcW w:w="48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2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w:t>
            </w:r>
          </w:p>
        </w:tc>
        <w:tc>
          <w:tcPr>
            <w:tcW w:w="48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2"/>
              </w:rPr>
              <w:t>------</w:t>
            </w:r>
          </w:p>
        </w:tc>
        <w:tc>
          <w:tcPr>
            <w:tcW w:w="4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140" w:type="dxa"/>
            <w:vAlign w:val="bottom"/>
            <w:gridSpan w:val="9"/>
          </w:tcPr>
          <w:p>
            <w:pPr>
              <w:jc w:val="right"/>
              <w:spacing w:after="0" w:line="168" w:lineRule="exact"/>
              <w:rPr>
                <w:sz w:val="20"/>
                <w:szCs w:val="20"/>
                <w:color w:val="auto"/>
              </w:rPr>
            </w:pPr>
            <w:r>
              <w:rPr>
                <w:rFonts w:ascii="Courier New" w:cs="Courier New" w:eastAsia="Courier New" w:hAnsi="Courier New"/>
                <w:sz w:val="15"/>
                <w:szCs w:val="15"/>
                <w:color w:val="auto"/>
                <w:w w:val="98"/>
              </w:rPr>
              <w:t>(in millions of U.S. Dollars ("$") and Pesos ("Ps."), except for per share data,</w:t>
            </w:r>
          </w:p>
        </w:tc>
      </w:tr>
      <w:tr>
        <w:trPr>
          <w:trHeight w:val="168"/>
        </w:trPr>
        <w:tc>
          <w:tcPr>
            <w:tcW w:w="2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140" w:type="dxa"/>
            <w:vAlign w:val="bottom"/>
            <w:gridSpan w:val="9"/>
          </w:tcPr>
          <w:p>
            <w:pPr>
              <w:jc w:val="right"/>
              <w:ind w:right="207"/>
              <w:spacing w:after="0" w:line="168" w:lineRule="exact"/>
              <w:rPr>
                <w:sz w:val="20"/>
                <w:szCs w:val="20"/>
                <w:color w:val="auto"/>
              </w:rPr>
            </w:pPr>
            <w:r>
              <w:rPr>
                <w:rFonts w:ascii="Courier New" w:cs="Courier New" w:eastAsia="Courier New" w:hAnsi="Courier New"/>
                <w:sz w:val="15"/>
                <w:szCs w:val="15"/>
                <w:color w:val="auto"/>
              </w:rPr>
              <w:t>the weighted average number of shares outstanding and operating margin)</w:t>
            </w: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Income Statement Data:</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Mexican GAAP:</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revenues...............</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5,062</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Ps.52,941</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Ps.50,097</w:t>
            </w:r>
          </w:p>
        </w:tc>
        <w:tc>
          <w:tcPr>
            <w:tcW w:w="4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88"/>
              </w:rPr>
              <w:t>Ps.</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47,869</w:t>
            </w:r>
          </w:p>
        </w:tc>
        <w:tc>
          <w:tcPr>
            <w:tcW w:w="122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Ps. 43,333</w:t>
            </w:r>
          </w:p>
        </w:tc>
        <w:tc>
          <w:tcPr>
            <w:tcW w:w="128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Ps. 41,244</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from operations(2)....</w:t>
            </w:r>
          </w:p>
        </w:tc>
        <w:tc>
          <w:tcPr>
            <w:tcW w:w="22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907</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9,491</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8,533</w:t>
            </w:r>
          </w:p>
        </w:tc>
        <w:tc>
          <w:tcPr>
            <w:tcW w:w="44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7,663</w:t>
            </w:r>
          </w:p>
        </w:tc>
        <w:tc>
          <w:tcPr>
            <w:tcW w:w="4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6,925</w:t>
            </w:r>
          </w:p>
        </w:tc>
        <w:tc>
          <w:tcPr>
            <w:tcW w:w="4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6,031</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Taxes(3) ....................</w:t>
            </w:r>
          </w:p>
        </w:tc>
        <w:tc>
          <w:tcPr>
            <w:tcW w:w="22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346</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3,624</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2,945</w:t>
            </w:r>
          </w:p>
        </w:tc>
        <w:tc>
          <w:tcPr>
            <w:tcW w:w="44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2,508</w:t>
            </w:r>
          </w:p>
        </w:tc>
        <w:tc>
          <w:tcPr>
            <w:tcW w:w="4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2,158</w:t>
            </w:r>
          </w:p>
        </w:tc>
        <w:tc>
          <w:tcPr>
            <w:tcW w:w="4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1,156</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Change in accounting principle</w:t>
            </w:r>
          </w:p>
        </w:tc>
        <w:tc>
          <w:tcPr>
            <w:tcW w:w="22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(29)</w:t>
            </w:r>
          </w:p>
        </w:tc>
        <w:tc>
          <w:tcPr>
            <w:tcW w:w="44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22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441</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4,613</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4,980</w:t>
            </w:r>
          </w:p>
        </w:tc>
        <w:tc>
          <w:tcPr>
            <w:tcW w:w="44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3,827</w:t>
            </w:r>
          </w:p>
        </w:tc>
        <w:tc>
          <w:tcPr>
            <w:tcW w:w="4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4,528</w:t>
            </w:r>
          </w:p>
        </w:tc>
        <w:tc>
          <w:tcPr>
            <w:tcW w:w="4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2,570</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majority income..........</w:t>
            </w:r>
          </w:p>
        </w:tc>
        <w:tc>
          <w:tcPr>
            <w:tcW w:w="22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271</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2,837</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3,393</w:t>
            </w:r>
          </w:p>
        </w:tc>
        <w:tc>
          <w:tcPr>
            <w:tcW w:w="44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2,748</w:t>
            </w:r>
          </w:p>
        </w:tc>
        <w:tc>
          <w:tcPr>
            <w:tcW w:w="4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3,436</w:t>
            </w:r>
          </w:p>
        </w:tc>
        <w:tc>
          <w:tcPr>
            <w:tcW w:w="4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1,743</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minority income..........</w:t>
            </w:r>
          </w:p>
        </w:tc>
        <w:tc>
          <w:tcPr>
            <w:tcW w:w="22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170</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1,776</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1,587</w:t>
            </w:r>
          </w:p>
        </w:tc>
        <w:tc>
          <w:tcPr>
            <w:tcW w:w="44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1,079</w:t>
            </w:r>
          </w:p>
        </w:tc>
        <w:tc>
          <w:tcPr>
            <w:tcW w:w="4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1,092</w:t>
            </w:r>
          </w:p>
        </w:tc>
        <w:tc>
          <w:tcPr>
            <w:tcW w:w="4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827</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majority income per</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share(4).....................</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Series B Shares..............</w:t>
            </w:r>
          </w:p>
        </w:tc>
        <w:tc>
          <w:tcPr>
            <w:tcW w:w="22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0.046</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0.478</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0.571</w:t>
            </w:r>
          </w:p>
        </w:tc>
        <w:tc>
          <w:tcPr>
            <w:tcW w:w="44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0.459</w:t>
            </w:r>
          </w:p>
        </w:tc>
        <w:tc>
          <w:tcPr>
            <w:tcW w:w="4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0.574</w:t>
            </w:r>
          </w:p>
        </w:tc>
        <w:tc>
          <w:tcPr>
            <w:tcW w:w="4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0.361</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Series D Shares..............</w:t>
            </w:r>
          </w:p>
        </w:tc>
        <w:tc>
          <w:tcPr>
            <w:tcW w:w="22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0.057</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0.597</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0.714</w:t>
            </w:r>
          </w:p>
        </w:tc>
        <w:tc>
          <w:tcPr>
            <w:tcW w:w="44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0.574</w:t>
            </w:r>
          </w:p>
        </w:tc>
        <w:tc>
          <w:tcPr>
            <w:tcW w:w="4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0.717</w:t>
            </w:r>
          </w:p>
        </w:tc>
        <w:tc>
          <w:tcPr>
            <w:tcW w:w="4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0.451</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Weighted average number of shares</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outstanding (millions)</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Series B Shares..............</w:t>
            </w:r>
          </w:p>
        </w:tc>
        <w:tc>
          <w:tcPr>
            <w:tcW w:w="220" w:type="dxa"/>
            <w:vAlign w:val="bottom"/>
          </w:tcPr>
          <w:p>
            <w:pPr>
              <w:spacing w:after="0"/>
              <w:rPr>
                <w:sz w:val="24"/>
                <w:szCs w:val="24"/>
                <w:color w:val="auto"/>
              </w:rPr>
            </w:pP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2,737.7</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2,737.7</w:t>
            </w:r>
          </w:p>
        </w:tc>
        <w:tc>
          <w:tcPr>
            <w:tcW w:w="12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2,737.8</w:t>
            </w:r>
          </w:p>
        </w:tc>
        <w:tc>
          <w:tcPr>
            <w:tcW w:w="440" w:type="dxa"/>
            <w:vAlign w:val="bottom"/>
          </w:tcPr>
          <w:p>
            <w:pPr>
              <w:spacing w:after="0"/>
              <w:rPr>
                <w:sz w:val="24"/>
                <w:szCs w:val="2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2,745.8</w:t>
            </w:r>
          </w:p>
        </w:tc>
        <w:tc>
          <w:tcPr>
            <w:tcW w:w="480" w:type="dxa"/>
            <w:vAlign w:val="bottom"/>
          </w:tcPr>
          <w:p>
            <w:pPr>
              <w:spacing w:after="0"/>
              <w:rPr>
                <w:sz w:val="24"/>
                <w:szCs w:val="2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5"/>
              </w:rPr>
              <w:t>2,746.5</w:t>
            </w:r>
          </w:p>
        </w:tc>
        <w:tc>
          <w:tcPr>
            <w:tcW w:w="480" w:type="dxa"/>
            <w:vAlign w:val="bottom"/>
          </w:tcPr>
          <w:p>
            <w:pPr>
              <w:spacing w:after="0"/>
              <w:rPr>
                <w:sz w:val="24"/>
                <w:szCs w:val="2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2,553.1</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Series D Shares..............</w:t>
            </w:r>
          </w:p>
        </w:tc>
        <w:tc>
          <w:tcPr>
            <w:tcW w:w="22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2,559.6</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2,559.6</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2,559.8</w:t>
            </w:r>
          </w:p>
        </w:tc>
        <w:tc>
          <w:tcPr>
            <w:tcW w:w="44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2,591.8</w:t>
            </w:r>
          </w:p>
        </w:tc>
        <w:tc>
          <w:tcPr>
            <w:tcW w:w="4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2,594.8</w:t>
            </w:r>
          </w:p>
        </w:tc>
        <w:tc>
          <w:tcPr>
            <w:tcW w:w="4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1,821.1</w:t>
            </w: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U.S. GAAP:</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revenues...............</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5,062</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Ps.52,941</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Ps. 52,720</w:t>
            </w:r>
          </w:p>
        </w:tc>
        <w:tc>
          <w:tcPr>
            <w:tcW w:w="4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88"/>
              </w:rPr>
              <w:t>Ps.</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50,158</w:t>
            </w:r>
          </w:p>
        </w:tc>
        <w:tc>
          <w:tcPr>
            <w:tcW w:w="122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Ps. 46,447</w:t>
            </w:r>
          </w:p>
        </w:tc>
        <w:tc>
          <w:tcPr>
            <w:tcW w:w="128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Ps. 45,319</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from operations(2)....</w:t>
            </w:r>
          </w:p>
        </w:tc>
        <w:tc>
          <w:tcPr>
            <w:tcW w:w="22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810</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8,473</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7,452</w:t>
            </w:r>
          </w:p>
        </w:tc>
        <w:tc>
          <w:tcPr>
            <w:tcW w:w="44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6,777</w:t>
            </w:r>
          </w:p>
        </w:tc>
        <w:tc>
          <w:tcPr>
            <w:tcW w:w="4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6,448</w:t>
            </w:r>
          </w:p>
        </w:tc>
        <w:tc>
          <w:tcPr>
            <w:tcW w:w="4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5,792</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Change in accounting principle</w:t>
            </w:r>
          </w:p>
        </w:tc>
        <w:tc>
          <w:tcPr>
            <w:tcW w:w="22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(52)</w:t>
            </w:r>
          </w:p>
        </w:tc>
        <w:tc>
          <w:tcPr>
            <w:tcW w:w="44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w:t>
            </w:r>
          </w:p>
        </w:tc>
        <w:tc>
          <w:tcPr>
            <w:tcW w:w="4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minority income..........</w:t>
            </w:r>
          </w:p>
        </w:tc>
        <w:tc>
          <w:tcPr>
            <w:tcW w:w="22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172</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1,804</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1,583</w:t>
            </w:r>
          </w:p>
        </w:tc>
        <w:tc>
          <w:tcPr>
            <w:tcW w:w="44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1,154</w:t>
            </w:r>
          </w:p>
        </w:tc>
        <w:tc>
          <w:tcPr>
            <w:tcW w:w="4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1,101</w:t>
            </w:r>
          </w:p>
        </w:tc>
        <w:tc>
          <w:tcPr>
            <w:tcW w:w="4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810</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22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295</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3,083</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3,178</w:t>
            </w:r>
          </w:p>
        </w:tc>
        <w:tc>
          <w:tcPr>
            <w:tcW w:w="44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2,571</w:t>
            </w:r>
          </w:p>
        </w:tc>
        <w:tc>
          <w:tcPr>
            <w:tcW w:w="4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2,218</w:t>
            </w:r>
          </w:p>
        </w:tc>
        <w:tc>
          <w:tcPr>
            <w:tcW w:w="4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1,007</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per share(4)</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Series B Shares..............</w:t>
            </w:r>
          </w:p>
        </w:tc>
        <w:tc>
          <w:tcPr>
            <w:tcW w:w="22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0.050</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0.519</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0.535</w:t>
            </w:r>
          </w:p>
        </w:tc>
        <w:tc>
          <w:tcPr>
            <w:tcW w:w="44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0.429</w:t>
            </w:r>
          </w:p>
        </w:tc>
        <w:tc>
          <w:tcPr>
            <w:tcW w:w="4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0.370</w:t>
            </w:r>
          </w:p>
        </w:tc>
        <w:tc>
          <w:tcPr>
            <w:tcW w:w="4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0.209</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Series D Shares..............</w:t>
            </w:r>
          </w:p>
        </w:tc>
        <w:tc>
          <w:tcPr>
            <w:tcW w:w="22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0.062</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0.649</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0.669</w:t>
            </w:r>
          </w:p>
        </w:tc>
        <w:tc>
          <w:tcPr>
            <w:tcW w:w="44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0.537</w:t>
            </w:r>
          </w:p>
        </w:tc>
        <w:tc>
          <w:tcPr>
            <w:tcW w:w="4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0.463</w:t>
            </w:r>
          </w:p>
        </w:tc>
        <w:tc>
          <w:tcPr>
            <w:tcW w:w="4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0.261</w:t>
            </w: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Mexican GAAP:</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assets.................</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5,737</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Ps.60,004</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Ps. 51,136</w:t>
            </w:r>
          </w:p>
        </w:tc>
        <w:tc>
          <w:tcPr>
            <w:tcW w:w="4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88"/>
              </w:rPr>
              <w:t>Ps.</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48,115</w:t>
            </w:r>
          </w:p>
        </w:tc>
        <w:tc>
          <w:tcPr>
            <w:tcW w:w="122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Ps. 46,617</w:t>
            </w:r>
          </w:p>
        </w:tc>
        <w:tc>
          <w:tcPr>
            <w:tcW w:w="128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Ps. 46,466</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22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1,128</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11,794</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8,706</w:t>
            </w:r>
          </w:p>
        </w:tc>
        <w:tc>
          <w:tcPr>
            <w:tcW w:w="44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8,348</w:t>
            </w:r>
          </w:p>
        </w:tc>
        <w:tc>
          <w:tcPr>
            <w:tcW w:w="4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8,429</w:t>
            </w:r>
          </w:p>
        </w:tc>
        <w:tc>
          <w:tcPr>
            <w:tcW w:w="4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8,395</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debt(5)............</w:t>
            </w:r>
          </w:p>
        </w:tc>
        <w:tc>
          <w:tcPr>
            <w:tcW w:w="22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937</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9,803</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7,117</w:t>
            </w:r>
          </w:p>
        </w:tc>
        <w:tc>
          <w:tcPr>
            <w:tcW w:w="44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7,698</w:t>
            </w:r>
          </w:p>
        </w:tc>
        <w:tc>
          <w:tcPr>
            <w:tcW w:w="4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8,023</w:t>
            </w:r>
          </w:p>
        </w:tc>
        <w:tc>
          <w:tcPr>
            <w:tcW w:w="4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9,973</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long-term liabilities..</w:t>
            </w:r>
          </w:p>
        </w:tc>
        <w:tc>
          <w:tcPr>
            <w:tcW w:w="22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535</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5,594</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5,308</w:t>
            </w:r>
          </w:p>
        </w:tc>
        <w:tc>
          <w:tcPr>
            <w:tcW w:w="44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5,352</w:t>
            </w:r>
          </w:p>
        </w:tc>
        <w:tc>
          <w:tcPr>
            <w:tcW w:w="4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935</w:t>
            </w:r>
          </w:p>
        </w:tc>
        <w:tc>
          <w:tcPr>
            <w:tcW w:w="4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1,189</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Stock................</w:t>
            </w:r>
          </w:p>
        </w:tc>
        <w:tc>
          <w:tcPr>
            <w:tcW w:w="22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390</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4,081</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4,081</w:t>
            </w:r>
          </w:p>
        </w:tc>
        <w:tc>
          <w:tcPr>
            <w:tcW w:w="44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4,086</w:t>
            </w:r>
          </w:p>
        </w:tc>
        <w:tc>
          <w:tcPr>
            <w:tcW w:w="4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4,107</w:t>
            </w:r>
          </w:p>
        </w:tc>
        <w:tc>
          <w:tcPr>
            <w:tcW w:w="4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4,107</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shareholders' equity...</w:t>
            </w:r>
          </w:p>
        </w:tc>
        <w:tc>
          <w:tcPr>
            <w:tcW w:w="22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3,137</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32,813</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30,005</w:t>
            </w:r>
          </w:p>
        </w:tc>
        <w:tc>
          <w:tcPr>
            <w:tcW w:w="44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26,717</w:t>
            </w:r>
          </w:p>
        </w:tc>
        <w:tc>
          <w:tcPr>
            <w:tcW w:w="4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29,230</w:t>
            </w:r>
          </w:p>
        </w:tc>
        <w:tc>
          <w:tcPr>
            <w:tcW w:w="4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26,909</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Majority interest............</w:t>
            </w:r>
          </w:p>
        </w:tc>
        <w:tc>
          <w:tcPr>
            <w:tcW w:w="22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2,200</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23,015</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21,173</w:t>
            </w:r>
          </w:p>
        </w:tc>
        <w:tc>
          <w:tcPr>
            <w:tcW w:w="44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18,797</w:t>
            </w:r>
          </w:p>
        </w:tc>
        <w:tc>
          <w:tcPr>
            <w:tcW w:w="4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20,888</w:t>
            </w:r>
          </w:p>
        </w:tc>
        <w:tc>
          <w:tcPr>
            <w:tcW w:w="4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18,758</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Minority interest............</w:t>
            </w:r>
          </w:p>
        </w:tc>
        <w:tc>
          <w:tcPr>
            <w:tcW w:w="22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937</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9,798</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8,832</w:t>
            </w:r>
          </w:p>
        </w:tc>
        <w:tc>
          <w:tcPr>
            <w:tcW w:w="44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7,920</w:t>
            </w:r>
          </w:p>
        </w:tc>
        <w:tc>
          <w:tcPr>
            <w:tcW w:w="4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8,342</w:t>
            </w:r>
          </w:p>
        </w:tc>
        <w:tc>
          <w:tcPr>
            <w:tcW w:w="4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8,151</w:t>
            </w: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U.S. GAAP:</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assets.................</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7,236</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Ps.75,677</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Ps.67,525</w:t>
            </w:r>
          </w:p>
        </w:tc>
        <w:tc>
          <w:tcPr>
            <w:tcW w:w="4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88"/>
              </w:rPr>
              <w:t>Ps.</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66,822</w:t>
            </w:r>
          </w:p>
        </w:tc>
        <w:tc>
          <w:tcPr>
            <w:tcW w:w="122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Ps. 65,363</w:t>
            </w:r>
          </w:p>
        </w:tc>
        <w:tc>
          <w:tcPr>
            <w:tcW w:w="12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Ps.65,129</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22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1,300</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13,601</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10,544</w:t>
            </w:r>
          </w:p>
        </w:tc>
        <w:tc>
          <w:tcPr>
            <w:tcW w:w="44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10,585</w:t>
            </w:r>
          </w:p>
        </w:tc>
        <w:tc>
          <w:tcPr>
            <w:tcW w:w="4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10,760</w:t>
            </w:r>
          </w:p>
        </w:tc>
        <w:tc>
          <w:tcPr>
            <w:tcW w:w="4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10,247</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debt(5)............</w:t>
            </w:r>
          </w:p>
        </w:tc>
        <w:tc>
          <w:tcPr>
            <w:tcW w:w="22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1,040</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10,875</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8,181</w:t>
            </w:r>
          </w:p>
        </w:tc>
        <w:tc>
          <w:tcPr>
            <w:tcW w:w="44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7,722</w:t>
            </w:r>
          </w:p>
        </w:tc>
        <w:tc>
          <w:tcPr>
            <w:tcW w:w="4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8,030</w:t>
            </w:r>
          </w:p>
        </w:tc>
        <w:tc>
          <w:tcPr>
            <w:tcW w:w="4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10,066</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long-term liabilities..</w:t>
            </w:r>
          </w:p>
        </w:tc>
        <w:tc>
          <w:tcPr>
            <w:tcW w:w="22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462</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4,829</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4,824</w:t>
            </w:r>
          </w:p>
        </w:tc>
        <w:tc>
          <w:tcPr>
            <w:tcW w:w="44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6,292</w:t>
            </w:r>
          </w:p>
        </w:tc>
        <w:tc>
          <w:tcPr>
            <w:tcW w:w="4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6,379</w:t>
            </w:r>
          </w:p>
        </w:tc>
        <w:tc>
          <w:tcPr>
            <w:tcW w:w="4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5,841</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Stock................</w:t>
            </w:r>
          </w:p>
        </w:tc>
        <w:tc>
          <w:tcPr>
            <w:tcW w:w="22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390</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4,081</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4,081</w:t>
            </w:r>
          </w:p>
        </w:tc>
        <w:tc>
          <w:tcPr>
            <w:tcW w:w="44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4,086</w:t>
            </w:r>
          </w:p>
        </w:tc>
        <w:tc>
          <w:tcPr>
            <w:tcW w:w="4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4,107</w:t>
            </w:r>
          </w:p>
        </w:tc>
        <w:tc>
          <w:tcPr>
            <w:tcW w:w="4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4,107</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Shareholders' equity.........</w:t>
            </w:r>
          </w:p>
        </w:tc>
        <w:tc>
          <w:tcPr>
            <w:tcW w:w="22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3,515</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36,767</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35,196</w:t>
            </w:r>
          </w:p>
        </w:tc>
        <w:tc>
          <w:tcPr>
            <w:tcW w:w="44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33,885</w:t>
            </w:r>
          </w:p>
        </w:tc>
        <w:tc>
          <w:tcPr>
            <w:tcW w:w="4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32,564</w:t>
            </w:r>
          </w:p>
        </w:tc>
        <w:tc>
          <w:tcPr>
            <w:tcW w:w="4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31,277</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Minority interest............</w:t>
            </w:r>
          </w:p>
        </w:tc>
        <w:tc>
          <w:tcPr>
            <w:tcW w:w="22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918</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9,605</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8,780</w:t>
            </w:r>
          </w:p>
        </w:tc>
        <w:tc>
          <w:tcPr>
            <w:tcW w:w="44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8,338</w:t>
            </w:r>
          </w:p>
        </w:tc>
        <w:tc>
          <w:tcPr>
            <w:tcW w:w="4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7,630</w:t>
            </w:r>
          </w:p>
        </w:tc>
        <w:tc>
          <w:tcPr>
            <w:tcW w:w="4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7,699</w:t>
            </w: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Other information:</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Mexican GAAP:</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227</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Ps.2,378</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Ps. 2,290</w:t>
            </w:r>
          </w:p>
        </w:tc>
        <w:tc>
          <w:tcPr>
            <w:tcW w:w="4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88"/>
              </w:rPr>
              <w:t>Ps.</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2,415</w:t>
            </w:r>
          </w:p>
        </w:tc>
        <w:tc>
          <w:tcPr>
            <w:tcW w:w="4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88"/>
              </w:rPr>
              <w:t>Ps.</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2,166</w:t>
            </w:r>
          </w:p>
        </w:tc>
        <w:tc>
          <w:tcPr>
            <w:tcW w:w="4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88"/>
              </w:rPr>
              <w:t>Ps.</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1,845</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expenditures(7)......</w:t>
            </w:r>
          </w:p>
        </w:tc>
        <w:tc>
          <w:tcPr>
            <w:tcW w:w="22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530</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5,540</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5,314</w:t>
            </w:r>
          </w:p>
        </w:tc>
        <w:tc>
          <w:tcPr>
            <w:tcW w:w="44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4,571</w:t>
            </w:r>
          </w:p>
        </w:tc>
        <w:tc>
          <w:tcPr>
            <w:tcW w:w="4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4,351</w:t>
            </w:r>
          </w:p>
        </w:tc>
        <w:tc>
          <w:tcPr>
            <w:tcW w:w="4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5,352</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margin(8)..........</w:t>
            </w:r>
          </w:p>
        </w:tc>
        <w:tc>
          <w:tcPr>
            <w:tcW w:w="22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17.9%</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17.9%</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17.0%</w:t>
            </w:r>
          </w:p>
        </w:tc>
        <w:tc>
          <w:tcPr>
            <w:tcW w:w="44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16.0%</w:t>
            </w:r>
          </w:p>
        </w:tc>
        <w:tc>
          <w:tcPr>
            <w:tcW w:w="4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16.0%</w:t>
            </w:r>
          </w:p>
        </w:tc>
        <w:tc>
          <w:tcPr>
            <w:tcW w:w="4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14.6%</w:t>
            </w: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U.S. GAAP:</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238</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Ps.2,491</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Ps. 2,356</w:t>
            </w:r>
          </w:p>
        </w:tc>
        <w:tc>
          <w:tcPr>
            <w:tcW w:w="4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88"/>
              </w:rPr>
              <w:t>Ps.</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2,496</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Ps.</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2,315</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Ps.</w:t>
            </w: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1,799</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margin(8)..........</w:t>
            </w:r>
          </w:p>
        </w:tc>
        <w:tc>
          <w:tcPr>
            <w:tcW w:w="22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16.0%</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16.0%</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14.1%</w:t>
            </w:r>
          </w:p>
        </w:tc>
        <w:tc>
          <w:tcPr>
            <w:tcW w:w="44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13.5%</w:t>
            </w:r>
          </w:p>
        </w:tc>
        <w:tc>
          <w:tcPr>
            <w:tcW w:w="4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13.9%</w:t>
            </w:r>
          </w:p>
        </w:tc>
        <w:tc>
          <w:tcPr>
            <w:tcW w:w="4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12.8%</w:t>
            </w:r>
          </w:p>
        </w:tc>
      </w:tr>
      <w:tr>
        <w:trPr>
          <w:trHeight w:val="505"/>
        </w:trPr>
        <w:tc>
          <w:tcPr>
            <w:tcW w:w="2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4</w:t>
            </w:r>
          </w:p>
        </w:tc>
        <w:tc>
          <w:tcPr>
            <w:tcW w:w="1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0340"/>
          </w:cols>
          <w:pgMar w:left="220" w:top="953" w:right="1339" w:bottom="1440" w:gutter="0" w:footer="0" w:header="0"/>
        </w:sectPr>
      </w:pPr>
    </w:p>
    <w:bookmarkStart w:id="9" w:name="page10"/>
    <w:bookmarkEnd w:id="9"/>
    <w:p>
      <w:pPr>
        <w:ind w:left="440" w:right="3680" w:hanging="430"/>
        <w:spacing w:after="0" w:line="234" w:lineRule="auto"/>
        <w:tabs>
          <w:tab w:leader="none" w:pos="4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Translation to U.S. Dollar amounts at an exchange rate of Ps. 10.459 to US$1.00 solely for the convenience of the reader.</w:t>
      </w:r>
    </w:p>
    <w:p>
      <w:pPr>
        <w:spacing w:after="0" w:line="5" w:lineRule="exact"/>
        <w:rPr>
          <w:rFonts w:ascii="Courier New" w:cs="Courier New" w:eastAsia="Courier New" w:hAnsi="Courier New"/>
          <w:sz w:val="15"/>
          <w:szCs w:val="15"/>
          <w:color w:val="auto"/>
        </w:rPr>
      </w:pPr>
    </w:p>
    <w:p>
      <w:pPr>
        <w:ind w:left="440" w:right="3420" w:hanging="430"/>
        <w:spacing w:after="0" w:line="234" w:lineRule="auto"/>
        <w:tabs>
          <w:tab w:leader="none" w:pos="4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income from operations and participation in results of affiliated companies.</w:t>
      </w:r>
    </w:p>
    <w:p>
      <w:pPr>
        <w:ind w:left="440" w:hanging="430"/>
        <w:spacing w:after="0" w:line="237" w:lineRule="auto"/>
        <w:tabs>
          <w:tab w:leader="none" w:pos="4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income tax, tax on assets and employee profit sharing.</w:t>
      </w:r>
    </w:p>
    <w:p>
      <w:pPr>
        <w:spacing w:after="0" w:line="5" w:lineRule="exact"/>
        <w:rPr>
          <w:rFonts w:ascii="Courier New" w:cs="Courier New" w:eastAsia="Courier New" w:hAnsi="Courier New"/>
          <w:sz w:val="15"/>
          <w:szCs w:val="15"/>
          <w:color w:val="auto"/>
        </w:rPr>
      </w:pPr>
    </w:p>
    <w:p>
      <w:pPr>
        <w:ind w:left="440" w:right="3420" w:hanging="430"/>
        <w:spacing w:after="0" w:line="236" w:lineRule="auto"/>
        <w:tabs>
          <w:tab w:leader="none" w:pos="4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net income (after changes in accounting principles) per Series B Share and per Series D Share was calculated in accordance with Bulletin B-14 of Mexican GAAP, which is similar to SFAS No. 128 of U.S. GAAP. The following table presents the calculations of the weighted average number of shares and income per share allocation:</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3240" w:type="dxa"/>
            <w:vAlign w:val="bottom"/>
          </w:tcPr>
          <w:p>
            <w:pPr>
              <w:spacing w:after="0"/>
              <w:rPr>
                <w:sz w:val="14"/>
                <w:szCs w:val="14"/>
                <w:color w:val="auto"/>
              </w:rPr>
            </w:pPr>
          </w:p>
        </w:tc>
        <w:tc>
          <w:tcPr>
            <w:tcW w:w="3460" w:type="dxa"/>
            <w:vAlign w:val="bottom"/>
            <w:gridSpan w:val="2"/>
          </w:tcPr>
          <w:p>
            <w:pPr>
              <w:jc w:val="right"/>
              <w:ind w:right="1107"/>
              <w:spacing w:after="0"/>
              <w:rPr>
                <w:sz w:val="20"/>
                <w:szCs w:val="20"/>
                <w:color w:val="auto"/>
              </w:rPr>
            </w:pPr>
            <w:r>
              <w:rPr>
                <w:rFonts w:ascii="Courier New" w:cs="Courier New" w:eastAsia="Courier New" w:hAnsi="Courier New"/>
                <w:sz w:val="15"/>
                <w:szCs w:val="15"/>
                <w:color w:val="auto"/>
              </w:rPr>
              <w:t>Series B Shares</w:t>
            </w:r>
          </w:p>
        </w:tc>
        <w:tc>
          <w:tcPr>
            <w:tcW w:w="3200" w:type="dxa"/>
            <w:vAlign w:val="bottom"/>
            <w:gridSpan w:val="2"/>
          </w:tcPr>
          <w:p>
            <w:pPr>
              <w:jc w:val="right"/>
              <w:ind w:right="987"/>
              <w:spacing w:after="0"/>
              <w:rPr>
                <w:sz w:val="20"/>
                <w:szCs w:val="20"/>
                <w:color w:val="auto"/>
              </w:rPr>
            </w:pPr>
            <w:r>
              <w:rPr>
                <w:rFonts w:ascii="Courier New" w:cs="Courier New" w:eastAsia="Courier New" w:hAnsi="Courier New"/>
                <w:sz w:val="15"/>
                <w:szCs w:val="15"/>
                <w:color w:val="auto"/>
              </w:rPr>
              <w:t>Series D Shares</w:t>
            </w:r>
          </w:p>
        </w:tc>
      </w:tr>
      <w:tr>
        <w:trPr>
          <w:trHeight w:val="168"/>
        </w:trPr>
        <w:tc>
          <w:tcPr>
            <w:tcW w:w="3240" w:type="dxa"/>
            <w:vAlign w:val="bottom"/>
          </w:tcPr>
          <w:p>
            <w:pPr>
              <w:spacing w:after="0"/>
              <w:rPr>
                <w:sz w:val="14"/>
                <w:szCs w:val="14"/>
                <w:color w:val="auto"/>
              </w:rPr>
            </w:pPr>
          </w:p>
        </w:tc>
        <w:tc>
          <w:tcPr>
            <w:tcW w:w="666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7"/>
              </w:rPr>
              <w:t>------------------------------------- --------------------------------------</w:t>
            </w:r>
          </w:p>
        </w:tc>
      </w:tr>
      <w:tr>
        <w:trPr>
          <w:trHeight w:val="168"/>
        </w:trPr>
        <w:tc>
          <w:tcPr>
            <w:tcW w:w="3240" w:type="dxa"/>
            <w:vAlign w:val="bottom"/>
          </w:tcPr>
          <w:p>
            <w:pPr>
              <w:spacing w:after="0"/>
              <w:rPr>
                <w:sz w:val="14"/>
                <w:szCs w:val="14"/>
                <w:color w:val="auto"/>
              </w:rPr>
            </w:pPr>
          </w:p>
        </w:tc>
        <w:tc>
          <w:tcPr>
            <w:tcW w:w="18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Number of</w:t>
            </w:r>
          </w:p>
        </w:tc>
        <w:tc>
          <w:tcPr>
            <w:tcW w:w="16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Weighted</w:t>
            </w:r>
          </w:p>
        </w:tc>
        <w:tc>
          <w:tcPr>
            <w:tcW w:w="17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Number of</w:t>
            </w:r>
          </w:p>
        </w:tc>
        <w:tc>
          <w:tcPr>
            <w:tcW w:w="15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Weighted</w:t>
            </w:r>
          </w:p>
        </w:tc>
      </w:tr>
      <w:tr>
        <w:trPr>
          <w:trHeight w:val="168"/>
        </w:trPr>
        <w:tc>
          <w:tcPr>
            <w:tcW w:w="3240" w:type="dxa"/>
            <w:vAlign w:val="bottom"/>
          </w:tcPr>
          <w:p>
            <w:pPr>
              <w:spacing w:after="0"/>
              <w:rPr>
                <w:sz w:val="14"/>
                <w:szCs w:val="14"/>
                <w:color w:val="auto"/>
              </w:rPr>
            </w:pPr>
          </w:p>
        </w:tc>
        <w:tc>
          <w:tcPr>
            <w:tcW w:w="18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Shares</w:t>
            </w:r>
          </w:p>
        </w:tc>
        <w:tc>
          <w:tcPr>
            <w:tcW w:w="16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Average</w:t>
            </w:r>
          </w:p>
        </w:tc>
        <w:tc>
          <w:tcPr>
            <w:tcW w:w="17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Shares</w:t>
            </w:r>
          </w:p>
        </w:tc>
        <w:tc>
          <w:tcPr>
            <w:tcW w:w="15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Average</w:t>
            </w:r>
          </w:p>
        </w:tc>
      </w:tr>
      <w:tr>
        <w:trPr>
          <w:trHeight w:val="168"/>
        </w:trPr>
        <w:tc>
          <w:tcPr>
            <w:tcW w:w="3240" w:type="dxa"/>
            <w:vAlign w:val="bottom"/>
          </w:tcPr>
          <w:p>
            <w:pPr>
              <w:spacing w:after="0"/>
              <w:rPr>
                <w:sz w:val="14"/>
                <w:szCs w:val="14"/>
                <w:color w:val="auto"/>
              </w:rPr>
            </w:pPr>
          </w:p>
        </w:tc>
        <w:tc>
          <w:tcPr>
            <w:tcW w:w="1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40" w:type="dxa"/>
            <w:vAlign w:val="bottom"/>
          </w:tcPr>
          <w:p>
            <w:pPr>
              <w:spacing w:after="0"/>
              <w:rPr>
                <w:sz w:val="20"/>
                <w:szCs w:val="20"/>
                <w:color w:val="auto"/>
              </w:rPr>
            </w:pPr>
            <w:r>
              <w:rPr>
                <w:rFonts w:ascii="Courier New" w:cs="Courier New" w:eastAsia="Courier New" w:hAnsi="Courier New"/>
                <w:sz w:val="15"/>
                <w:szCs w:val="15"/>
                <w:color w:val="auto"/>
                <w:w w:val="89"/>
              </w:rPr>
              <w:t>At December 31, 1998....................</w:t>
            </w:r>
          </w:p>
        </w:tc>
        <w:tc>
          <w:tcPr>
            <w:tcW w:w="1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2,746,546,090</w:t>
            </w:r>
          </w:p>
        </w:tc>
        <w:tc>
          <w:tcPr>
            <w:tcW w:w="1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2,553,110,930</w:t>
            </w:r>
          </w:p>
        </w:tc>
        <w:tc>
          <w:tcPr>
            <w:tcW w:w="1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2,594,794,360</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1,821,053,690</w:t>
            </w:r>
          </w:p>
        </w:tc>
      </w:tr>
      <w:tr>
        <w:trPr>
          <w:trHeight w:val="168"/>
        </w:trPr>
        <w:tc>
          <w:tcPr>
            <w:tcW w:w="504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Allocations of earnings.............</w:t>
            </w:r>
          </w:p>
        </w:tc>
        <w:tc>
          <w:tcPr>
            <w:tcW w:w="1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52.87%</w:t>
            </w:r>
          </w:p>
        </w:tc>
        <w:tc>
          <w:tcPr>
            <w:tcW w:w="1700" w:type="dxa"/>
            <w:vAlign w:val="bottom"/>
          </w:tcPr>
          <w:p>
            <w:pPr>
              <w:spacing w:after="0"/>
              <w:rPr>
                <w:sz w:val="14"/>
                <w:szCs w:val="14"/>
                <w:color w:val="auto"/>
              </w:rPr>
            </w:pP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47.13%</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w w:val="89"/>
              </w:rPr>
              <w:t>At December 31, 1999....................</w:t>
            </w:r>
          </w:p>
        </w:tc>
        <w:tc>
          <w:tcPr>
            <w:tcW w:w="1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2,746,546,090</w:t>
            </w:r>
          </w:p>
        </w:tc>
        <w:tc>
          <w:tcPr>
            <w:tcW w:w="1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2,746,546,050</w:t>
            </w:r>
          </w:p>
        </w:tc>
        <w:tc>
          <w:tcPr>
            <w:tcW w:w="1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2,594,794,360</w:t>
            </w: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2,594,794,360</w:t>
            </w:r>
          </w:p>
        </w:tc>
      </w:tr>
      <w:tr>
        <w:trPr>
          <w:trHeight w:val="168"/>
        </w:trPr>
        <w:tc>
          <w:tcPr>
            <w:tcW w:w="504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Allocations of earnings.............</w:t>
            </w:r>
          </w:p>
        </w:tc>
        <w:tc>
          <w:tcPr>
            <w:tcW w:w="1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45.85%</w:t>
            </w:r>
          </w:p>
        </w:tc>
        <w:tc>
          <w:tcPr>
            <w:tcW w:w="1700" w:type="dxa"/>
            <w:vAlign w:val="bottom"/>
          </w:tcPr>
          <w:p>
            <w:pPr>
              <w:spacing w:after="0"/>
              <w:rPr>
                <w:sz w:val="14"/>
                <w:szCs w:val="14"/>
                <w:color w:val="auto"/>
              </w:rPr>
            </w:pP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54.15%</w:t>
            </w:r>
          </w:p>
        </w:tc>
      </w:tr>
      <w:tr>
        <w:trPr>
          <w:trHeight w:val="168"/>
        </w:trPr>
        <w:tc>
          <w:tcPr>
            <w:tcW w:w="3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Repurchase of our shares in</w:t>
            </w:r>
          </w:p>
        </w:tc>
        <w:tc>
          <w:tcPr>
            <w:tcW w:w="18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6,750,000</w:t>
            </w:r>
          </w:p>
        </w:tc>
        <w:tc>
          <w:tcPr>
            <w:tcW w:w="16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8"/>
        </w:trPr>
        <w:tc>
          <w:tcPr>
            <w:tcW w:w="3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2000 from October 29, 2000 to</w:t>
            </w:r>
          </w:p>
        </w:tc>
        <w:tc>
          <w:tcPr>
            <w:tcW w:w="18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8"/>
        </w:trPr>
        <w:tc>
          <w:tcPr>
            <w:tcW w:w="504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December 29, 2000...................</w:t>
            </w:r>
          </w:p>
        </w:tc>
        <w:tc>
          <w:tcPr>
            <w:tcW w:w="1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736,246</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27,000,000</w:t>
            </w: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2,944,984</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w w:val="89"/>
              </w:rPr>
              <w:t>At December 31, 2000....................</w:t>
            </w:r>
          </w:p>
        </w:tc>
        <w:tc>
          <w:tcPr>
            <w:tcW w:w="18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2,739,796,090</w:t>
            </w:r>
          </w:p>
        </w:tc>
        <w:tc>
          <w:tcPr>
            <w:tcW w:w="1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2,745,809,844</w:t>
            </w:r>
          </w:p>
        </w:tc>
        <w:tc>
          <w:tcPr>
            <w:tcW w:w="1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2,567,794,360</w:t>
            </w: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2,591,849,376</w:t>
            </w:r>
          </w:p>
        </w:tc>
      </w:tr>
      <w:tr>
        <w:trPr>
          <w:trHeight w:val="168"/>
        </w:trPr>
        <w:tc>
          <w:tcPr>
            <w:tcW w:w="504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Allocations of earnings.............</w:t>
            </w:r>
          </w:p>
        </w:tc>
        <w:tc>
          <w:tcPr>
            <w:tcW w:w="1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45.85%</w:t>
            </w:r>
          </w:p>
        </w:tc>
        <w:tc>
          <w:tcPr>
            <w:tcW w:w="1700" w:type="dxa"/>
            <w:vAlign w:val="bottom"/>
          </w:tcPr>
          <w:p>
            <w:pPr>
              <w:spacing w:after="0"/>
              <w:rPr>
                <w:sz w:val="14"/>
                <w:szCs w:val="14"/>
                <w:color w:val="auto"/>
              </w:rPr>
            </w:pP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54.15%</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Repurchase of our shares in 2001</w:t>
            </w:r>
          </w:p>
        </w:tc>
        <w:tc>
          <w:tcPr>
            <w:tcW w:w="18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2,056,000</w:t>
            </w:r>
          </w:p>
        </w:tc>
        <w:tc>
          <w:tcPr>
            <w:tcW w:w="16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8"/>
        </w:trPr>
        <w:tc>
          <w:tcPr>
            <w:tcW w:w="32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from January 4, 2001 to</w:t>
            </w:r>
          </w:p>
        </w:tc>
        <w:tc>
          <w:tcPr>
            <w:tcW w:w="18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8"/>
        </w:trPr>
        <w:tc>
          <w:tcPr>
            <w:tcW w:w="32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88"/>
              </w:rPr>
              <w:t>January 16, 2001...................</w:t>
            </w:r>
          </w:p>
        </w:tc>
        <w:tc>
          <w:tcPr>
            <w:tcW w:w="18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2,004,647</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8,224,000</w:t>
            </w:r>
          </w:p>
        </w:tc>
        <w:tc>
          <w:tcPr>
            <w:tcW w:w="1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8,018,586</w:t>
            </w:r>
          </w:p>
        </w:tc>
        <w:tc>
          <w:tcPr>
            <w:tcW w:w="1500" w:type="dxa"/>
            <w:vAlign w:val="bottom"/>
          </w:tcPr>
          <w:p>
            <w:pPr>
              <w:spacing w:after="0"/>
              <w:rPr>
                <w:sz w:val="14"/>
                <w:szCs w:val="14"/>
                <w:color w:val="auto"/>
              </w:rPr>
            </w:pP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w w:val="89"/>
              </w:rPr>
              <w:t>At December 31, 2001....................</w:t>
            </w:r>
          </w:p>
        </w:tc>
        <w:tc>
          <w:tcPr>
            <w:tcW w:w="18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2,737,740,090</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2,737,791,443</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2,559,570,360</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2,559,775,774</w:t>
            </w:r>
          </w:p>
        </w:tc>
      </w:tr>
      <w:tr>
        <w:trPr>
          <w:trHeight w:val="168"/>
        </w:trPr>
        <w:tc>
          <w:tcPr>
            <w:tcW w:w="504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Allocation of earnings..............</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46.11%</w:t>
            </w:r>
          </w:p>
        </w:tc>
        <w:tc>
          <w:tcPr>
            <w:tcW w:w="1700" w:type="dxa"/>
            <w:vAlign w:val="bottom"/>
          </w:tcPr>
          <w:p>
            <w:pPr>
              <w:spacing w:after="0"/>
              <w:rPr>
                <w:sz w:val="14"/>
                <w:szCs w:val="14"/>
                <w:color w:val="auto"/>
              </w:rPr>
            </w:pP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53.89%</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w w:val="89"/>
              </w:rPr>
              <w:t>At December 31, 2002....................</w:t>
            </w:r>
          </w:p>
        </w:tc>
        <w:tc>
          <w:tcPr>
            <w:tcW w:w="18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2,737,740,090</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2,737,740,090</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2,559,570,360</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2,559,570,360</w:t>
            </w:r>
          </w:p>
        </w:tc>
      </w:tr>
      <w:tr>
        <w:trPr>
          <w:trHeight w:val="168"/>
        </w:trPr>
        <w:tc>
          <w:tcPr>
            <w:tcW w:w="504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Allocation of earnings..............</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46.11%</w:t>
            </w:r>
          </w:p>
        </w:tc>
        <w:tc>
          <w:tcPr>
            <w:tcW w:w="1700" w:type="dxa"/>
            <w:vAlign w:val="bottom"/>
          </w:tcPr>
          <w:p>
            <w:pPr>
              <w:spacing w:after="0"/>
              <w:rPr>
                <w:sz w:val="14"/>
                <w:szCs w:val="14"/>
                <w:color w:val="auto"/>
              </w:rPr>
            </w:pP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53.89%</w:t>
            </w:r>
          </w:p>
        </w:tc>
      </w:tr>
    </w:tbl>
    <w:p>
      <w:pPr>
        <w:spacing w:after="0" w:line="335" w:lineRule="exact"/>
        <w:rPr>
          <w:sz w:val="20"/>
          <w:szCs w:val="20"/>
          <w:color w:val="auto"/>
        </w:rPr>
      </w:pPr>
    </w:p>
    <w:p>
      <w:pPr>
        <w:ind w:left="440" w:hanging="430"/>
        <w:spacing w:after="0"/>
        <w:tabs>
          <w:tab w:leader="none" w:pos="4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long-term bank loans minus the current portion of long-term debt.</w:t>
      </w:r>
    </w:p>
    <w:p>
      <w:pPr>
        <w:ind w:left="440" w:hanging="430"/>
        <w:spacing w:after="0" w:line="237" w:lineRule="auto"/>
        <w:tabs>
          <w:tab w:leader="none" w:pos="4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bottle breakage.</w:t>
      </w:r>
    </w:p>
    <w:p>
      <w:pPr>
        <w:ind w:left="440" w:hanging="430"/>
        <w:spacing w:after="0" w:line="237" w:lineRule="auto"/>
        <w:tabs>
          <w:tab w:leader="none" w:pos="4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investments in property, plant and equipment and deferred charges.</w:t>
      </w:r>
    </w:p>
    <w:p>
      <w:pPr>
        <w:spacing w:after="0" w:line="5" w:lineRule="exact"/>
        <w:rPr>
          <w:rFonts w:ascii="Courier New" w:cs="Courier New" w:eastAsia="Courier New" w:hAnsi="Courier New"/>
          <w:sz w:val="15"/>
          <w:szCs w:val="15"/>
          <w:color w:val="auto"/>
        </w:rPr>
      </w:pPr>
    </w:p>
    <w:p>
      <w:pPr>
        <w:ind w:left="440" w:right="3420" w:hanging="430"/>
        <w:spacing w:after="0" w:line="234" w:lineRule="auto"/>
        <w:tabs>
          <w:tab w:leader="none" w:pos="4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Operating margin is calculated by dividing income from operations by total revenues.</w:t>
      </w:r>
    </w:p>
    <w:p>
      <w:pPr>
        <w:spacing w:after="0" w:line="16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Dividends</w:t>
      </w:r>
    </w:p>
    <w:p>
      <w:pPr>
        <w:spacing w:after="0" w:line="173" w:lineRule="exact"/>
        <w:rPr>
          <w:sz w:val="20"/>
          <w:szCs w:val="20"/>
          <w:color w:val="auto"/>
        </w:rPr>
      </w:pPr>
    </w:p>
    <w:p>
      <w:pPr>
        <w:ind w:right="3340" w:firstLine="437"/>
        <w:spacing w:after="0" w:line="255" w:lineRule="auto"/>
        <w:rPr>
          <w:sz w:val="20"/>
          <w:szCs w:val="20"/>
          <w:color w:val="auto"/>
        </w:rPr>
      </w:pPr>
      <w:r>
        <w:rPr>
          <w:rFonts w:ascii="Courier New" w:cs="Courier New" w:eastAsia="Courier New" w:hAnsi="Courier New"/>
          <w:sz w:val="14"/>
          <w:szCs w:val="14"/>
          <w:color w:val="auto"/>
        </w:rPr>
        <w:t>Subject to extraordinary economic events and to the factors described below that affect our financial situation and liquidity, which may affect whether or not dividends are declared and the amount of such dividends, we intend to pay aggregate dividends of approximately 15% to 30% of net income. We do not expect to be subject to any contractual restrictions on our ability to pay dividends, although our subsidiaries may be subject to such restrictions. Because we are a holding company with no significant operations of our own, we will have distributable profits and cash to pay dividends only to the extent that we receive dividends from our subsidiaries. Accordingly, there can be no assurance that we will pay dividends or as to the amount of any dividends.</w:t>
      </w:r>
    </w:p>
    <w:p>
      <w:pPr>
        <w:spacing w:after="0" w:line="165" w:lineRule="exact"/>
        <w:rPr>
          <w:sz w:val="20"/>
          <w:szCs w:val="20"/>
          <w:color w:val="auto"/>
        </w:rPr>
      </w:pPr>
    </w:p>
    <w:p>
      <w:pPr>
        <w:ind w:right="3340" w:firstLine="437"/>
        <w:spacing w:after="0" w:line="255" w:lineRule="auto"/>
        <w:rPr>
          <w:sz w:val="20"/>
          <w:szCs w:val="20"/>
          <w:color w:val="auto"/>
        </w:rPr>
      </w:pPr>
      <w:r>
        <w:rPr>
          <w:rFonts w:ascii="Courier New" w:cs="Courier New" w:eastAsia="Courier New" w:hAnsi="Courier New"/>
          <w:sz w:val="14"/>
          <w:szCs w:val="14"/>
          <w:color w:val="auto"/>
        </w:rPr>
        <w:t>Subject to certain exceptions contained in the Deposit Agreement (the "ADR Deposit Agreement") dated April 13, 1998, among FEMSA, Citibank, N.A. (the "ADR Depositary") and all holders and beneficial owners from time to time of American Depositary Shares evidenced by American Depositary Receipts ("ADRs") issued under the ADR Deposit Agreement, any dividends distributed to U.S. holders of our ADRs will be paid to the ADR Depositary in Pesos and will be converted by the ADR Depositary into U.S. Dollars. As a result, exchange rate fluctuations may affect the U.S. Dollar amount actually received by holders of our ADRs. Although the Mexican government does not currently restrict the ability of Mexican and foreign persons or entities to convert Pesos to U.S. Dollars or other currencies or to transfer other currencies out of Mexico, we cannot give any assurance that the Mexican government will not institute a restrictive exchange control policy in the future. Any restrictive exchange control policy could affect the ADR Depositary's ability to convert dividends received in Pesos into U.S. Dollars for purposes of making a distribution to holders of the ADRs.</w:t>
      </w:r>
    </w:p>
    <w:p>
      <w:pPr>
        <w:spacing w:after="0" w:line="3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340"/>
          </w:cols>
          <w:pgMar w:left="220" w:top="624" w:right="1339" w:bottom="1440" w:gutter="0" w:footer="0" w:header="0"/>
        </w:sectPr>
      </w:pPr>
    </w:p>
    <w:bookmarkStart w:id="10" w:name="page11"/>
    <w:bookmarkEnd w:id="10"/>
    <w:p>
      <w:pPr>
        <w:ind w:right="3760" w:firstLine="437"/>
        <w:spacing w:after="0" w:line="235" w:lineRule="auto"/>
        <w:rPr>
          <w:sz w:val="20"/>
          <w:szCs w:val="20"/>
          <w:color w:val="auto"/>
        </w:rPr>
      </w:pPr>
      <w:r>
        <w:rPr>
          <w:rFonts w:ascii="Courier New" w:cs="Courier New" w:eastAsia="Courier New" w:hAnsi="Courier New"/>
          <w:sz w:val="15"/>
          <w:szCs w:val="15"/>
          <w:color w:val="auto"/>
        </w:rPr>
        <w:t>Effective January 1, 2002, Mexican income tax legislation does not require Mexican companies to withhold income tax on dividend payments to Mexican or non-Mexican stockholders. Accordingly, income tax was not withheld from dividend payments made by FEMSA in May of 2003.</w:t>
      </w:r>
    </w:p>
    <w:p>
      <w:pPr>
        <w:spacing w:after="0" w:line="175" w:lineRule="exact"/>
        <w:rPr>
          <w:sz w:val="20"/>
          <w:szCs w:val="20"/>
          <w:color w:val="auto"/>
        </w:rPr>
      </w:pPr>
    </w:p>
    <w:p>
      <w:pPr>
        <w:ind w:right="4020" w:firstLine="437"/>
        <w:spacing w:after="0" w:line="235" w:lineRule="auto"/>
        <w:rPr>
          <w:sz w:val="20"/>
          <w:szCs w:val="20"/>
          <w:color w:val="auto"/>
        </w:rPr>
      </w:pPr>
      <w:r>
        <w:rPr>
          <w:rFonts w:ascii="Courier New" w:cs="Courier New" w:eastAsia="Courier New" w:hAnsi="Courier New"/>
          <w:sz w:val="15"/>
          <w:szCs w:val="15"/>
          <w:color w:val="auto"/>
        </w:rPr>
        <w:t>The table below sets forth for each year the nominal amount of dividends per share that we declared in Pesos and in U.S. Dollars at the indicated exchange rates on each of the respective payment dates for the period 1999 to 2003:</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360" w:type="dxa"/>
            <w:vAlign w:val="bottom"/>
            <w:gridSpan w:val="3"/>
          </w:tcPr>
          <w:p>
            <w:pPr>
              <w:ind w:left="1440"/>
              <w:spacing w:after="0"/>
              <w:rPr>
                <w:sz w:val="20"/>
                <w:szCs w:val="20"/>
                <w:color w:val="auto"/>
              </w:rPr>
            </w:pPr>
            <w:r>
              <w:rPr>
                <w:rFonts w:ascii="Courier New" w:cs="Courier New" w:eastAsia="Courier New" w:hAnsi="Courier New"/>
                <w:sz w:val="15"/>
                <w:szCs w:val="15"/>
                <w:color w:val="auto"/>
              </w:rPr>
              <w:t>Dividends by FEMSA-1999 to 2003</w:t>
            </w:r>
          </w:p>
        </w:tc>
        <w:tc>
          <w:tcPr>
            <w:tcW w:w="136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168"/>
        </w:trPr>
        <w:tc>
          <w:tcPr>
            <w:tcW w:w="1760" w:type="dxa"/>
            <w:vAlign w:val="bottom"/>
          </w:tcPr>
          <w:p>
            <w:pPr>
              <w:spacing w:after="0"/>
              <w:rPr>
                <w:sz w:val="14"/>
                <w:szCs w:val="14"/>
                <w:color w:val="auto"/>
              </w:rPr>
            </w:pPr>
          </w:p>
        </w:tc>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w:t>
            </w:r>
          </w:p>
        </w:tc>
        <w:tc>
          <w:tcPr>
            <w:tcW w:w="764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w w:val="99"/>
              </w:rPr>
              <w:t>---------------------- ------------- ------------ --------------- -------------------</w:t>
            </w:r>
          </w:p>
        </w:tc>
      </w:tr>
      <w:tr>
        <w:trPr>
          <w:trHeight w:val="168"/>
        </w:trPr>
        <w:tc>
          <w:tcPr>
            <w:tcW w:w="1760" w:type="dxa"/>
            <w:vAlign w:val="bottom"/>
          </w:tcPr>
          <w:p>
            <w:pPr>
              <w:spacing w:after="0"/>
              <w:rPr>
                <w:sz w:val="14"/>
                <w:szCs w:val="14"/>
                <w:color w:val="auto"/>
              </w:rPr>
            </w:pPr>
          </w:p>
        </w:tc>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Fiscal Year</w:t>
            </w:r>
          </w:p>
        </w:tc>
        <w:tc>
          <w:tcPr>
            <w:tcW w:w="1960" w:type="dxa"/>
            <w:vAlign w:val="bottom"/>
          </w:tcPr>
          <w:p>
            <w:pPr>
              <w:spacing w:after="0"/>
              <w:rPr>
                <w:sz w:val="14"/>
                <w:szCs w:val="14"/>
                <w:color w:val="auto"/>
              </w:rPr>
            </w:pPr>
          </w:p>
        </w:tc>
        <w:tc>
          <w:tcPr>
            <w:tcW w:w="12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Per Series</w:t>
            </w:r>
          </w:p>
        </w:tc>
        <w:tc>
          <w:tcPr>
            <w:tcW w:w="1120" w:type="dxa"/>
            <w:vAlign w:val="bottom"/>
          </w:tcPr>
          <w:p>
            <w:pPr>
              <w:spacing w:after="0"/>
              <w:rPr>
                <w:sz w:val="14"/>
                <w:szCs w:val="14"/>
                <w:color w:val="auto"/>
              </w:rPr>
            </w:pPr>
          </w:p>
        </w:tc>
        <w:tc>
          <w:tcPr>
            <w:tcW w:w="13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Per Series D</w:t>
            </w:r>
          </w:p>
        </w:tc>
        <w:tc>
          <w:tcPr>
            <w:tcW w:w="1920" w:type="dxa"/>
            <w:vAlign w:val="bottom"/>
          </w:tcPr>
          <w:p>
            <w:pPr>
              <w:spacing w:after="0"/>
              <w:rPr>
                <w:sz w:val="14"/>
                <w:szCs w:val="14"/>
                <w:color w:val="auto"/>
              </w:rPr>
            </w:pPr>
          </w:p>
        </w:tc>
      </w:tr>
      <w:tr>
        <w:trPr>
          <w:trHeight w:val="168"/>
        </w:trPr>
        <w:tc>
          <w:tcPr>
            <w:tcW w:w="1760" w:type="dxa"/>
            <w:vAlign w:val="bottom"/>
          </w:tcPr>
          <w:p>
            <w:pPr>
              <w:spacing w:after="0"/>
              <w:rPr>
                <w:sz w:val="14"/>
                <w:szCs w:val="14"/>
                <w:color w:val="auto"/>
              </w:rPr>
            </w:pPr>
          </w:p>
        </w:tc>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with Respect</w:t>
            </w:r>
          </w:p>
        </w:tc>
        <w:tc>
          <w:tcPr>
            <w:tcW w:w="1960" w:type="dxa"/>
            <w:vAlign w:val="bottom"/>
          </w:tcPr>
          <w:p>
            <w:pPr>
              <w:spacing w:after="0"/>
              <w:rPr>
                <w:sz w:val="14"/>
                <w:szCs w:val="14"/>
                <w:color w:val="auto"/>
              </w:rPr>
            </w:pPr>
          </w:p>
        </w:tc>
        <w:tc>
          <w:tcPr>
            <w:tcW w:w="12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 Share</w:t>
            </w:r>
          </w:p>
        </w:tc>
        <w:tc>
          <w:tcPr>
            <w:tcW w:w="1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Per Series</w:t>
            </w:r>
          </w:p>
        </w:tc>
        <w:tc>
          <w:tcPr>
            <w:tcW w:w="13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Share</w:t>
            </w:r>
          </w:p>
        </w:tc>
        <w:tc>
          <w:tcPr>
            <w:tcW w:w="1920" w:type="dxa"/>
            <w:vAlign w:val="bottom"/>
          </w:tcPr>
          <w:p>
            <w:pPr>
              <w:spacing w:after="0"/>
              <w:rPr>
                <w:sz w:val="14"/>
                <w:szCs w:val="14"/>
                <w:color w:val="auto"/>
              </w:rPr>
            </w:pPr>
          </w:p>
        </w:tc>
      </w:tr>
      <w:tr>
        <w:trPr>
          <w:trHeight w:val="168"/>
        </w:trPr>
        <w:tc>
          <w:tcPr>
            <w:tcW w:w="1760" w:type="dxa"/>
            <w:vAlign w:val="bottom"/>
          </w:tcPr>
          <w:p>
            <w:pPr>
              <w:spacing w:after="0"/>
              <w:rPr>
                <w:sz w:val="14"/>
                <w:szCs w:val="14"/>
                <w:color w:val="auto"/>
              </w:rPr>
            </w:pPr>
          </w:p>
        </w:tc>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to which</w:t>
            </w:r>
          </w:p>
        </w:tc>
        <w:tc>
          <w:tcPr>
            <w:tcW w:w="1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Aggregate Amount of</w:t>
            </w:r>
          </w:p>
        </w:tc>
        <w:tc>
          <w:tcPr>
            <w:tcW w:w="12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Dividend</w:t>
            </w:r>
          </w:p>
        </w:tc>
        <w:tc>
          <w:tcPr>
            <w:tcW w:w="1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 Share</w:t>
            </w:r>
          </w:p>
        </w:tc>
        <w:tc>
          <w:tcPr>
            <w:tcW w:w="13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Dividend</w:t>
            </w:r>
          </w:p>
        </w:tc>
        <w:tc>
          <w:tcPr>
            <w:tcW w:w="19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Per Series D</w:t>
            </w:r>
          </w:p>
        </w:tc>
      </w:tr>
      <w:tr>
        <w:trPr>
          <w:trHeight w:val="168"/>
        </w:trPr>
        <w:tc>
          <w:tcPr>
            <w:tcW w:w="1760" w:type="dxa"/>
            <w:vAlign w:val="bottom"/>
          </w:tcPr>
          <w:p>
            <w:pPr>
              <w:spacing w:after="0"/>
              <w:rPr>
                <w:sz w:val="14"/>
                <w:szCs w:val="14"/>
                <w:color w:val="auto"/>
              </w:rPr>
            </w:pPr>
          </w:p>
        </w:tc>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Dividend was</w:t>
            </w:r>
          </w:p>
        </w:tc>
        <w:tc>
          <w:tcPr>
            <w:tcW w:w="1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Dividend Declared</w:t>
            </w:r>
          </w:p>
        </w:tc>
        <w:tc>
          <w:tcPr>
            <w:tcW w:w="12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(Nominal</w:t>
            </w:r>
          </w:p>
        </w:tc>
        <w:tc>
          <w:tcPr>
            <w:tcW w:w="1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Dividend</w:t>
            </w:r>
          </w:p>
        </w:tc>
        <w:tc>
          <w:tcPr>
            <w:tcW w:w="13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(Nominal</w:t>
            </w:r>
          </w:p>
        </w:tc>
        <w:tc>
          <w:tcPr>
            <w:tcW w:w="19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Share Dividend</w:t>
            </w:r>
          </w:p>
        </w:tc>
      </w:tr>
      <w:tr>
        <w:trPr>
          <w:trHeight w:val="168"/>
        </w:trPr>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Date Dividend Paid</w:t>
            </w:r>
          </w:p>
        </w:tc>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Declared</w:t>
            </w:r>
          </w:p>
        </w:tc>
        <w:tc>
          <w:tcPr>
            <w:tcW w:w="1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(Nominal Pesos)(2)</w:t>
            </w:r>
          </w:p>
        </w:tc>
        <w:tc>
          <w:tcPr>
            <w:tcW w:w="12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Pesos)</w:t>
            </w:r>
          </w:p>
        </w:tc>
        <w:tc>
          <w:tcPr>
            <w:tcW w:w="1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(US$)(1)</w:t>
            </w:r>
          </w:p>
        </w:tc>
        <w:tc>
          <w:tcPr>
            <w:tcW w:w="13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Pesos)</w:t>
            </w:r>
          </w:p>
        </w:tc>
        <w:tc>
          <w:tcPr>
            <w:tcW w:w="19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(US$)(1)</w:t>
            </w:r>
          </w:p>
        </w:tc>
      </w:tr>
      <w:tr>
        <w:trPr>
          <w:trHeight w:val="168"/>
        </w:trPr>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 ------------------</w:t>
            </w:r>
          </w:p>
        </w:tc>
        <w:tc>
          <w:tcPr>
            <w:tcW w:w="1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w w:val="99"/>
              </w:rPr>
              <w:t>----------</w:t>
            </w:r>
          </w:p>
        </w:tc>
        <w:tc>
          <w:tcPr>
            <w:tcW w:w="1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1760" w:type="dxa"/>
            <w:vAlign w:val="bottom"/>
          </w:tcPr>
          <w:p>
            <w:pPr>
              <w:spacing w:after="0"/>
              <w:rPr>
                <w:sz w:val="20"/>
                <w:szCs w:val="20"/>
                <w:color w:val="auto"/>
              </w:rPr>
            </w:pPr>
            <w:r>
              <w:rPr>
                <w:rFonts w:ascii="Courier New" w:cs="Courier New" w:eastAsia="Courier New" w:hAnsi="Courier New"/>
                <w:sz w:val="15"/>
                <w:szCs w:val="15"/>
                <w:color w:val="auto"/>
              </w:rPr>
              <w:t>July 1, 1999....</w:t>
            </w:r>
          </w:p>
        </w:tc>
        <w:tc>
          <w:tcPr>
            <w:tcW w:w="1360" w:type="dxa"/>
            <w:vAlign w:val="bottom"/>
          </w:tcPr>
          <w:p>
            <w:pPr>
              <w:ind w:left="440"/>
              <w:spacing w:after="0"/>
              <w:rPr>
                <w:sz w:val="20"/>
                <w:szCs w:val="20"/>
                <w:color w:val="auto"/>
              </w:rPr>
            </w:pPr>
            <w:r>
              <w:rPr>
                <w:rFonts w:ascii="Courier New" w:cs="Courier New" w:eastAsia="Courier New" w:hAnsi="Courier New"/>
                <w:sz w:val="15"/>
                <w:szCs w:val="15"/>
                <w:color w:val="auto"/>
              </w:rPr>
              <w:t>1998</w:t>
            </w:r>
          </w:p>
        </w:tc>
        <w:tc>
          <w:tcPr>
            <w:tcW w:w="1960" w:type="dxa"/>
            <w:vAlign w:val="bottom"/>
          </w:tcPr>
          <w:p>
            <w:pPr>
              <w:ind w:left="40"/>
              <w:spacing w:after="0"/>
              <w:rPr>
                <w:sz w:val="20"/>
                <w:szCs w:val="20"/>
                <w:color w:val="auto"/>
              </w:rPr>
            </w:pPr>
            <w:r>
              <w:rPr>
                <w:rFonts w:ascii="Courier New" w:cs="Courier New" w:eastAsia="Courier New" w:hAnsi="Courier New"/>
                <w:sz w:val="15"/>
                <w:szCs w:val="15"/>
                <w:color w:val="auto"/>
              </w:rPr>
              <w:t>Ps. 359,402,342</w:t>
            </w:r>
          </w:p>
        </w:tc>
        <w:tc>
          <w:tcPr>
            <w:tcW w:w="1280" w:type="dxa"/>
            <w:vAlign w:val="bottom"/>
          </w:tcPr>
          <w:p>
            <w:pPr>
              <w:ind w:left="100"/>
              <w:spacing w:after="0"/>
              <w:rPr>
                <w:sz w:val="20"/>
                <w:szCs w:val="20"/>
                <w:color w:val="auto"/>
              </w:rPr>
            </w:pPr>
            <w:r>
              <w:rPr>
                <w:rFonts w:ascii="Courier New" w:cs="Courier New" w:eastAsia="Courier New" w:hAnsi="Courier New"/>
                <w:sz w:val="15"/>
                <w:szCs w:val="15"/>
                <w:color w:val="auto"/>
              </w:rPr>
              <w:t>Ps. 0.0600</w:t>
            </w:r>
          </w:p>
        </w:tc>
        <w:tc>
          <w:tcPr>
            <w:tcW w:w="1120" w:type="dxa"/>
            <w:vAlign w:val="bottom"/>
          </w:tcPr>
          <w:p>
            <w:pPr>
              <w:ind w:left="40"/>
              <w:spacing w:after="0"/>
              <w:rPr>
                <w:sz w:val="20"/>
                <w:szCs w:val="20"/>
                <w:color w:val="auto"/>
              </w:rPr>
            </w:pPr>
            <w:r>
              <w:rPr>
                <w:rFonts w:ascii="Courier New" w:cs="Courier New" w:eastAsia="Courier New" w:hAnsi="Courier New"/>
                <w:sz w:val="15"/>
                <w:szCs w:val="15"/>
                <w:color w:val="auto"/>
              </w:rPr>
              <w:t>$0.0064</w:t>
            </w:r>
          </w:p>
        </w:tc>
        <w:tc>
          <w:tcPr>
            <w:tcW w:w="1360" w:type="dxa"/>
            <w:vAlign w:val="bottom"/>
          </w:tcPr>
          <w:p>
            <w:pPr>
              <w:ind w:left="60"/>
              <w:spacing w:after="0"/>
              <w:rPr>
                <w:sz w:val="20"/>
                <w:szCs w:val="20"/>
                <w:color w:val="auto"/>
              </w:rPr>
            </w:pPr>
            <w:r>
              <w:rPr>
                <w:rFonts w:ascii="Courier New" w:cs="Courier New" w:eastAsia="Courier New" w:hAnsi="Courier New"/>
                <w:sz w:val="15"/>
                <w:szCs w:val="15"/>
                <w:color w:val="auto"/>
              </w:rPr>
              <w:t>Ps. 0.07500</w:t>
            </w:r>
          </w:p>
        </w:tc>
        <w:tc>
          <w:tcPr>
            <w:tcW w:w="1920" w:type="dxa"/>
            <w:vAlign w:val="bottom"/>
          </w:tcPr>
          <w:p>
            <w:pPr>
              <w:ind w:left="100"/>
              <w:spacing w:after="0"/>
              <w:rPr>
                <w:sz w:val="20"/>
                <w:szCs w:val="20"/>
                <w:color w:val="auto"/>
              </w:rPr>
            </w:pPr>
            <w:r>
              <w:rPr>
                <w:rFonts w:ascii="Courier New" w:cs="Courier New" w:eastAsia="Courier New" w:hAnsi="Courier New"/>
                <w:sz w:val="15"/>
                <w:szCs w:val="15"/>
                <w:color w:val="auto"/>
              </w:rPr>
              <w:t>$0.0080</w:t>
            </w:r>
          </w:p>
        </w:tc>
      </w:tr>
      <w:tr>
        <w:trPr>
          <w:trHeight w:val="168"/>
        </w:trPr>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July 31, 2000...</w:t>
            </w:r>
          </w:p>
        </w:tc>
        <w:tc>
          <w:tcPr>
            <w:tcW w:w="13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1999</w:t>
            </w:r>
          </w:p>
        </w:tc>
        <w:tc>
          <w:tcPr>
            <w:tcW w:w="1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Ps. 503,163,279</w:t>
            </w:r>
          </w:p>
        </w:tc>
        <w:tc>
          <w:tcPr>
            <w:tcW w:w="12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Ps. 0.0840</w:t>
            </w:r>
          </w:p>
        </w:tc>
        <w:tc>
          <w:tcPr>
            <w:tcW w:w="1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$0.0090</w:t>
            </w:r>
          </w:p>
        </w:tc>
        <w:tc>
          <w:tcPr>
            <w:tcW w:w="13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Ps. 0.10500</w:t>
            </w:r>
          </w:p>
        </w:tc>
        <w:tc>
          <w:tcPr>
            <w:tcW w:w="19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$0.0112</w:t>
            </w:r>
          </w:p>
        </w:tc>
      </w:tr>
      <w:tr>
        <w:trPr>
          <w:trHeight w:val="168"/>
        </w:trPr>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May 21, 2001....</w:t>
            </w:r>
          </w:p>
        </w:tc>
        <w:tc>
          <w:tcPr>
            <w:tcW w:w="13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2000</w:t>
            </w:r>
          </w:p>
        </w:tc>
        <w:tc>
          <w:tcPr>
            <w:tcW w:w="1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Ps. 435,790,703</w:t>
            </w:r>
          </w:p>
        </w:tc>
        <w:tc>
          <w:tcPr>
            <w:tcW w:w="12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Ps. 0.0734</w:t>
            </w:r>
          </w:p>
        </w:tc>
        <w:tc>
          <w:tcPr>
            <w:tcW w:w="1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$0.0082</w:t>
            </w:r>
          </w:p>
        </w:tc>
        <w:tc>
          <w:tcPr>
            <w:tcW w:w="13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Ps. 0.09170</w:t>
            </w:r>
          </w:p>
        </w:tc>
        <w:tc>
          <w:tcPr>
            <w:tcW w:w="19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$0.0103</w:t>
            </w:r>
          </w:p>
        </w:tc>
      </w:tr>
      <w:tr>
        <w:trPr>
          <w:trHeight w:val="168"/>
        </w:trPr>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May 31, 2002....</w:t>
            </w:r>
          </w:p>
        </w:tc>
        <w:tc>
          <w:tcPr>
            <w:tcW w:w="13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2001</w:t>
            </w:r>
          </w:p>
        </w:tc>
        <w:tc>
          <w:tcPr>
            <w:tcW w:w="1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Ps. 664,966,740</w:t>
            </w:r>
          </w:p>
        </w:tc>
        <w:tc>
          <w:tcPr>
            <w:tcW w:w="12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Ps. 0.1120</w:t>
            </w:r>
          </w:p>
        </w:tc>
        <w:tc>
          <w:tcPr>
            <w:tcW w:w="1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$0.0116</w:t>
            </w:r>
          </w:p>
        </w:tc>
        <w:tc>
          <w:tcPr>
            <w:tcW w:w="13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Ps. 0.14000</w:t>
            </w:r>
          </w:p>
        </w:tc>
        <w:tc>
          <w:tcPr>
            <w:tcW w:w="19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$0.0145</w:t>
            </w:r>
          </w:p>
        </w:tc>
      </w:tr>
      <w:tr>
        <w:trPr>
          <w:trHeight w:val="168"/>
        </w:trPr>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May 30, 2003....</w:t>
            </w:r>
          </w:p>
        </w:tc>
        <w:tc>
          <w:tcPr>
            <w:tcW w:w="13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2002</w:t>
            </w:r>
          </w:p>
        </w:tc>
        <w:tc>
          <w:tcPr>
            <w:tcW w:w="1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Ps. 397,792,604</w:t>
            </w:r>
          </w:p>
        </w:tc>
        <w:tc>
          <w:tcPr>
            <w:tcW w:w="12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Ps. 0.0670</w:t>
            </w:r>
          </w:p>
        </w:tc>
        <w:tc>
          <w:tcPr>
            <w:tcW w:w="1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$0.0065</w:t>
            </w:r>
          </w:p>
        </w:tc>
        <w:tc>
          <w:tcPr>
            <w:tcW w:w="13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Ps. 0.08375</w:t>
            </w:r>
          </w:p>
        </w:tc>
        <w:tc>
          <w:tcPr>
            <w:tcW w:w="19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$0.0081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6" w:lineRule="exact"/>
        <w:rPr>
          <w:sz w:val="20"/>
          <w:szCs w:val="20"/>
          <w:color w:val="auto"/>
        </w:rPr>
      </w:pPr>
    </w:p>
    <w:p>
      <w:pPr>
        <w:ind w:left="440" w:right="4100" w:hanging="430"/>
        <w:spacing w:after="0" w:line="234" w:lineRule="auto"/>
        <w:tabs>
          <w:tab w:leader="none" w:pos="4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Translated to U.S. Dollars at the corresponding noon buying rate of the Federal Reserve Bank of New York.</w:t>
      </w:r>
    </w:p>
    <w:p>
      <w:pPr>
        <w:spacing w:after="0" w:line="173" w:lineRule="exact"/>
        <w:rPr>
          <w:rFonts w:ascii="Courier New" w:cs="Courier New" w:eastAsia="Courier New" w:hAnsi="Courier New"/>
          <w:sz w:val="15"/>
          <w:szCs w:val="15"/>
          <w:color w:val="auto"/>
        </w:rPr>
      </w:pPr>
    </w:p>
    <w:p>
      <w:pPr>
        <w:ind w:left="440" w:right="3840" w:hanging="430"/>
        <w:spacing w:after="0" w:line="235" w:lineRule="auto"/>
        <w:tabs>
          <w:tab w:leader="none" w:pos="4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amount of dividend declared is determined by the per series dividend amount multiplied by the number of shares outstanding at the date the dividend is declared:</w:t>
      </w:r>
    </w:p>
    <w:p>
      <w:pPr>
        <w:spacing w:after="0" w:line="167"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1660" w:type="dxa"/>
            <w:vAlign w:val="bottom"/>
          </w:tcPr>
          <w:p>
            <w:pPr>
              <w:spacing w:after="0"/>
              <w:rPr>
                <w:sz w:val="20"/>
                <w:szCs w:val="20"/>
                <w:color w:val="auto"/>
              </w:rPr>
            </w:pPr>
            <w:r>
              <w:rPr>
                <w:rFonts w:ascii="Courier New" w:cs="Courier New" w:eastAsia="Courier New" w:hAnsi="Courier New"/>
                <w:sz w:val="15"/>
                <w:szCs w:val="15"/>
                <w:color w:val="auto"/>
              </w:rPr>
              <w:t>Date Dividend Paid</w:t>
            </w:r>
          </w:p>
        </w:tc>
        <w:tc>
          <w:tcPr>
            <w:tcW w:w="26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Outstanding Shares</w:t>
            </w:r>
          </w:p>
        </w:tc>
      </w:tr>
      <w:tr>
        <w:trPr>
          <w:trHeight w:val="168"/>
        </w:trPr>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26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660" w:type="dxa"/>
            <w:vAlign w:val="bottom"/>
          </w:tcPr>
          <w:p>
            <w:pPr>
              <w:spacing w:after="0"/>
              <w:rPr>
                <w:sz w:val="14"/>
                <w:szCs w:val="14"/>
                <w:color w:val="auto"/>
              </w:rPr>
            </w:pP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Series B</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Series D</w:t>
            </w:r>
          </w:p>
        </w:tc>
      </w:tr>
      <w:tr>
        <w:trPr>
          <w:trHeight w:val="168"/>
        </w:trPr>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July 1, 1999</w:t>
            </w: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2,746,546,090</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2,594,794,360</w:t>
            </w:r>
          </w:p>
        </w:tc>
      </w:tr>
      <w:tr>
        <w:trPr>
          <w:trHeight w:val="168"/>
        </w:trPr>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July 31, 2000</w:t>
            </w: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2,746,546,090</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2,594,794,360</w:t>
            </w:r>
          </w:p>
        </w:tc>
      </w:tr>
      <w:tr>
        <w:trPr>
          <w:trHeight w:val="168"/>
        </w:trPr>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May 21, 2001</w:t>
            </w: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2,737,740,090</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2,559,570,360</w:t>
            </w:r>
          </w:p>
        </w:tc>
      </w:tr>
      <w:tr>
        <w:trPr>
          <w:trHeight w:val="168"/>
        </w:trPr>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May 31, 2002</w:t>
            </w: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2,737,740,090</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2,559,570,360</w:t>
            </w:r>
          </w:p>
        </w:tc>
      </w:tr>
      <w:tr>
        <w:trPr>
          <w:trHeight w:val="168"/>
        </w:trPr>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May 30, 2003</w:t>
            </w: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2,737,740,090</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2,559,570,360</w:t>
            </w:r>
          </w:p>
        </w:tc>
      </w:tr>
    </w:tbl>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Exchange Rate Information</w:t>
      </w:r>
    </w:p>
    <w:p>
      <w:pPr>
        <w:ind w:left="180" w:hanging="170"/>
        <w:spacing w:after="0" w:line="237" w:lineRule="auto"/>
        <w:tabs>
          <w:tab w:leader="none" w:pos="1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6"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Mexican Peso</w:t>
      </w:r>
    </w:p>
    <w:p>
      <w:pPr>
        <w:spacing w:after="0" w:line="173" w:lineRule="exact"/>
        <w:rPr>
          <w:sz w:val="20"/>
          <w:szCs w:val="20"/>
          <w:color w:val="auto"/>
        </w:rPr>
      </w:pPr>
    </w:p>
    <w:p>
      <w:pPr>
        <w:ind w:right="3760" w:firstLine="437"/>
        <w:spacing w:after="0" w:line="255" w:lineRule="auto"/>
        <w:rPr>
          <w:sz w:val="20"/>
          <w:szCs w:val="20"/>
          <w:color w:val="auto"/>
        </w:rPr>
      </w:pPr>
      <w:r>
        <w:rPr>
          <w:rFonts w:ascii="Courier New" w:cs="Courier New" w:eastAsia="Courier New" w:hAnsi="Courier New"/>
          <w:sz w:val="14"/>
          <w:szCs w:val="14"/>
          <w:color w:val="auto"/>
        </w:rPr>
        <w:t>In 1997 and for much of 1998, the foreign exchange markets were volatile as a result of financial crises in Asia and Russia and financial turmoil in countries including Brazil and Venezuela. The Peso declined during this period. However, it remained relatively stable through 1999, 2000 and most of 2001. Towards the end of 2001 and the beginning of 2002, the Peso appreciated considerably against the U.S. Dollar and even more so against other currencies. The value of the Peso peaked in March 2002 at Ps. 9.00 per U.S. Dollar. In the next twelve months, the Peso steadily depreciated, reaching an exchange rate of Ps. 11.235 per U.S. Dollar in March of 2003, representing a devaluation of approximately 25%. The weakening of the Peso corresponds to a period of mounting geopolitical instabilities and sagging financial markets in which the U.S. Dollar also depreciated significantly against the Euro. There can be no assurance that the Mexican government will maintain its current policies with regard to the Peso or that the Peso will not further depreciate significantly.</w:t>
      </w:r>
    </w:p>
    <w:p>
      <w:pPr>
        <w:spacing w:after="0" w:line="164" w:lineRule="exact"/>
        <w:rPr>
          <w:sz w:val="20"/>
          <w:szCs w:val="20"/>
          <w:color w:val="auto"/>
        </w:rPr>
      </w:pPr>
    </w:p>
    <w:p>
      <w:pPr>
        <w:ind w:right="3920" w:firstLine="437"/>
        <w:spacing w:after="0" w:line="235" w:lineRule="auto"/>
        <w:rPr>
          <w:sz w:val="20"/>
          <w:szCs w:val="20"/>
          <w:color w:val="auto"/>
        </w:rPr>
      </w:pPr>
      <w:r>
        <w:rPr>
          <w:rFonts w:ascii="Courier New" w:cs="Courier New" w:eastAsia="Courier New" w:hAnsi="Courier New"/>
          <w:sz w:val="15"/>
          <w:szCs w:val="15"/>
          <w:color w:val="auto"/>
        </w:rPr>
        <w:t>The following table sets forth, for the periods indicated, the high, low, average and period-end noon buying rates of the Federal Reserve Bank of New York, expressed in Pesos per U.S. Dollar. The rates have not been restated in constant currency units. All amounts are stated in Pesos.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760"/>
          </w:cols>
          <w:pgMar w:left="220" w:top="624" w:right="91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70"/>
        </w:trPr>
        <w:tc>
          <w:tcPr>
            <w:tcW w:w="4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100" w:type="dxa"/>
            <w:vAlign w:val="bottom"/>
            <w:gridSpan w:val="2"/>
          </w:tcPr>
          <w:p>
            <w:pPr>
              <w:jc w:val="right"/>
              <w:ind w:right="927"/>
              <w:spacing w:after="0"/>
              <w:rPr>
                <w:sz w:val="20"/>
                <w:szCs w:val="20"/>
                <w:color w:val="auto"/>
              </w:rPr>
            </w:pPr>
            <w:r>
              <w:rPr>
                <w:rFonts w:ascii="Courier New" w:cs="Courier New" w:eastAsia="Courier New" w:hAnsi="Courier New"/>
                <w:sz w:val="15"/>
                <w:szCs w:val="15"/>
                <w:color w:val="auto"/>
              </w:rPr>
              <w:t>Exchange Rate</w:t>
            </w:r>
          </w:p>
        </w:tc>
        <w:tc>
          <w:tcPr>
            <w:tcW w:w="1280" w:type="dxa"/>
            <w:vAlign w:val="bottom"/>
          </w:tcPr>
          <w:p>
            <w:pPr>
              <w:spacing w:after="0"/>
              <w:rPr>
                <w:sz w:val="14"/>
                <w:szCs w:val="14"/>
                <w:color w:val="auto"/>
              </w:rPr>
            </w:pPr>
          </w:p>
        </w:tc>
      </w:tr>
      <w:tr>
        <w:trPr>
          <w:trHeight w:val="168"/>
        </w:trPr>
        <w:tc>
          <w:tcPr>
            <w:tcW w:w="4160" w:type="dxa"/>
            <w:vAlign w:val="bottom"/>
          </w:tcPr>
          <w:p>
            <w:pPr>
              <w:spacing w:after="0"/>
              <w:rPr>
                <w:sz w:val="14"/>
                <w:szCs w:val="14"/>
                <w:color w:val="auto"/>
              </w:rPr>
            </w:pPr>
          </w:p>
        </w:tc>
        <w:tc>
          <w:tcPr>
            <w:tcW w:w="57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spacing w:after="0"/>
              <w:rPr>
                <w:sz w:val="14"/>
                <w:szCs w:val="14"/>
                <w:color w:val="auto"/>
              </w:rPr>
            </w:pP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High</w:t>
            </w:r>
          </w:p>
        </w:tc>
        <w:tc>
          <w:tcPr>
            <w:tcW w:w="15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Low</w:t>
            </w:r>
          </w:p>
        </w:tc>
        <w:tc>
          <w:tcPr>
            <w:tcW w:w="1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Average(1)</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Period End</w:t>
            </w:r>
          </w:p>
        </w:tc>
      </w:tr>
      <w:tr>
        <w:trPr>
          <w:trHeight w:val="168"/>
        </w:trPr>
        <w:tc>
          <w:tcPr>
            <w:tcW w:w="4160" w:type="dxa"/>
            <w:vAlign w:val="bottom"/>
          </w:tcPr>
          <w:p>
            <w:pPr>
              <w:spacing w:after="0"/>
              <w:rPr>
                <w:sz w:val="14"/>
                <w:szCs w:val="14"/>
                <w:color w:val="auto"/>
              </w:rPr>
            </w:pP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16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10.63</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8.04</w:t>
            </w:r>
          </w:p>
        </w:tc>
        <w:tc>
          <w:tcPr>
            <w:tcW w:w="15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9.24</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9.90</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1999.........................................</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10.60</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9.24</w:t>
            </w:r>
          </w:p>
        </w:tc>
        <w:tc>
          <w:tcPr>
            <w:tcW w:w="15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9.56</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9.48</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2000.........................................</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10.09</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9.18</w:t>
            </w:r>
          </w:p>
        </w:tc>
        <w:tc>
          <w:tcPr>
            <w:tcW w:w="15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9.47</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9.62</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2001.........................................</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9.97</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8.95</w:t>
            </w:r>
          </w:p>
        </w:tc>
        <w:tc>
          <w:tcPr>
            <w:tcW w:w="15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9.33</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9.16</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2002.........................................</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10.43</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9.00</w:t>
            </w:r>
          </w:p>
        </w:tc>
        <w:tc>
          <w:tcPr>
            <w:tcW w:w="15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9.75</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10.43</w:t>
            </w:r>
          </w:p>
        </w:tc>
      </w:tr>
      <w:tr>
        <w:trPr>
          <w:trHeight w:val="168"/>
        </w:trPr>
        <w:tc>
          <w:tcPr>
            <w:tcW w:w="41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Three months ended March 31, 2003............</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11.24</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10.32</w:t>
            </w:r>
          </w:p>
        </w:tc>
        <w:tc>
          <w:tcPr>
            <w:tcW w:w="15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10.90</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10.78</w:t>
            </w:r>
          </w:p>
        </w:tc>
      </w:tr>
      <w:tr>
        <w:trPr>
          <w:trHeight w:val="673"/>
        </w:trPr>
        <w:tc>
          <w:tcPr>
            <w:tcW w:w="416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13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High</w:t>
            </w:r>
          </w:p>
        </w:tc>
        <w:tc>
          <w:tcPr>
            <w:tcW w:w="15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Low</w:t>
            </w:r>
          </w:p>
        </w:tc>
        <w:tc>
          <w:tcPr>
            <w:tcW w:w="1520" w:type="dxa"/>
            <w:vAlign w:val="bottom"/>
          </w:tcPr>
          <w:p>
            <w:pPr>
              <w:spacing w:after="0"/>
              <w:rPr>
                <w:sz w:val="24"/>
                <w:szCs w:val="24"/>
                <w:color w:val="auto"/>
              </w:rPr>
            </w:pP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Period End</w:t>
            </w:r>
          </w:p>
        </w:tc>
      </w:tr>
      <w:tr>
        <w:trPr>
          <w:trHeight w:val="168"/>
        </w:trPr>
        <w:tc>
          <w:tcPr>
            <w:tcW w:w="4160" w:type="dxa"/>
            <w:vAlign w:val="bottom"/>
          </w:tcPr>
          <w:p>
            <w:pPr>
              <w:spacing w:after="0"/>
              <w:rPr>
                <w:sz w:val="14"/>
                <w:szCs w:val="14"/>
                <w:color w:val="auto"/>
              </w:rPr>
            </w:pPr>
          </w:p>
        </w:tc>
        <w:tc>
          <w:tcPr>
            <w:tcW w:w="13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spacing w:after="0"/>
              <w:rPr>
                <w:sz w:val="14"/>
                <w:szCs w:val="14"/>
                <w:color w:val="auto"/>
              </w:rPr>
            </w:pP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January.................................</w:t>
            </w: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9.2500</w:t>
            </w:r>
          </w:p>
        </w:tc>
        <w:tc>
          <w:tcPr>
            <w:tcW w:w="15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9.0950</w:t>
            </w:r>
          </w:p>
        </w:tc>
        <w:tc>
          <w:tcPr>
            <w:tcW w:w="1520" w:type="dxa"/>
            <w:vAlign w:val="bottom"/>
          </w:tcPr>
          <w:p>
            <w:pPr>
              <w:spacing w:after="0"/>
              <w:rPr>
                <w:sz w:val="14"/>
                <w:szCs w:val="14"/>
                <w:color w:val="auto"/>
              </w:rPr>
            </w:pP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9.1520</w:t>
            </w:r>
          </w:p>
        </w:tc>
      </w:tr>
      <w:tr>
        <w:trPr>
          <w:trHeight w:val="168"/>
        </w:trPr>
        <w:tc>
          <w:tcPr>
            <w:tcW w:w="41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February................................</w:t>
            </w: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9.1700</w:t>
            </w:r>
          </w:p>
        </w:tc>
        <w:tc>
          <w:tcPr>
            <w:tcW w:w="15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9.0480</w:t>
            </w:r>
          </w:p>
        </w:tc>
        <w:tc>
          <w:tcPr>
            <w:tcW w:w="1520" w:type="dxa"/>
            <w:vAlign w:val="bottom"/>
          </w:tcPr>
          <w:p>
            <w:pPr>
              <w:spacing w:after="0"/>
              <w:rPr>
                <w:sz w:val="14"/>
                <w:szCs w:val="14"/>
                <w:color w:val="auto"/>
              </w:rPr>
            </w:pP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9.1300</w:t>
            </w:r>
          </w:p>
        </w:tc>
      </w:tr>
      <w:tr>
        <w:trPr>
          <w:trHeight w:val="168"/>
        </w:trPr>
        <w:tc>
          <w:tcPr>
            <w:tcW w:w="41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March...................................</w:t>
            </w: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9.1140</w:t>
            </w:r>
          </w:p>
        </w:tc>
        <w:tc>
          <w:tcPr>
            <w:tcW w:w="15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9.0005</w:t>
            </w:r>
          </w:p>
        </w:tc>
        <w:tc>
          <w:tcPr>
            <w:tcW w:w="1520" w:type="dxa"/>
            <w:vAlign w:val="bottom"/>
          </w:tcPr>
          <w:p>
            <w:pPr>
              <w:spacing w:after="0"/>
              <w:rPr>
                <w:sz w:val="14"/>
                <w:szCs w:val="14"/>
                <w:color w:val="auto"/>
              </w:rPr>
            </w:pP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9.0005</w:t>
            </w:r>
          </w:p>
        </w:tc>
      </w:tr>
      <w:tr>
        <w:trPr>
          <w:trHeight w:val="168"/>
        </w:trPr>
        <w:tc>
          <w:tcPr>
            <w:tcW w:w="41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April...................................</w:t>
            </w: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9.3750</w:t>
            </w:r>
          </w:p>
        </w:tc>
        <w:tc>
          <w:tcPr>
            <w:tcW w:w="15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9.0020</w:t>
            </w:r>
          </w:p>
        </w:tc>
        <w:tc>
          <w:tcPr>
            <w:tcW w:w="1520" w:type="dxa"/>
            <w:vAlign w:val="bottom"/>
          </w:tcPr>
          <w:p>
            <w:pPr>
              <w:spacing w:after="0"/>
              <w:rPr>
                <w:sz w:val="14"/>
                <w:szCs w:val="14"/>
                <w:color w:val="auto"/>
              </w:rPr>
            </w:pP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9.3750</w:t>
            </w:r>
          </w:p>
        </w:tc>
      </w:tr>
      <w:tr>
        <w:trPr>
          <w:trHeight w:val="168"/>
        </w:trPr>
        <w:tc>
          <w:tcPr>
            <w:tcW w:w="41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May.....................................</w:t>
            </w: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9.7130</w:t>
            </w:r>
          </w:p>
        </w:tc>
        <w:tc>
          <w:tcPr>
            <w:tcW w:w="15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9.4075</w:t>
            </w:r>
          </w:p>
        </w:tc>
        <w:tc>
          <w:tcPr>
            <w:tcW w:w="1520" w:type="dxa"/>
            <w:vAlign w:val="bottom"/>
          </w:tcPr>
          <w:p>
            <w:pPr>
              <w:spacing w:after="0"/>
              <w:rPr>
                <w:sz w:val="14"/>
                <w:szCs w:val="14"/>
                <w:color w:val="auto"/>
              </w:rPr>
            </w:pP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9.6525</w:t>
            </w:r>
          </w:p>
        </w:tc>
      </w:tr>
      <w:tr>
        <w:trPr>
          <w:trHeight w:val="168"/>
        </w:trPr>
        <w:tc>
          <w:tcPr>
            <w:tcW w:w="41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June....................................</w:t>
            </w: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9.9800</w:t>
            </w:r>
          </w:p>
        </w:tc>
        <w:tc>
          <w:tcPr>
            <w:tcW w:w="15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9.6050</w:t>
            </w:r>
          </w:p>
        </w:tc>
        <w:tc>
          <w:tcPr>
            <w:tcW w:w="1520" w:type="dxa"/>
            <w:vAlign w:val="bottom"/>
          </w:tcPr>
          <w:p>
            <w:pPr>
              <w:spacing w:after="0"/>
              <w:rPr>
                <w:sz w:val="14"/>
                <w:szCs w:val="14"/>
                <w:color w:val="auto"/>
              </w:rPr>
            </w:pP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9.9800</w:t>
            </w:r>
          </w:p>
        </w:tc>
      </w:tr>
      <w:tr>
        <w:trPr>
          <w:trHeight w:val="168"/>
        </w:trPr>
        <w:tc>
          <w:tcPr>
            <w:tcW w:w="41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July....................................</w:t>
            </w: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9.9697</w:t>
            </w:r>
          </w:p>
        </w:tc>
        <w:tc>
          <w:tcPr>
            <w:tcW w:w="15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9.6130</w:t>
            </w:r>
          </w:p>
        </w:tc>
        <w:tc>
          <w:tcPr>
            <w:tcW w:w="1520" w:type="dxa"/>
            <w:vAlign w:val="bottom"/>
          </w:tcPr>
          <w:p>
            <w:pPr>
              <w:spacing w:after="0"/>
              <w:rPr>
                <w:sz w:val="14"/>
                <w:szCs w:val="14"/>
                <w:color w:val="auto"/>
              </w:rPr>
            </w:pP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9.8000</w:t>
            </w:r>
          </w:p>
        </w:tc>
      </w:tr>
      <w:tr>
        <w:trPr>
          <w:trHeight w:val="168"/>
        </w:trPr>
        <w:tc>
          <w:tcPr>
            <w:tcW w:w="41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August..................................</w:t>
            </w: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9.9620</w:t>
            </w:r>
          </w:p>
        </w:tc>
        <w:tc>
          <w:tcPr>
            <w:tcW w:w="15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9.7380</w:t>
            </w:r>
          </w:p>
        </w:tc>
        <w:tc>
          <w:tcPr>
            <w:tcW w:w="1520" w:type="dxa"/>
            <w:vAlign w:val="bottom"/>
          </w:tcPr>
          <w:p>
            <w:pPr>
              <w:spacing w:after="0"/>
              <w:rPr>
                <w:sz w:val="14"/>
                <w:szCs w:val="14"/>
                <w:color w:val="auto"/>
              </w:rPr>
            </w:pP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9.9185</w:t>
            </w:r>
          </w:p>
        </w:tc>
      </w:tr>
      <w:tr>
        <w:trPr>
          <w:trHeight w:val="168"/>
        </w:trPr>
        <w:tc>
          <w:tcPr>
            <w:tcW w:w="41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September...............................</w:t>
            </w: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10.3500</w:t>
            </w:r>
          </w:p>
        </w:tc>
        <w:tc>
          <w:tcPr>
            <w:tcW w:w="15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9.9785</w:t>
            </w:r>
          </w:p>
        </w:tc>
        <w:tc>
          <w:tcPr>
            <w:tcW w:w="1520" w:type="dxa"/>
            <w:vAlign w:val="bottom"/>
          </w:tcPr>
          <w:p>
            <w:pPr>
              <w:spacing w:after="0"/>
              <w:rPr>
                <w:sz w:val="14"/>
                <w:szCs w:val="14"/>
                <w:color w:val="auto"/>
              </w:rPr>
            </w:pP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10.2120</w:t>
            </w:r>
          </w:p>
        </w:tc>
      </w:tr>
      <w:tr>
        <w:trPr>
          <w:trHeight w:val="168"/>
        </w:trPr>
        <w:tc>
          <w:tcPr>
            <w:tcW w:w="41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October.................................</w:t>
            </w: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10.2220</w:t>
            </w:r>
          </w:p>
        </w:tc>
        <w:tc>
          <w:tcPr>
            <w:tcW w:w="15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9.9470</w:t>
            </w:r>
          </w:p>
        </w:tc>
        <w:tc>
          <w:tcPr>
            <w:tcW w:w="1520" w:type="dxa"/>
            <w:vAlign w:val="bottom"/>
          </w:tcPr>
          <w:p>
            <w:pPr>
              <w:spacing w:after="0"/>
              <w:rPr>
                <w:sz w:val="14"/>
                <w:szCs w:val="14"/>
                <w:color w:val="auto"/>
              </w:rPr>
            </w:pP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10.1500</w:t>
            </w:r>
          </w:p>
        </w:tc>
      </w:tr>
      <w:tr>
        <w:trPr>
          <w:trHeight w:val="168"/>
        </w:trPr>
        <w:tc>
          <w:tcPr>
            <w:tcW w:w="41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November................................</w:t>
            </w: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10.3420</w:t>
            </w:r>
          </w:p>
        </w:tc>
        <w:tc>
          <w:tcPr>
            <w:tcW w:w="15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10.0920</w:t>
            </w:r>
          </w:p>
        </w:tc>
        <w:tc>
          <w:tcPr>
            <w:tcW w:w="1520" w:type="dxa"/>
            <w:vAlign w:val="bottom"/>
          </w:tcPr>
          <w:p>
            <w:pPr>
              <w:spacing w:after="0"/>
              <w:rPr>
                <w:sz w:val="14"/>
                <w:szCs w:val="14"/>
                <w:color w:val="auto"/>
              </w:rPr>
            </w:pP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10.1540</w:t>
            </w:r>
          </w:p>
        </w:tc>
      </w:tr>
      <w:tr>
        <w:trPr>
          <w:trHeight w:val="168"/>
        </w:trPr>
        <w:tc>
          <w:tcPr>
            <w:tcW w:w="41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December................................</w:t>
            </w: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10.4250</w:t>
            </w:r>
          </w:p>
        </w:tc>
        <w:tc>
          <w:tcPr>
            <w:tcW w:w="15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10.1025</w:t>
            </w:r>
          </w:p>
        </w:tc>
        <w:tc>
          <w:tcPr>
            <w:tcW w:w="1520" w:type="dxa"/>
            <w:vAlign w:val="bottom"/>
          </w:tcPr>
          <w:p>
            <w:pPr>
              <w:spacing w:after="0"/>
              <w:rPr>
                <w:sz w:val="14"/>
                <w:szCs w:val="14"/>
                <w:color w:val="auto"/>
              </w:rPr>
            </w:pP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10.4250</w:t>
            </w:r>
          </w:p>
        </w:tc>
      </w:tr>
      <w:tr>
        <w:trPr>
          <w:trHeight w:val="336"/>
        </w:trPr>
        <w:tc>
          <w:tcPr>
            <w:tcW w:w="416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1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8"/>
        </w:trPr>
        <w:tc>
          <w:tcPr>
            <w:tcW w:w="41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January.................................</w:t>
            </w: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10.9780</w:t>
            </w:r>
          </w:p>
        </w:tc>
        <w:tc>
          <w:tcPr>
            <w:tcW w:w="15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10.3210</w:t>
            </w:r>
          </w:p>
        </w:tc>
        <w:tc>
          <w:tcPr>
            <w:tcW w:w="1520" w:type="dxa"/>
            <w:vAlign w:val="bottom"/>
          </w:tcPr>
          <w:p>
            <w:pPr>
              <w:spacing w:after="0"/>
              <w:rPr>
                <w:sz w:val="14"/>
                <w:szCs w:val="14"/>
                <w:color w:val="auto"/>
              </w:rPr>
            </w:pP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10.9020</w:t>
            </w:r>
          </w:p>
        </w:tc>
      </w:tr>
      <w:tr>
        <w:trPr>
          <w:trHeight w:val="168"/>
        </w:trPr>
        <w:tc>
          <w:tcPr>
            <w:tcW w:w="41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February................................</w:t>
            </w: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11.0640</w:t>
            </w:r>
          </w:p>
        </w:tc>
        <w:tc>
          <w:tcPr>
            <w:tcW w:w="15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10.7740</w:t>
            </w:r>
          </w:p>
        </w:tc>
        <w:tc>
          <w:tcPr>
            <w:tcW w:w="1520" w:type="dxa"/>
            <w:vAlign w:val="bottom"/>
          </w:tcPr>
          <w:p>
            <w:pPr>
              <w:spacing w:after="0"/>
              <w:rPr>
                <w:sz w:val="14"/>
                <w:szCs w:val="14"/>
                <w:color w:val="auto"/>
              </w:rPr>
            </w:pP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11.0285</w:t>
            </w:r>
          </w:p>
        </w:tc>
      </w:tr>
      <w:tr>
        <w:trPr>
          <w:trHeight w:val="168"/>
        </w:trPr>
        <w:tc>
          <w:tcPr>
            <w:tcW w:w="41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March...................................</w:t>
            </w: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11.2350</w:t>
            </w:r>
          </w:p>
        </w:tc>
        <w:tc>
          <w:tcPr>
            <w:tcW w:w="15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10.6610</w:t>
            </w:r>
          </w:p>
        </w:tc>
        <w:tc>
          <w:tcPr>
            <w:tcW w:w="1520" w:type="dxa"/>
            <w:vAlign w:val="bottom"/>
          </w:tcPr>
          <w:p>
            <w:pPr>
              <w:spacing w:after="0"/>
              <w:rPr>
                <w:sz w:val="14"/>
                <w:szCs w:val="14"/>
                <w:color w:val="auto"/>
              </w:rPr>
            </w:pP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10.7820</w:t>
            </w:r>
          </w:p>
        </w:tc>
      </w:tr>
      <w:tr>
        <w:trPr>
          <w:trHeight w:val="168"/>
        </w:trPr>
        <w:tc>
          <w:tcPr>
            <w:tcW w:w="41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April...................................</w:t>
            </w: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10.7700</w:t>
            </w:r>
          </w:p>
        </w:tc>
        <w:tc>
          <w:tcPr>
            <w:tcW w:w="15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10.3080</w:t>
            </w:r>
          </w:p>
        </w:tc>
        <w:tc>
          <w:tcPr>
            <w:tcW w:w="1520" w:type="dxa"/>
            <w:vAlign w:val="bottom"/>
          </w:tcPr>
          <w:p>
            <w:pPr>
              <w:spacing w:after="0"/>
              <w:rPr>
                <w:sz w:val="14"/>
                <w:szCs w:val="14"/>
                <w:color w:val="auto"/>
              </w:rPr>
            </w:pP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10.3080</w:t>
            </w:r>
          </w:p>
        </w:tc>
      </w:tr>
      <w:tr>
        <w:trPr>
          <w:trHeight w:val="168"/>
        </w:trPr>
        <w:tc>
          <w:tcPr>
            <w:tcW w:w="41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May.....................................</w:t>
            </w: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10.4240</w:t>
            </w:r>
          </w:p>
        </w:tc>
        <w:tc>
          <w:tcPr>
            <w:tcW w:w="15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10.1130</w:t>
            </w:r>
          </w:p>
        </w:tc>
        <w:tc>
          <w:tcPr>
            <w:tcW w:w="1520" w:type="dxa"/>
            <w:vAlign w:val="bottom"/>
          </w:tcPr>
          <w:p>
            <w:pPr>
              <w:spacing w:after="0"/>
              <w:rPr>
                <w:sz w:val="14"/>
                <w:szCs w:val="14"/>
                <w:color w:val="auto"/>
              </w:rPr>
            </w:pP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10.3400</w:t>
            </w:r>
          </w:p>
        </w:tc>
      </w:tr>
      <w:tr>
        <w:trPr>
          <w:trHeight w:val="168"/>
        </w:trPr>
        <w:tc>
          <w:tcPr>
            <w:tcW w:w="41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June(2).................................</w:t>
            </w: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10.7390</w:t>
            </w:r>
          </w:p>
        </w:tc>
        <w:tc>
          <w:tcPr>
            <w:tcW w:w="15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10.2440</w:t>
            </w:r>
          </w:p>
        </w:tc>
        <w:tc>
          <w:tcPr>
            <w:tcW w:w="1520" w:type="dxa"/>
            <w:vAlign w:val="bottom"/>
          </w:tcPr>
          <w:p>
            <w:pPr>
              <w:spacing w:after="0"/>
              <w:rPr>
                <w:sz w:val="14"/>
                <w:szCs w:val="14"/>
                <w:color w:val="auto"/>
              </w:rPr>
            </w:pP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10.6000</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w:t>
      </w:r>
    </w:p>
    <w:p>
      <w:pPr>
        <w:spacing w:after="0" w:line="166" w:lineRule="exact"/>
        <w:rPr>
          <w:sz w:val="20"/>
          <w:szCs w:val="20"/>
          <w:color w:val="auto"/>
        </w:rPr>
      </w:pPr>
    </w:p>
    <w:p>
      <w:pPr>
        <w:ind w:left="540" w:hanging="530"/>
        <w:spacing w:after="0"/>
        <w:tabs>
          <w:tab w:leader="none" w:pos="5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Average of end of month rates.</w:t>
      </w:r>
    </w:p>
    <w:p>
      <w:pPr>
        <w:ind w:left="540" w:hanging="530"/>
        <w:spacing w:after="0" w:line="237" w:lineRule="auto"/>
        <w:tabs>
          <w:tab w:leader="none" w:pos="5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June 1, 2003 to June 13, 2003.</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953" w:right="1440" w:bottom="1440" w:gutter="0" w:footer="0" w:header="0"/>
        </w:sectPr>
      </w:pPr>
    </w:p>
    <w:bookmarkStart w:id="12" w:name="page13"/>
    <w:bookmarkEnd w:id="12"/>
    <w:p>
      <w:pPr>
        <w:ind w:left="2980"/>
        <w:spacing w:after="0"/>
        <w:rPr>
          <w:sz w:val="20"/>
          <w:szCs w:val="20"/>
          <w:color w:val="auto"/>
        </w:rPr>
      </w:pPr>
      <w:r>
        <w:rPr>
          <w:rFonts w:ascii="Courier New" w:cs="Courier New" w:eastAsia="Courier New" w:hAnsi="Courier New"/>
          <w:sz w:val="15"/>
          <w:szCs w:val="15"/>
          <w:color w:val="auto"/>
        </w:rPr>
        <w:t>Risk Factors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Related to Our Company</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FEMSA Cerveza</w:t>
      </w:r>
    </w:p>
    <w:p>
      <w:pPr>
        <w:spacing w:after="0" w:line="173"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Unfavorable economic conditions in Mexico and the United States may affect FEMSA Cerveza's business.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Demand for FEMSA Cerveza's products in Mexico may be affected by the economic slowdown in the United States and Mexico. In particular, demand in our northern stronghold regions, where there are a large number of border towns, has been effected by the disproportionate impact of the downturn in the United States. In addition, our exports to the United States may be affected by reduced demand in the United States or a reduction in prices by our competitors. Any depreciation of the Peso in connection with these downturns may negatively effect our results of operations because a significant portion of our costs and expenses are denominated in or determined by reference to U.S. Dollars.</w:t>
      </w:r>
    </w:p>
    <w:p>
      <w:pPr>
        <w:spacing w:after="0" w:line="165"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Uncertainty in commodity prices of raw materials used in beer production may result in increased costs.</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FEMSA Cerveza purchases a number of commodities for the production of its products (principally barley, malt and hops) from Mexican producers and in the international markets. The prices of such commodities can fluctuate and are determined by global supply and demand and other factors, including changes in exchange rates, over which FEMSA Cerveza has no control. There can be no assurance that FEMSA Cerveza will be able to recover increases in the cost of raw materials. See "Item 4. Information on the Company--FEMSA Cerveza--Raw Materials."</w:t>
      </w:r>
    </w:p>
    <w:p>
      <w:pPr>
        <w:spacing w:after="0" w:line="177" w:lineRule="exact"/>
        <w:rPr>
          <w:sz w:val="20"/>
          <w:szCs w:val="20"/>
          <w:color w:val="auto"/>
        </w:rPr>
      </w:pPr>
    </w:p>
    <w:p>
      <w:pPr>
        <w:ind w:right="3319" w:firstLine="437"/>
        <w:spacing w:after="0" w:line="261" w:lineRule="auto"/>
        <w:rPr>
          <w:sz w:val="20"/>
          <w:szCs w:val="20"/>
          <w:color w:val="auto"/>
        </w:rPr>
      </w:pPr>
      <w:r>
        <w:rPr>
          <w:rFonts w:ascii="Courier New" w:cs="Courier New" w:eastAsia="Courier New" w:hAnsi="Courier New"/>
          <w:sz w:val="14"/>
          <w:szCs w:val="14"/>
          <w:color w:val="auto"/>
        </w:rPr>
        <w:t>Labatt, through a joint venture with FEMSA Cerveza, has significant rights that may allow Labatt to influence the conduct of FEMSA Cerveza's business.</w:t>
      </w:r>
    </w:p>
    <w:p>
      <w:pPr>
        <w:spacing w:after="0" w:line="160"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Labatt Brewing Company Limited ("Labatt") owns 30% of the capital stock of FEMSA Cerveza. FEMSA Cerveza's relationship with Labatt gives Labatt significant rights, which may allow Labatt to influence the conduct of FEMSA Cerveza's business. Under the bylaws of FEMSA Cerveza, Labatt may appoint four directors to FEMSA Cerveza's 15 member Board of Directors. As long as Labatt or its controlled affiliates or permitted transferees hold certain shares of FEMSA Cerveza representing at least 20% of the outstanding capital stock, Labatt has the right to approve the appointment of the senior operating vice presidents of FEMSA Cerveza and veto certain decisions of the Board of Directors. In addition, an affiliate of Labatt ("Labatt USA"), 30% of which is owned by FEMSA Cerveza, is the exclusive importer of FEMSA Cerveza's brands into the United States. As such, FEMSA Cerveza's exports to the United States may depend on Labatt. See "Item 10. Additional Information--Material Contracts--FEMSA Cerveza." On April 29, 2002, a subsidiary of FEMSA Cerveza filed a lawsuit against certain affiliates of Labatt to enjoin the integration of the beer brands of Beck's North America ("Beck's") into the beer distribution portfolio of Labatt USA. FEMSA Cerveza believes that the proposed integration requires the approval of the affirmative vote of the Directors appointed by FEMSA Cerveza. On May 23, 2002 a preliminary injunction was issued to prevent the integration of Beck's into the Labatt USA portfolio. Certain affiliates of Labatt appealed this ruling on May 28, 2002 and the appellate argument took place on August 7, 2002. The United States Court of Appeals has not yet issued a ruling on the defendant's appeal. See "Item 8. Financial Information--Legal Proceedings." An ongoing dispute between FEMSA Cerveza and Labatt may have an effect on our relations with Labatt and potentially our exports in the United States.</w:t>
      </w:r>
    </w:p>
    <w:p>
      <w:pPr>
        <w:spacing w:after="0" w:line="177"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FEMSA Cerveza's sales in the Mexican market may depend on its ability to compete with Grupo Modelo.</w:t>
      </w:r>
    </w:p>
    <w:p>
      <w:pPr>
        <w:spacing w:after="0" w:line="173"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FEMSA Cerveza faces competition in the Mexican beer market from Grupo Modelo, S.A. de C.V. ("Grupo Modelo"). FEMSA Cerveza's ability to compete successfully in the Mexican beer market will have a significant impact on its Mexican sales. See "Item 4. Information on the Company--FEMSA Cerveza--The Mexican Beer Market."</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617" w:right="1440" w:bottom="1440" w:gutter="0" w:footer="0" w:header="0"/>
        </w:sectPr>
      </w:pPr>
    </w:p>
    <w:bookmarkStart w:id="13" w:name="page14"/>
    <w:bookmarkEnd w:id="13"/>
    <w:p>
      <w:pPr>
        <w:ind w:left="440"/>
        <w:spacing w:after="0"/>
        <w:rPr>
          <w:sz w:val="20"/>
          <w:szCs w:val="20"/>
          <w:color w:val="auto"/>
        </w:rPr>
      </w:pPr>
      <w:r>
        <w:rPr>
          <w:rFonts w:ascii="Courier New" w:cs="Courier New" w:eastAsia="Courier New" w:hAnsi="Courier New"/>
          <w:sz w:val="15"/>
          <w:szCs w:val="15"/>
          <w:color w:val="auto"/>
        </w:rPr>
        <w:t>Competition from imports in the Mexican beer market is increasing.</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Imports do not currently constitute a significant portion of the Mexican beer market. Under the North American Free Trade Agreement ("NAFTA"), the tariffs applicable to imported beers from the United States and Canada were eliminated in January 2001. In the first half of 2002, the strength of the Peso versus the U.S. Dollar resulted in increased presence of imports in retail outlets, particularly in northern Mexico. In addition, during 2002, some supermarket chains began directly importing beer and selling it at discount prices. FEMSA Cerveza believes that imports will continue to represent a small percentage of the Mexican beer market. Increased import competition, however, could lead to greater competition in general, and there can be no assurance that such a trend would not affect FEMSA Cerveza. See "Item 4. Information on the Company--FEMSA Cerveza--The Mexican Beer Market."</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Regulatory developments in Mexico could affect FEMSA Cerveza's business.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FEMSA Cerveza's business is subject to a variety of different Mexican government regulations, both federal and local, and may be affected by changes in law, regulation or regulatory policy. Actions of Mexican federal and local authorities, in particular changes in governmental policy with respect to excise and value-added tax laws, cold beer regulation or the beer industry practice of "tied-customer arrangements," which are agreements with retailers to sell and promote its products, may have a material adverse impact on FEMSA Cerveza's business, financial conditions and results of operations.</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Federal regulation of beer consumption in Mexico is primarily effected through a 25% excise tax and a 15% value-added tax. We do not anticipate an increase in these taxes, but federal regulation relating to excise taxes may change in the future, resulting in an increase or decrease in the tax. Local regulations are primarily effected through the issuance of licenses, which authorize retailers to sell alcoholic beverages. Other regulations affecting beer consumption in Mexico vary according to local jurisdictions and include limitations on the hours during which restaurants, bars and other retail outlets are allowed to sell beer. See "Item 4. Information on the Company--FEMSA Cerveza--The Mexican Beer Market."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 water supply shortage could affect FEMSA Cerveza's business.</w:t>
      </w:r>
    </w:p>
    <w:p>
      <w:pPr>
        <w:spacing w:after="0" w:line="173"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FEMSA Cerveza purchases water from government entities and obtains pump water from its own wells pursuant to concessions granted by the Mexican government.</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FEMSA Cerveza believes that its water concessions will satisfy its current and future water requirements. There can be no assurance, however, that isolated periods of adverse weather will not affect FEMSA Cerveza's supply of water to meet its future production needs in any given period, or that its concessions will not be terminated by the Mexican government or prove insufficient to meet its water demand.</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Coca-Cola FEMSA</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 prolonged economic slowdown may affect Coca-Cola FEMSA's profit margin.</w:t>
      </w:r>
    </w:p>
    <w:p>
      <w:pPr>
        <w:spacing w:after="0" w:line="178"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If the Mexican economy falls into a recession or if inflation and interest rates increase significantly, demand for soft drinks may decrease as consumers find it more difficult to pay for Coca-Cola FEMSA's products or demand may shift to lower margin products or lower margin presentations. Because a large percentage of our costs are fixed costs, Coca-Cola FEMSA may not be able to maintain its costs and expenses at their current levels and its profits margins may suffer as a result. This could have a material adverse effect on Coca-Cola FEMSA's financial condition and results of operation.</w:t>
      </w:r>
    </w:p>
    <w:p>
      <w:pPr>
        <w:spacing w:after="0" w:line="166"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Coca-Cola FEMSA's business depends significantly on its relationship with The Coca-Cola Company.</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Approximately 98% of Coca-Cola FEMSA's net sales in 2002 were derived from the distribution of Coca-Cola trademark beverages. Coca-Cola FEMSA produces, markets and distributes Coca-Cola trademark beverages through standard bottler agreements. These bottler agreements with The Coca-Cola Company cover all of Coca-Cola FEMSA's present territories, including the Panamco territories. Through its rights under the bottler agreements, The Coca-Cola Company has the ability to exercise substantial influence over the conduct of Coca-Cola FEMSA's business. See "Item 10. Additional Information--Material Contracts-- Coca-Cola FEMSA--Bottler Agreements."</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617" w:right="1440" w:bottom="1440" w:gutter="0" w:footer="0" w:header="0"/>
        </w:sectPr>
      </w:pPr>
    </w:p>
    <w:bookmarkStart w:id="14" w:name="page15"/>
    <w:bookmarkEnd w:id="14"/>
    <w:p>
      <w:pPr>
        <w:ind w:right="3239" w:firstLine="437"/>
        <w:spacing w:after="0" w:line="237" w:lineRule="auto"/>
        <w:rPr>
          <w:sz w:val="20"/>
          <w:szCs w:val="20"/>
          <w:color w:val="auto"/>
        </w:rPr>
      </w:pPr>
      <w:r>
        <w:rPr>
          <w:rFonts w:ascii="Courier New" w:cs="Courier New" w:eastAsia="Courier New" w:hAnsi="Courier New"/>
          <w:sz w:val="15"/>
          <w:szCs w:val="15"/>
          <w:color w:val="auto"/>
        </w:rPr>
        <w:t>Under Coca-Cola FEMSA's bottler agreements, The Coca-Cola Company may unilaterally set the price for its concentrate. Furthermore, in conjunction with The Coca-Cola Company, Coca-Cola FEMSA prepares a three-year general business plan that is submitted to its board of directors for approval. The Coca-Cola Company may require that Coca-Cola FEMSA demonstrate its financial ability to meet its plans and may terminate Coca-Cola FEMSA's rights to produce, market and distribute soft drinks in territories with respect to which such approval is withheld. Coca-Cola FEMSA is prohibited from bottling any soft drink product without The Coca-Cola Company's authority or consent. The Coca-Cola Company has the exclusive right to import and export Coca-Cola trademark beverages to and from Coca-Cola FEMSA's territories. In addition, Coca-Cola FEMSA may not transfer control of its bottling rights for a territory without the consent of The Coca-Cola Company.</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Coca-Cola FEMSA is dependent on The Coca-Cola Company to renew its bottler agreements. The two bottler agreements that cover Coca-Cola FEMSA's Mexican Territories (other than those acquired from Panamco) will each expire in 2013, and the Buenos Aires bottler agreement will expire in 2004. These bottler agreements are automatically renewable for additional ten-year terms, unless either party gives notice within a specified time period of its intention not to renew the agreement. The bottler agreements covering Panamco's Mexican subsidiaries have a ten-year term ending in 2005 while the Panamco bottler agreements in Guatemala, Nicaragua, Costa Rica, Panama, Colombia, Venezuela and Brazil have five year terms. Coca-Cola FEMSA's bottler agreements, and therefore its right to distribute Coca-Cola trademark beverages, are subject to termination by The Coca-Cola Company in the event of default by Coca-Cola FEMSA or upon expiration at their term. No assurance can be given that Coca-Cola FEMSA's bottler agreements will be renewed upon the expiration of their respective terms. Non-renewal of the bottler agreements would have a material adverse effect on Coca-Cola FEMSA's business, financial condition, prospects and results of operations. See "Item 10. Additional Information--Material Contracts-- Coca-Cola FEMSA--Bottler Agreements."</w:t>
      </w:r>
    </w:p>
    <w:p>
      <w:pPr>
        <w:spacing w:after="0" w:line="33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Coca-Cola Company indirectly owns 39.6% of Coca-Cola FEMSA's outstanding capital stock, representing 46.4% of the voting rights in Coca-Cola FEMSA. The Coca-Cola Company is entitled to appoint four of Coca-Cola FEMSA's 18 directors and certain of Coca-Cola FEMSA's executive officers and, except under limited circumstances, has the power to veto significant decisions of Coca-Cola FEMSA's board of directors. The Coca-Cola Company thus has the power to affect the outcome of all actions requiring approval by Coca-Cola FEMSA's board of directors and, except in certain limited situations, has the power to affect the outcome of all actions requiring approval of Coca-Cola FEMSA's shareholders. See "Item 10. Additional Information--Material Contracts--Coca-Cola FEMSA--Shareholders' Agreement."</w:t>
      </w:r>
    </w:p>
    <w:p>
      <w:pPr>
        <w:spacing w:after="0" w:line="180"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Coca-Cola FEMSA has incurred significant new indebtedness as a result of the Panamco acquisition.</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 connection with the acquisition of Panamco and the refinancing of the existing indebtedness of Panamco, Coca-Cola FEMSA incurred and assumed approximately US$2.5 billion of debt (including existing debt of Panamco). This new debt includes a bridge facility due in April 2004 in the amount of approximately US$833 million. Coca-Cola FEMSA now has significantly more indebtedness than it has had historically, and Coca-Cola FEMSA has agreed to certain covenants that impose restrictions on the conduct of its business. In connection with the refinancing of the bridge facility, Coca-Cola FEMSA may be required to agree to additional restrictions or less favorable terms than it has obtained to date. The increase in debt may reduce the amount of cash otherwise available to Coca-Cola FEMSA to invest in its business or meet its obligations and may prevent Coca-Cola FEMSA in the future from obtaining additional financing or completing refinancings on terms favorable to it. Because Coca-Cola FEMSA has significant indebtedness in U.S. Dollars and its sales are now in a number of currencies other than U.S. Dollars, its ability to service its indebtedness may be affected by changes in exchange rates or interest rates or in economic conditions in the different countries in which Coca-Cola FEMSA now operates, particularly Mexico.</w:t>
      </w:r>
    </w:p>
    <w:p>
      <w:pPr>
        <w:spacing w:after="0" w:line="175" w:lineRule="exact"/>
        <w:rPr>
          <w:sz w:val="20"/>
          <w:szCs w:val="20"/>
          <w:color w:val="auto"/>
        </w:rPr>
      </w:pPr>
    </w:p>
    <w:p>
      <w:pPr>
        <w:ind w:right="4019" w:firstLine="437"/>
        <w:spacing w:after="0" w:line="234" w:lineRule="auto"/>
        <w:rPr>
          <w:sz w:val="20"/>
          <w:szCs w:val="20"/>
          <w:color w:val="auto"/>
        </w:rPr>
      </w:pPr>
      <w:r>
        <w:rPr>
          <w:rFonts w:ascii="Courier New" w:cs="Courier New" w:eastAsia="Courier New" w:hAnsi="Courier New"/>
          <w:sz w:val="15"/>
          <w:szCs w:val="15"/>
          <w:color w:val="auto"/>
        </w:rPr>
        <w:t>Coca-Cola FEMSA may fail to realize the contemplated benefits from integrating Panamco's Mexican operations.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624" w:right="1440" w:bottom="1440" w:gutter="0" w:footer="0" w:header="0"/>
        </w:sectPr>
      </w:pPr>
    </w:p>
    <w:bookmarkStart w:id="15" w:name="page16"/>
    <w:bookmarkEnd w:id="15"/>
    <w:p>
      <w:pPr>
        <w:ind w:right="3239" w:firstLine="437"/>
        <w:spacing w:after="0" w:line="236" w:lineRule="auto"/>
        <w:rPr>
          <w:sz w:val="20"/>
          <w:szCs w:val="20"/>
          <w:color w:val="auto"/>
        </w:rPr>
      </w:pPr>
      <w:r>
        <w:rPr>
          <w:rFonts w:ascii="Courier New" w:cs="Courier New" w:eastAsia="Courier New" w:hAnsi="Courier New"/>
          <w:sz w:val="15"/>
          <w:szCs w:val="15"/>
          <w:color w:val="auto"/>
        </w:rPr>
        <w:t>Coca-Cola FEMSA expects to realize benefits from the Panamco acquisition by integrating the Mexican operations of both companies. Coca-Cola FEMSA's ability to realize any benefits, however, depends on Coca-Cola FEMSA's success in applying its operational practices and integrating the organizational structures of the two operations. Coca-Cola FEMSA may fail or be delayed in realizing any operational benefit from this integration, and it may need to invest significant capital and resources in the acquired business or incur other costs in order to achieve this integration.</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Taxes on soft drinks could affect Coca-Cola FEMSA's business.</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Coca-Cola FEMSA's products are subject to excise and value-added taxes in many of the countries in which it operates. The imposition of new taxes or increases in taxes on Coca-Cola FEMSA products may affect its business, prospects, financial conditions and results of operations. Coca-Cola FEMSA can give no assurance that any governmental authority in any country where it operates will not impose or increase any such taxes in the future.</w:t>
      </w:r>
    </w:p>
    <w:p>
      <w:pPr>
        <w:spacing w:after="0" w:line="175" w:lineRule="exact"/>
        <w:rPr>
          <w:sz w:val="20"/>
          <w:szCs w:val="20"/>
          <w:color w:val="auto"/>
        </w:rPr>
      </w:pPr>
    </w:p>
    <w:p>
      <w:pPr>
        <w:ind w:right="3939" w:firstLine="437"/>
        <w:spacing w:after="0" w:line="261" w:lineRule="auto"/>
        <w:rPr>
          <w:sz w:val="20"/>
          <w:szCs w:val="20"/>
          <w:color w:val="auto"/>
        </w:rPr>
      </w:pPr>
      <w:r>
        <w:rPr>
          <w:rFonts w:ascii="Courier New" w:cs="Courier New" w:eastAsia="Courier New" w:hAnsi="Courier New"/>
          <w:sz w:val="14"/>
          <w:szCs w:val="14"/>
          <w:color w:val="auto"/>
        </w:rPr>
        <w:t>Voluntary price restraints or statutory price controls would limit Coca-Cola FEMSA's ability to increase prices and may affect its results.</w:t>
      </w:r>
    </w:p>
    <w:p>
      <w:pPr>
        <w:spacing w:after="0" w:line="160"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Voluntary price restraints or statutory price controls in any of the countries in which Coca-Cola FEMSA operates may have a material adverse effect on its business, prospects, financial conditions and results of operations. Although Mexican bottlers have been free to set prices for carbonated soft drinks without governmental intervention since January 1996, such prices were once subject to statutory price controls and, later, to voluntary price restraints, which effectively limited Coca-Cola FEMSA's ability to increase prices in the Mexican market without governmental consent. See "Item 4. Information on the Company--Regulatory Matters--Price Controls." Coca-Cola FEMSA can give no assurance that governmental authorities in any country where it operates will not impose voluntary price restraints or statutory price controls.</w:t>
      </w:r>
    </w:p>
    <w:p>
      <w:pPr>
        <w:spacing w:after="0" w:line="165"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Increases in the price of raw materials may increase Coca-Cola FEMSA's cost of sales and may affect its results of operations.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Coca-Cola FEMSA uses high fructose corn syrup ("HFCS") and sugar as sweeteners in its products. In 2002, Coca-Cola FEMSA converted its Mexican bottling facilities to sugar-cane based production following the imposition of a 20% excise tax on carbonated soft drinks sweetened with HFCS. In addition, the prices of certain materials used in the bottling of Coca-Cola FEMSA's products, including aluminum cans, plastic bottles, bottle closures (both steel and plastic), other packaging materials and HFCS, are quoted in U.S. Dollars and therefore may increase if the U.S. Dollar appreciates against the currency of any country in which Coca-Cola FEMSA operates, particularly against the Mexican Peso. See "Item 4. Information on the Company--Coca-Cola FEMSA--Raw Materials."</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Increases in the price of raw materials, including increases that may occur as a result of import duties, import restrictions or fluctuations in exchange rates, will increase Coca-Cola FEMSA's cost of sales and affect net earnings to the extent Coca-Cola FEMSA is unable to increase its sales prices. Coca-Cola FEMSA cannot ensure that its raw materials prices will not increase in the future.</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 water shortage could affect Coca-Cola FEMSA's business.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Water is an essential component of soft drinks. Coca-Cola FEMSA obtains water from various sources in its territories, including springs, wells, rivers and municipal water companies. In Mexico, Coca-Cola FEMSA both purchases water from municipal water companies and pumps water from its own wells pursuant to concessions granted by the Mexican government. Coca-Cola FEMSA obtains approximately 90% and 100%, respectively, of the water used in soft drink production in the Valley of Mexico and the Southeast of Mexico pursuant to these concessions, which the Mexican government granted based on studies of the existing and projected groundwater supply. The Mexican government under certain circumstances may terminate Coca-Cola FEMSA's existing water concessions. See "Item 4. Information on the Company--Regulatory Matters--Water Supply Law."</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624" w:right="1440" w:bottom="1440" w:gutter="0" w:footer="0" w:header="0"/>
        </w:sectPr>
      </w:pPr>
    </w:p>
    <w:bookmarkStart w:id="16" w:name="page17"/>
    <w:bookmarkEnd w:id="16"/>
    <w:p>
      <w:pPr>
        <w:ind w:right="3319" w:firstLine="437"/>
        <w:spacing w:after="0" w:line="236" w:lineRule="auto"/>
        <w:rPr>
          <w:sz w:val="20"/>
          <w:szCs w:val="20"/>
          <w:color w:val="auto"/>
        </w:rPr>
      </w:pPr>
      <w:r>
        <w:rPr>
          <w:rFonts w:ascii="Courier New" w:cs="Courier New" w:eastAsia="Courier New" w:hAnsi="Courier New"/>
          <w:sz w:val="15"/>
          <w:szCs w:val="15"/>
          <w:color w:val="auto"/>
        </w:rPr>
        <w:t>Coca-Cola FEMSA cannot ensure that water will be available in sufficient quantities to meet its future production needs in any territory in which it operates, or that its concessions and permits will not be terminated by governments in any such territory or prove sufficient to meet Coca-Cola FEMSA's water supply needs.</w:t>
      </w:r>
    </w:p>
    <w:p>
      <w:pPr>
        <w:spacing w:after="0" w:line="174" w:lineRule="exact"/>
        <w:rPr>
          <w:sz w:val="20"/>
          <w:szCs w:val="20"/>
          <w:color w:val="auto"/>
        </w:rPr>
      </w:pPr>
    </w:p>
    <w:p>
      <w:pPr>
        <w:ind w:right="3759" w:firstLine="437"/>
        <w:spacing w:after="0" w:line="234" w:lineRule="auto"/>
        <w:rPr>
          <w:sz w:val="20"/>
          <w:szCs w:val="20"/>
          <w:color w:val="auto"/>
        </w:rPr>
      </w:pPr>
      <w:r>
        <w:rPr>
          <w:rFonts w:ascii="Courier New" w:cs="Courier New" w:eastAsia="Courier New" w:hAnsi="Courier New"/>
          <w:sz w:val="15"/>
          <w:szCs w:val="15"/>
          <w:color w:val="auto"/>
        </w:rPr>
        <w:t>A shortage of key materials used in the production of Coca-Cola FEMSA products could affect Coca-Cola FEMSA's business.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Pursuant to the bottler agreements with The Coca-Cola Company, Coca-Cola FEMSA is required to purchase concentrate exclusively from The Coca-Cola Company. In addition, Coca-Cola FEMSA must purchase other supplies, including containers, closures, cases, cartons and other packages and labels, only from manufacturers approved by The Coca-Cola Company. See "Item 4. Information on the Company--Coca-Cola FEMSA--Raw Materials." Access to these materials could be affected by strikes, weather conditions, exchange controls, governmental controls or national emergency situations. Any shortage of these materials could affect Coca-Cola FEMSA's business, results of operations, prospects, or financial condition.</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Competition from other bottlers could affect Coca-Cola FEMSA's business.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beverage industries in the Mexican and Buenos Aires Territories, as well as in many of the Panamco territories, are highly competitive. Coca-Cola FEMSA's principal competitor in the Mexican Territories is The Pepsi Bottling Group ("PBG"), the largest bottler worldwide of PepsiCo, Inc. ("PepsiCo"). Coca-Cola FEMSA's principal competitor in Buenos Aires is Buenos Aires Embotelladora S.A. ("BAESA"), a large PepsiCo bottler. Companhia de Bebidas das Americas ("AmBev"), the largest brewer in Latin America, has recently acquired an important stake of BAESA. In addition, in each of Coca-Cola FEMSA's territories, Coca-Cola FEMSA competes with various other bottlers and distributors of nationally and regionally advertised soft drinks. Coca-Cola FEMSA faces increased competition in many of its territories from producers of low cost beverages, commonly referred to as "B" brands. Coca-Cola FEMSA's ability to maintain existing prices or implement price increases depends to a great extent on competitive conditions and the effect of such prices on sales volume. Price discounting has been a means of maintaining or increasing sales volume share in our territories. This may have an effect on Coca-Cola FEMSA's results of operations. Although Coca-Cola FEMSA believes that it is well positioned to meet its objective of maintaining or increasing Coca-Cola FEMSA's sales volume at satisfactory price levels in the various territories in which it competes, competition is likely to continue or intensify, particularly after the acquisitions of Pepsi Gemex, S.A. de C.V., the PepsiCo bottler in Mexico, by PBG and of BAESA by AmBev. Coca-Cola FEMSA can give no assurance that it can meet its objective of increased sales volume or that price discounting will not continue to have an effect on its results of operations.</w:t>
      </w:r>
    </w:p>
    <w:p>
      <w:pPr>
        <w:spacing w:after="0" w:line="344" w:lineRule="exact"/>
        <w:rPr>
          <w:sz w:val="20"/>
          <w:szCs w:val="20"/>
          <w:color w:val="auto"/>
        </w:rPr>
      </w:pPr>
    </w:p>
    <w:p>
      <w:pPr>
        <w:ind w:left="800" w:right="3579"/>
        <w:spacing w:after="0" w:line="235" w:lineRule="auto"/>
        <w:rPr>
          <w:sz w:val="20"/>
          <w:szCs w:val="20"/>
          <w:color w:val="auto"/>
        </w:rPr>
      </w:pPr>
      <w:r>
        <w:rPr>
          <w:rFonts w:ascii="Courier New" w:cs="Courier New" w:eastAsia="Courier New" w:hAnsi="Courier New"/>
          <w:sz w:val="15"/>
          <w:szCs w:val="15"/>
          <w:color w:val="auto"/>
        </w:rPr>
        <w:t>Coca-Cola FEMSA's compliance with environmental regulations could result in a material adverse effect on Coca-Cola FEMSA's results of operations or financial condition.</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Environmental laws and regulations and their enforcement are becoming increasingly more stringent in many countries in Latin America. Such costs may have a material adverse effect on Coca-Cola FEMSA's future results of operations or financial condition.</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FEMSA Comercio</w:t>
      </w:r>
    </w:p>
    <w:p>
      <w:pPr>
        <w:spacing w:after="0" w:line="173" w:lineRule="exact"/>
        <w:rPr>
          <w:sz w:val="20"/>
          <w:szCs w:val="20"/>
          <w:color w:val="auto"/>
        </w:rPr>
      </w:pPr>
    </w:p>
    <w:p>
      <w:pPr>
        <w:ind w:right="3759" w:firstLine="437"/>
        <w:spacing w:after="0" w:line="234" w:lineRule="auto"/>
        <w:rPr>
          <w:sz w:val="20"/>
          <w:szCs w:val="20"/>
          <w:color w:val="auto"/>
        </w:rPr>
      </w:pPr>
      <w:r>
        <w:rPr>
          <w:rFonts w:ascii="Courier New" w:cs="Courier New" w:eastAsia="Courier New" w:hAnsi="Courier New"/>
          <w:sz w:val="15"/>
          <w:szCs w:val="15"/>
          <w:color w:val="auto"/>
        </w:rPr>
        <w:t>Competition from other retailers in Mexico could affect our company's business.</w:t>
      </w:r>
    </w:p>
    <w:p>
      <w:pPr>
        <w:spacing w:after="0" w:line="173" w:lineRule="exact"/>
        <w:rPr>
          <w:sz w:val="20"/>
          <w:szCs w:val="20"/>
          <w:color w:val="auto"/>
        </w:rPr>
      </w:pPr>
    </w:p>
    <w:p>
      <w:pPr>
        <w:jc w:val="both"/>
        <w:ind w:right="3319" w:firstLine="437"/>
        <w:spacing w:after="0" w:line="254" w:lineRule="auto"/>
        <w:rPr>
          <w:sz w:val="20"/>
          <w:szCs w:val="20"/>
          <w:color w:val="auto"/>
        </w:rPr>
      </w:pPr>
      <w:r>
        <w:rPr>
          <w:rFonts w:ascii="Courier New" w:cs="Courier New" w:eastAsia="Courier New" w:hAnsi="Courier New"/>
          <w:sz w:val="14"/>
          <w:szCs w:val="14"/>
          <w:color w:val="auto"/>
        </w:rPr>
        <w:t>The Mexican retail sector is highly competitive. FEMSA participates in the retail sector primarily through FEMSA Comercio, S.A. de C.V. ("FEMSA Comercio")</w:t>
      </w:r>
    </w:p>
    <w:p>
      <w:pPr>
        <w:spacing w:after="0" w:line="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 FEMSA Comercio's Oxxo convenience stores face competition on a regional basis from 7-Eleven, Super Extra, AM/PM and Circle K stores. Oxxo convenience stores also face competition from numerous small chains of retailers in some regions across Mexico. There can be no assurance that FEMSA Comercio will not be affected by an increase in competition.</w:t>
      </w:r>
    </w:p>
    <w:p>
      <w:pPr>
        <w:spacing w:after="0" w:line="174" w:lineRule="exact"/>
        <w:rPr>
          <w:sz w:val="20"/>
          <w:szCs w:val="20"/>
          <w:color w:val="auto"/>
        </w:rPr>
      </w:pPr>
    </w:p>
    <w:p>
      <w:pPr>
        <w:ind w:right="3679" w:firstLine="437"/>
        <w:spacing w:after="0" w:line="234" w:lineRule="auto"/>
        <w:rPr>
          <w:sz w:val="20"/>
          <w:szCs w:val="20"/>
          <w:color w:val="auto"/>
        </w:rPr>
      </w:pPr>
      <w:r>
        <w:rPr>
          <w:rFonts w:ascii="Courier New" w:cs="Courier New" w:eastAsia="Courier New" w:hAnsi="Courier New"/>
          <w:sz w:val="15"/>
          <w:szCs w:val="15"/>
          <w:color w:val="auto"/>
        </w:rPr>
        <w:t>Oxxo convenience stores are highly sensitive to economic conditions in Mexico.</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Due to the nature of the convenience store market, convenience stores often sell certain products at a premium. The convenience store market is thus highly sensitive to economic conditions as an economic slowdown is often accompanied by a decline in consumer purchasing power, which in turn results in a decline in the overall consumption of our main product categories. During periods of economic slowdown, Oxxo stores may experience a decline in traffic per store and purchases per customer, which may result in a decline in operating revenue.</w:t>
      </w:r>
    </w:p>
    <w:p>
      <w:pPr>
        <w:spacing w:after="0" w:line="32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624" w:right="1440" w:bottom="1440" w:gutter="0" w:footer="0" w:header="0"/>
        </w:sectPr>
      </w:pPr>
    </w:p>
    <w:bookmarkStart w:id="17" w:name="page18"/>
    <w:bookmarkEnd w:id="17"/>
    <w:p>
      <w:pPr>
        <w:ind w:left="440"/>
        <w:spacing w:after="0"/>
        <w:rPr>
          <w:sz w:val="20"/>
          <w:szCs w:val="20"/>
          <w:color w:val="auto"/>
        </w:rPr>
      </w:pPr>
      <w:r>
        <w:rPr>
          <w:rFonts w:ascii="Courier New" w:cs="Courier New" w:eastAsia="Courier New" w:hAnsi="Courier New"/>
          <w:sz w:val="15"/>
          <w:szCs w:val="15"/>
          <w:color w:val="auto"/>
        </w:rPr>
        <w:t>FEMSA Empaques</w:t>
      </w:r>
    </w:p>
    <w:p>
      <w:pPr>
        <w:spacing w:after="0" w:line="173" w:lineRule="exact"/>
        <w:rPr>
          <w:sz w:val="20"/>
          <w:szCs w:val="20"/>
          <w:color w:val="auto"/>
        </w:rPr>
      </w:pPr>
    </w:p>
    <w:p>
      <w:pPr>
        <w:jc w:val="both"/>
        <w:ind w:right="3579" w:firstLine="437"/>
        <w:spacing w:after="0" w:line="235" w:lineRule="auto"/>
        <w:rPr>
          <w:sz w:val="20"/>
          <w:szCs w:val="20"/>
          <w:color w:val="auto"/>
        </w:rPr>
      </w:pPr>
      <w:r>
        <w:rPr>
          <w:rFonts w:ascii="Courier New" w:cs="Courier New" w:eastAsia="Courier New" w:hAnsi="Courier New"/>
          <w:sz w:val="15"/>
          <w:szCs w:val="15"/>
          <w:color w:val="auto"/>
        </w:rPr>
        <w:t>FEMSA Empaques' beverage can operation is highly sensitive to economic conditions, competition from alternative beverage presentations and exchange rate fluctuations.</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aluminum can operations of Fabricas Monterrey, S.A. de C.V. ("Famosa"), a subsidiary of FEMSA Empaques, S.A. de C.V. ("FEMSA Empaques"), are sensitive to economic conditions because beverage can presentations are more expensive to the consumer than alternative presentations. In addition, FEMSA Empaques' beverage can business exclusively serves the beverage industry and therefore is vulnerable to shifts in demand for beverage products. Furthermore, beverage can presentations also compete with alternative beverage presentations such as glass and non-returnable polyethylene terephtalate ("PET") presentations. Demand for beverage cans has decreased in recent years due to a shift toward non-returnable PET presentations in the soft drink industry. See "Item 4. Information on the Company--FEMSA Empaques--Products--Beverage Cans and Can Ends." In addition, since FEMSA Empaques' operating expense structure is Peso-denominated while its revenues are linked to the U.S. Dollar, the operating margins of FEMSA Empaques' beverage can operations could be pressured if the Peso were to strengthen against the U.S. Dollar.</w:t>
      </w:r>
    </w:p>
    <w:p>
      <w:pPr>
        <w:spacing w:after="0" w:line="16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The Mexican beverage can industry may be currently operating at levels of overcapacity, which may result in decreases in price.</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Certain significant competitors in the beverage can industry operate at average levels of capacity utilization below 60%. We cannot guarantee that some of these businesses will not practice aggressive pricing strategies in order to increase their sales volume. See "Item 4. Information on the Company--FEMSA Empaques--Products--Beverage Cans and Can Ends."</w:t>
      </w:r>
    </w:p>
    <w:p>
      <w:pPr>
        <w:spacing w:after="0" w:line="174" w:lineRule="exact"/>
        <w:rPr>
          <w:sz w:val="20"/>
          <w:szCs w:val="20"/>
          <w:color w:val="auto"/>
        </w:rPr>
      </w:pPr>
    </w:p>
    <w:p>
      <w:pPr>
        <w:ind w:right="4019" w:firstLine="437"/>
        <w:spacing w:after="0" w:line="234" w:lineRule="auto"/>
        <w:rPr>
          <w:sz w:val="20"/>
          <w:szCs w:val="20"/>
          <w:color w:val="auto"/>
        </w:rPr>
      </w:pPr>
      <w:r>
        <w:rPr>
          <w:rFonts w:ascii="Courier New" w:cs="Courier New" w:eastAsia="Courier New" w:hAnsi="Courier New"/>
          <w:sz w:val="15"/>
          <w:szCs w:val="15"/>
          <w:color w:val="auto"/>
        </w:rPr>
        <w:t>Crown cap presentations face competition from alternative beverage presentations.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FEMSA Empaques' crown cap business exclusively serves the soft drink and beer industries, and therefore is vulnerable to shifts in demand for those products. Crown cap glass bottle presentations also compete with alternative beverage presentations such as can and non-returnable PET presentations. Demand for crown caps has decreased in recent years due to a shift toward returnable and non-returnable PET presentations in the soft drink industry. See "Item 4. Information on the Company--FEMSA Empaques--Products--Beverage Cans and Can Ends."</w:t>
      </w:r>
    </w:p>
    <w:p>
      <w:pPr>
        <w:spacing w:after="0" w:line="177"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FEMSA Empaques' sales of glass bottles may be affected by competition and from alternative beverage presentations.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FEMSA Empaques' principal domestic competitor in the sale of glass bottles is Vitro, S.A. ("Vitro"). There can be no assurance that FEMSA Empaques will not be affected by price competition from Vitro or other producers of glass bottles or alternative containers. See "Item 4. Information on the Company--FEMSA Empaques--Products--Glass Bottles."</w:t>
      </w:r>
    </w:p>
    <w:p>
      <w:pPr>
        <w:spacing w:after="0" w:line="174" w:lineRule="exact"/>
        <w:rPr>
          <w:sz w:val="20"/>
          <w:szCs w:val="20"/>
          <w:color w:val="auto"/>
        </w:rPr>
      </w:pPr>
    </w:p>
    <w:p>
      <w:pPr>
        <w:ind w:right="3499" w:firstLine="437"/>
        <w:spacing w:after="0" w:line="255" w:lineRule="auto"/>
        <w:rPr>
          <w:sz w:val="20"/>
          <w:szCs w:val="20"/>
          <w:color w:val="auto"/>
        </w:rPr>
      </w:pPr>
      <w:r>
        <w:rPr>
          <w:rFonts w:ascii="Courier New" w:cs="Courier New" w:eastAsia="Courier New" w:hAnsi="Courier New"/>
          <w:sz w:val="14"/>
          <w:szCs w:val="14"/>
          <w:color w:val="auto"/>
        </w:rPr>
        <w:t>Moreover, like the beverage can business, FEMSA Empaques' glass bottle business exclusively serves the beverage industry and thus is vulnerable to shifts in preferences for those products and presentations. Demand for glass bottle presentations has declined in recent years due to a shift towards non-returnable PET presentations for soft drinks. See "Item 4. Information on the Company--FEMSA Empaques--Glass Bottles." There can be no assurance that there will not be a further shift in demand towards such alternative presentations which would have an effect on our glass bottle operations.</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617" w:right="1440" w:bottom="1440" w:gutter="0" w:footer="0" w:header="0"/>
        </w:sectPr>
      </w:pPr>
    </w:p>
    <w:bookmarkStart w:id="18" w:name="page19"/>
    <w:bookmarkEnd w:id="18"/>
    <w:p>
      <w:pPr>
        <w:ind w:left="440"/>
        <w:spacing w:after="0"/>
        <w:rPr>
          <w:sz w:val="20"/>
          <w:szCs w:val="20"/>
          <w:color w:val="auto"/>
        </w:rPr>
      </w:pPr>
      <w:r>
        <w:rPr>
          <w:rFonts w:ascii="Courier New" w:cs="Courier New" w:eastAsia="Courier New" w:hAnsi="Courier New"/>
          <w:sz w:val="15"/>
          <w:szCs w:val="15"/>
          <w:color w:val="auto"/>
        </w:rPr>
        <w:t>Risks Related to Our Principal Shareholders and Capital Structure</w:t>
      </w:r>
    </w:p>
    <w:p>
      <w:pPr>
        <w:spacing w:after="0" w:line="173" w:lineRule="exact"/>
        <w:rPr>
          <w:sz w:val="20"/>
          <w:szCs w:val="20"/>
          <w:color w:val="auto"/>
        </w:rPr>
      </w:pPr>
    </w:p>
    <w:p>
      <w:pPr>
        <w:ind w:right="3679" w:firstLine="437"/>
        <w:spacing w:after="0" w:line="235" w:lineRule="auto"/>
        <w:rPr>
          <w:sz w:val="20"/>
          <w:szCs w:val="20"/>
          <w:color w:val="auto"/>
        </w:rPr>
      </w:pPr>
      <w:r>
        <w:rPr>
          <w:rFonts w:ascii="Courier New" w:cs="Courier New" w:eastAsia="Courier New" w:hAnsi="Courier New"/>
          <w:sz w:val="15"/>
          <w:szCs w:val="15"/>
          <w:color w:val="auto"/>
        </w:rPr>
        <w:t>A majority of the voting shares are held by a Voting Trust, which effectively controls the management of our company, and whose interests may differ from those of other shareholders.</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 voting trust (the "Voting Trust"), comprised mainly of five families, owns 27.8% of our capital stock and 53.8% of our capital stock with full voting rights, consisting of the Series B Shares. Consequently, the Voting Trust has the power to elect a majority of the members of our Board of Directors and to play a significant or controlling role in the outcome of substantially all matters to be decided by our shareholders. The interests of the Voting Trust may differ from those of our other shareholders. See "Item 7. Major Shareholders and Related Party Transactions" and "Item 10. Additional Information--Bylaws--Voting Rights and Certain Minority Rights."</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Holders of Series D-B and D-L Shares have limited voting rights.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Holders of Series D-B and D-L Shares have limited voting rights and are only entitled to vote on specific matters, such as changes in our corporate form, a dissolution or liquidation and the cancellation of the registration of the Series D-B and D-L Shares. See "Item 7. Major Shareholders and Related Party Transactions--Major Shareholders" and "Item 10. Additional Information--Bylaws--Voting Rights and Certain Minority Rights."</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Holders of ADRs may not be able to vote at our shareholder meetings.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Our shares are traded on the New York Stock Exchange in the form of ADRs (under the ticker "FMX"). There can be no assurance that holders of our shares through ADRs will receive notices of shareholder meetings from our ADR Depositary in sufficient time to enable such holders to return voting instructions to the ADR Depositary in a timely manner. Under certain circumstances, a person designated by us may receive a proxy to vote the shares underlying ADRs for which no voting instructions are received by the ADR Depositary at a shareholder meeting.</w:t>
      </w:r>
    </w:p>
    <w:p>
      <w:pPr>
        <w:spacing w:after="0" w:line="177"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Holders of ADRs may not be able to participate in any future preemptive rights offering and as a result may be subject to dilution of their equity interests.</w:t>
      </w:r>
    </w:p>
    <w:p>
      <w:pPr>
        <w:spacing w:after="0" w:line="17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Under Mexican law, if we issue new shares for cash as a part of a capital increase, we must generally grant our shareholders the right to purchase a sufficient number of shares to maintain their existing ownership percentage. Rights to purchase shares in these circumstances are known as preemptive rights. We may not be legally permitted to allow holders of our shares through ADRs in the United States to exercise any preemptive rights in any future capital increases unless (i) we file a registration statement with the SEC with respect to that future issuance of shares or (ii) the offering qualifies for an exemption from the registration requirements of the U.S. Securities Act of 1933 (the "Securities Act"). At the time of any future capital increase, we will evaluate the costs and potential liabilities associated with filing a registration statement with the SEC, as well as the benefits of preemptive rights to holders of our shares through ADRs in the United States and any other factors that we consider important in determining whether to file a registration statement.</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There can be no assurance that we will file a registration statement with the SEC to allow holders of our shares through ADRs in the United States to participate in a preemptive rights offering. In addition, under current Mexican law, the sale by the ADR Depositary of preemptive rights and the distribution of the proceeds from such sales to the holders of our shares through ADRs is not possible. As a result, the equity interest of holders of our shares through ADRs would be diluted proportionately. See "Item 10. Additional Information--Bylaws--Preemptive Rights."</w:t>
      </w:r>
    </w:p>
    <w:p>
      <w:pPr>
        <w:spacing w:after="0" w:line="177"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Developments in other emerging market countries may affect prices of our shares.</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market value of our securities may be affected by the reactions of investors to economic and other conditions in emerging market countries other than Mexico (including emerging market countries in Asia), even though economic conditions in such countries may differ significantly from economic conditions in Mexico. There can be no assurance that the market value of our shares would not be affected by events elsewhere, especially in emerging market countries.</w:t>
      </w:r>
    </w:p>
    <w:p>
      <w:pPr>
        <w:spacing w:after="0" w:line="32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617" w:right="1440" w:bottom="1440" w:gutter="0" w:footer="0" w:header="0"/>
        </w:sectPr>
      </w:pPr>
    </w:p>
    <w:bookmarkStart w:id="19" w:name="page20"/>
    <w:bookmarkEnd w:id="19"/>
    <w:p>
      <w:pPr>
        <w:ind w:left="440"/>
        <w:spacing w:after="0"/>
        <w:rPr>
          <w:sz w:val="20"/>
          <w:szCs w:val="20"/>
          <w:color w:val="auto"/>
        </w:rPr>
      </w:pPr>
      <w:r>
        <w:rPr>
          <w:rFonts w:ascii="Courier New" w:cs="Courier New" w:eastAsia="Courier New" w:hAnsi="Courier New"/>
          <w:sz w:val="15"/>
          <w:szCs w:val="15"/>
          <w:color w:val="auto"/>
        </w:rPr>
        <w:t>Exchange rate fluctuations may affect the value of our shares.</w:t>
      </w:r>
    </w:p>
    <w:p>
      <w:pPr>
        <w:spacing w:after="0" w:line="173" w:lineRule="exact"/>
        <w:rPr>
          <w:sz w:val="20"/>
          <w:szCs w:val="20"/>
          <w:color w:val="auto"/>
        </w:rPr>
      </w:pPr>
    </w:p>
    <w:p>
      <w:pPr>
        <w:jc w:val="both"/>
        <w:ind w:right="3239" w:firstLine="437"/>
        <w:spacing w:after="0" w:line="258" w:lineRule="auto"/>
        <w:rPr>
          <w:sz w:val="20"/>
          <w:szCs w:val="20"/>
          <w:color w:val="auto"/>
        </w:rPr>
      </w:pPr>
      <w:r>
        <w:rPr>
          <w:rFonts w:ascii="Courier New" w:cs="Courier New" w:eastAsia="Courier New" w:hAnsi="Courier New"/>
          <w:sz w:val="14"/>
          <w:szCs w:val="14"/>
          <w:color w:val="auto"/>
        </w:rPr>
        <w:t>Fluctuations in the exchange rate between the Peso and the U.S. Dollar will affect the U.S. Dollar value of an investment in our shares and of dividends and other cash distributions on those shares. See "--Exchange Rate Information."</w:t>
      </w:r>
    </w:p>
    <w:p>
      <w:pPr>
        <w:spacing w:after="0" w:line="15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Risks Related to Mexico</w:t>
      </w:r>
    </w:p>
    <w:p>
      <w:pPr>
        <w:spacing w:after="0" w:line="173" w:lineRule="exact"/>
        <w:rPr>
          <w:sz w:val="20"/>
          <w:szCs w:val="20"/>
          <w:color w:val="auto"/>
        </w:rPr>
      </w:pPr>
    </w:p>
    <w:p>
      <w:pPr>
        <w:ind w:right="3679" w:firstLine="437"/>
        <w:spacing w:after="0" w:line="234" w:lineRule="auto"/>
        <w:rPr>
          <w:sz w:val="20"/>
          <w:szCs w:val="20"/>
          <w:color w:val="auto"/>
        </w:rPr>
      </w:pPr>
      <w:r>
        <w:rPr>
          <w:rFonts w:ascii="Courier New" w:cs="Courier New" w:eastAsia="Courier New" w:hAnsi="Courier New"/>
          <w:sz w:val="15"/>
          <w:szCs w:val="15"/>
          <w:color w:val="auto"/>
        </w:rPr>
        <w:t>Economic developments in Mexico may affect our business and results of operations.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Our financial condition and results of operations are generally affected by the strength of the Mexican economy, which affects the demand for soft drinks and beer. The revenue derived from this demand is the principal source of our earnings, and this demand generally declines during periods of economic difficulty.</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Mexico is exposed to economic downturns that may originate internally or as a repercussion of other nations' economic crises. In recent years, economic crises in Asia, Brazil, Russia and other emerging markets have affected the Mexican economy and could do so again. In addition, the performance of the U.S. economy is having an increasing effect on the performance of the Mexican economy. If the Mexican economy falls into a recession or if inflation and interest rates increase significantly, our financial condition and results of operations could suffer material adverse consequences because, among other things, demand for our products may decrease as consumers find it economically more difficult to purchase such products.</w:t>
      </w:r>
    </w:p>
    <w:p>
      <w:pPr>
        <w:spacing w:after="0" w:line="165" w:lineRule="exact"/>
        <w:rPr>
          <w:sz w:val="20"/>
          <w:szCs w:val="20"/>
          <w:color w:val="auto"/>
        </w:rPr>
      </w:pPr>
    </w:p>
    <w:p>
      <w:pPr>
        <w:ind w:right="3759" w:firstLine="437"/>
        <w:spacing w:after="0" w:line="234" w:lineRule="auto"/>
        <w:rPr>
          <w:sz w:val="20"/>
          <w:szCs w:val="20"/>
          <w:color w:val="auto"/>
        </w:rPr>
      </w:pPr>
      <w:r>
        <w:rPr>
          <w:rFonts w:ascii="Courier New" w:cs="Courier New" w:eastAsia="Courier New" w:hAnsi="Courier New"/>
          <w:sz w:val="15"/>
          <w:szCs w:val="15"/>
          <w:color w:val="auto"/>
        </w:rPr>
        <w:t>Depreciation of the Peso relative to the U.S. Dollar could affect our financial condition and results of operations.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Our sales volume may decrease following a devaluation or depreciation of the Peso if consumption of beverages declines as a result of any ensuing impact on personal income, employment or other economic shock. Future significant depreciation of the Peso is likely to reduce our sales volume, which may have a material adverse effect on our results of operations.</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Declines in the value of the Peso relative to other currencies, in particular the U.S. Dollar, increase our interest costs in Pesos relative to our indebtedness and result in foreign exchange losses that could affect our ability to meet our interest and principal obligations under our indebtedness. As of December 31, 2002, 69.6% of our indebtedness was denominated in U.S. Dollars, and we may incur additional non-Peso-denominated indebtedness. The value of the Peso has been subject to significant fluctuations with respect to the U.S. Dollar in the past and may be subject to significant fluctuations in the future. The Peso was relatively steady in 1998, 1999, 2000 and 2001, with average rates of Ps. 9.15, Ps. 9.56, Ps. 9.47 and Ps. 9.33, respectively. However, in 2002 and the beginning of 2003, the Peso significantly fluctuated in value relative to the U.S. Dollar from Ps. 9.00 to Ps. 11.24. During the first six months of 2002, the Peso maintained a generally appreciated level against the U.S. Dollar and reached Ps. 9.00 at the end of March 2002. During the second half of the year, the Peso depreciated and ended December at Ps. 10.43. No assurance can be given that the Peso will not further depreciate in value relative to the U.S. Dollar in the future.</w:t>
      </w:r>
    </w:p>
    <w:p>
      <w:pPr>
        <w:spacing w:after="0" w:line="33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Furthermore, severe devaluation or depreciation of the Peso may also result in disruption of the international foreign exchange markets and may limit our ability to transfer or to convert Pesos into U.S. Dollars and other currencies for the purpose of making timely payments of interest and principal on our indebtedness.</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While the Mexican government does not currently restrict, and for many years has not restricted, the right or ability of Mexican or foreign persons or entities to convert Pesos into U.S. Dollars or to transfer other currencies out of Mexico, the government could institute restrictive exchange rate policies in the future. To the extent that there are currency fluctuations, they are likely to continue to have an effect on our financial condition, results of operations and cash flows in future periods.</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617" w:right="1440" w:bottom="1440" w:gutter="0" w:footer="0" w:header="0"/>
        </w:sectPr>
      </w:pPr>
    </w:p>
    <w:bookmarkStart w:id="20" w:name="page21"/>
    <w:bookmarkEnd w:id="20"/>
    <w:p>
      <w:pPr>
        <w:ind w:right="3579" w:firstLine="437"/>
        <w:spacing w:after="0" w:line="234" w:lineRule="auto"/>
        <w:rPr>
          <w:sz w:val="20"/>
          <w:szCs w:val="20"/>
          <w:color w:val="auto"/>
        </w:rPr>
      </w:pPr>
      <w:r>
        <w:rPr>
          <w:rFonts w:ascii="Courier New" w:cs="Courier New" w:eastAsia="Courier New" w:hAnsi="Courier New"/>
          <w:sz w:val="15"/>
          <w:szCs w:val="15"/>
          <w:color w:val="auto"/>
        </w:rPr>
        <w:t>Political events in Mexico could affect Mexican economic policy and our operations.</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Mexican political events may also significantly affect our operations and the performance of Mexican securities, including our securities. In the Mexican national elections held on July 2, 2000, Vicente Fox of the Partido Accion Nacional (National Action Party or "PAN") won the presidency. His victory ended more than 70 years of presidential rule by the Partido Revolucionario Institucional (the Institutional Revolutionary Party or "PRI"). Neither the PRI nor the PAN succeeded in securing a majority in the Mexican Congress or Senate.</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President Fox assumed office on December 1, 2000. While the transition from the previous administration was smooth, President Fox has since encountered strong opposition to some of his proposed reforms in both Congress and the Senate, where opposition parties such as the PRI and the Partido de la Revolucion Democratica (the Democratic Revolution Party or "PRD") have frequently joined forces to block PAN initiatives. Such legislative gridlock could slow down the progress of reforms in Mexico and could have a material adverse effect on our business, financial condition and results of operations. New legislative elections for federal and state congress, as well as for some state governors and city mayors, will be held in July 2003, and the effects on the political situation in Mexico are uncertain.</w:t>
      </w:r>
    </w:p>
    <w:p>
      <w:pPr>
        <w:spacing w:after="0" w:line="33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High levels of inflation and high interest rates in Mexico could affect our financial condition and results of operations.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annual rate of inflation, as measured by changes in the Mexican CPI, was 9.0% for 2000, 4.4% for 2001 and 5.7% for 2002. On June 17, 2003 the 28-day Cetes rate, a benchmark interest rate for Mexican government treasury securities, was 5.31%. However, higher inflation and higher interest rates in Mexico may affect our costs and thus, our business, financial condition and results of operations.</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Risks Related to Argentina</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Developments in Argentina may affect Coca-Cola FEMSA's business.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 recent years, Argentina has faced significant economic and political instability, including a contracting economy, a drastic currency devaluation, high unemployment, the introduction of exchange controls and social unrest. After a series of failed governments, Nestor Kischner was appointed president of Argentina in May 2003. It is premature to predict the way in which the new government will seek to address the economic crisis. The Argentine crisis has had, and continues to have, a material adverse effect on Coca-Cola FEMSA's operations in Argentina. Coca-Cola FEMSA has experienced declining net sales in Argentina since 1998. In 2001, Coca-Cola FEMSA recognized a loss generated by the devaluation of the Argentine peso against the U.S. dollar against Coca-Cola FEMSA's original investment in Argentina, and in 2002 a substantial portion of the goodwill generated by the acquisition of Coca-Cola FEMSA's Argentine operations was impaired. Coca-Cola FEMSA can give no assurance that future developments in the Argentine economic policies and political environment will not have a material adverse effect on Coca-Cola FEMSA's business, financial condition, prospects and results of operations.</w:t>
      </w:r>
    </w:p>
    <w:p>
      <w:pPr>
        <w:spacing w:after="0" w:line="168"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Risks Related to New Territories Acquired by Coca-Cola FEMSA</w:t>
      </w:r>
    </w:p>
    <w:p>
      <w:pPr>
        <w:spacing w:after="0" w:line="173" w:lineRule="exact"/>
        <w:rPr>
          <w:sz w:val="20"/>
          <w:szCs w:val="20"/>
          <w:color w:val="auto"/>
        </w:rPr>
      </w:pPr>
    </w:p>
    <w:p>
      <w:pPr>
        <w:ind w:left="800" w:right="3499"/>
        <w:spacing w:after="0" w:line="258" w:lineRule="auto"/>
        <w:rPr>
          <w:sz w:val="20"/>
          <w:szCs w:val="20"/>
          <w:color w:val="auto"/>
        </w:rPr>
      </w:pPr>
      <w:r>
        <w:rPr>
          <w:rFonts w:ascii="Courier New" w:cs="Courier New" w:eastAsia="Courier New" w:hAnsi="Courier New"/>
          <w:sz w:val="14"/>
          <w:szCs w:val="14"/>
          <w:color w:val="auto"/>
        </w:rPr>
        <w:t>Coca-Cola FEMSA now conducts business in countries throughout Latin America in which it has not previously operated and that may present different or greater country risk than Mexico or Argentina.</w:t>
      </w:r>
    </w:p>
    <w:p>
      <w:pPr>
        <w:spacing w:after="0" w:line="161"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As a result of the Panamco acquisition, Coca-Cola FEMSA has expanded its geographic reach from Mexico and Argentina to include Guatemala, Nicaragua, Costa Rica, Panama, Colombia, Venezuela and Brazil. Many of these countries present different or greater country risk than Mexico and Argentina. Coca-Cola FEMSA has not previously conducted business in Panamco's territories. It may face competitive pressures that are different than those it has historically faced. In Brazil, Coca-Cola FEMSA competes against both AmBev, a Brazilian company with a portfolio of brands that includes Pepsi and local brands with flavors such as guarana, and "B" brands or "Tubainas," which are small, local producers of low cost flavored soft drinks that represent an important portion of the soft drink market. In addition, distribution and marketing practices in some of these territories differ from Coca-Cola FEMSA's historical practices. Several of Panamco's territories have a lower level of pre-sale as a percentage of total distribution than Coca-Cola FEMSA is accustomed to having in its territories, and the product and presentation mix varies from territory to territory with customer preferences. Coca-Cola FEMSA may have to adapt its marketing and distribution strategies to effectively compete. Its inability to compete effectively may have an adverse effect on its future operating results.</w:t>
      </w:r>
    </w:p>
    <w:p>
      <w:pPr>
        <w:spacing w:after="0" w:line="200" w:lineRule="exact"/>
        <w:rPr>
          <w:sz w:val="20"/>
          <w:szCs w:val="20"/>
          <w:color w:val="auto"/>
        </w:rPr>
      </w:pPr>
    </w:p>
    <w:p>
      <w:pPr>
        <w:spacing w:after="0" w:line="30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624" w:right="1440" w:bottom="1440" w:gutter="0" w:footer="0" w:header="0"/>
        </w:sectPr>
      </w:pPr>
    </w:p>
    <w:bookmarkStart w:id="21" w:name="page22"/>
    <w:bookmarkEnd w:id="21"/>
    <w:p>
      <w:pPr>
        <w:spacing w:after="0"/>
        <w:tabs>
          <w:tab w:leader="none" w:pos="78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INFORMATION ON THE COMPANY</w:t>
      </w:r>
    </w:p>
    <w:p>
      <w:pPr>
        <w:spacing w:after="0" w:line="16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Overview</w:t>
      </w:r>
    </w:p>
    <w:p>
      <w:pPr>
        <w:spacing w:after="0" w:line="173"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We are a Mexican company headquartered in Monterrey, Mexico. Our principal executive offices are located at General Anaya No. 601 Pte., Colonia Bella Vista, Monterrey, NL 64410, Mexico. Our telephone number at this location is</w:t>
      </w:r>
    </w:p>
    <w:p>
      <w:pPr>
        <w:spacing w:after="0" w:line="1"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(52-81) 8328-6000. Our website is http://www.femsa.com. We are organized as a Sociedad Anonima de Capital Variable under the laws of Mexico. Our company was incorporated on May 30, 1936 and has a duration of 99 years.</w:t>
      </w:r>
    </w:p>
    <w:p>
      <w:pPr>
        <w:spacing w:after="0" w:line="174" w:lineRule="exact"/>
        <w:rPr>
          <w:sz w:val="20"/>
          <w:szCs w:val="20"/>
          <w:color w:val="auto"/>
        </w:rPr>
      </w:pPr>
    </w:p>
    <w:p>
      <w:pPr>
        <w:ind w:right="3679" w:firstLine="437"/>
        <w:spacing w:after="0" w:line="235" w:lineRule="auto"/>
        <w:rPr>
          <w:sz w:val="20"/>
          <w:szCs w:val="20"/>
          <w:color w:val="auto"/>
        </w:rPr>
      </w:pPr>
      <w:r>
        <w:rPr>
          <w:rFonts w:ascii="Courier New" w:cs="Courier New" w:eastAsia="Courier New" w:hAnsi="Courier New"/>
          <w:sz w:val="15"/>
          <w:szCs w:val="15"/>
          <w:color w:val="auto"/>
        </w:rPr>
        <w:t>We hold either directly or indirectly all or a majority of the capital stock of the following principal holding companies (each a "subholding company"):</w:t>
      </w:r>
    </w:p>
    <w:p>
      <w:pPr>
        <w:spacing w:after="0" w:line="174" w:lineRule="exact"/>
        <w:rPr>
          <w:sz w:val="20"/>
          <w:szCs w:val="20"/>
          <w:color w:val="auto"/>
        </w:rPr>
      </w:pPr>
    </w:p>
    <w:p>
      <w:pPr>
        <w:ind w:left="440" w:right="3139" w:hanging="430"/>
        <w:spacing w:after="0" w:line="234" w:lineRule="auto"/>
        <w:tabs>
          <w:tab w:leader="none" w:pos="17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-FEMSA Cerveza, which engages in the production, distribution and marketing of beer;</w:t>
      </w:r>
    </w:p>
    <w:p>
      <w:pPr>
        <w:spacing w:after="0" w:line="173" w:lineRule="exact"/>
        <w:rPr>
          <w:rFonts w:ascii="Courier New" w:cs="Courier New" w:eastAsia="Courier New" w:hAnsi="Courier New"/>
          <w:sz w:val="15"/>
          <w:szCs w:val="15"/>
          <w:color w:val="auto"/>
        </w:rPr>
      </w:pPr>
    </w:p>
    <w:p>
      <w:pPr>
        <w:ind w:left="440" w:right="3839" w:hanging="430"/>
        <w:spacing w:after="0" w:line="234" w:lineRule="auto"/>
        <w:tabs>
          <w:tab w:leader="none" w:pos="17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-Coca-Cola FEMSA, which engages in the production, distribution and marketing of soft drinks;</w:t>
      </w:r>
    </w:p>
    <w:p>
      <w:pPr>
        <w:spacing w:after="0" w:line="166"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FEMSA Comercio, which operates convenience stores; and</w:t>
      </w:r>
    </w:p>
    <w:p>
      <w:pPr>
        <w:spacing w:after="0" w:line="172" w:lineRule="exact"/>
        <w:rPr>
          <w:rFonts w:ascii="Courier New" w:cs="Courier New" w:eastAsia="Courier New" w:hAnsi="Courier New"/>
          <w:sz w:val="15"/>
          <w:szCs w:val="15"/>
          <w:color w:val="auto"/>
        </w:rPr>
      </w:pPr>
    </w:p>
    <w:p>
      <w:pPr>
        <w:ind w:left="440" w:right="3759" w:hanging="430"/>
        <w:spacing w:after="0" w:line="234" w:lineRule="auto"/>
        <w:tabs>
          <w:tab w:leader="none" w:pos="17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-FEMSA Empaques, which engages in the production and distribution of beverage-related packaging materials.</w:t>
      </w:r>
    </w:p>
    <w:p>
      <w:pPr>
        <w:spacing w:after="0" w:line="173"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We hold all of our subholding companies through our 99.99% subsidiary Emprex, other than Coca-Cola FEMSA, which is held through our wholly-owned subsidiary CIBSA. As of December 31, 2002, our interests in Emprex and CIBSA together represent 98% of our consolidated total assets.</w:t>
      </w:r>
    </w:p>
    <w:p>
      <w:pPr>
        <w:spacing w:after="0" w:line="175"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In addition to the subholding companies, we indirectly own Perfil Corporativo, S.A. de C.V. ("Perfil Corporativo") through Emprex. Perfil Corporativo engages in the production and distribution of concentrate for our proprietary soft drink brands Mundet and Mundet light. We also directly own FEMSA Logistica, S.A. de C.V. ("FEMSA Logistica"), which is held directly by FEMSA and which provides logistics services to FEMSA subsidiaries other than FEMSA Cerveza and third party clients.</w:t>
      </w:r>
    </w:p>
    <w:p>
      <w:pPr>
        <w:spacing w:after="0" w:line="17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Prior to January 1, 2003, Emprex also owned an interest in Logistica CCM, S.A. de C.V. ("Logistica CCM"), which provides logistics services solely to FEMSA Cerveza. On January 1, 2003, Logistica CCM merged into FEMSA Cerveza to make FEMSA Cerveza more comparable with the rest of the beer industry. The merger did not affect our ownership percentage in FEMSA Cerveza. For the purpose of this Annual Report, Logistica CCM and FEMSA Logistica and their combined financial results are presented together and referred to as "Logistica" unless otherwise specified. Although the two companies had different capital structures and shareholders, they were managed by the same management team throughout 2002.</w:t>
      </w:r>
    </w:p>
    <w:p>
      <w:pPr>
        <w:spacing w:after="0" w:line="159"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Corporate Background</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FEMSA traces its origins to the establishment of Mexico's first brewery, Cerveceria Cuauhtemoc, S.A. de C.V. ("Cuauhtemoc"), which was founded in 1890 by four Monterrey businessmen: Francisco G. Sada, Jose A. Muguerza, Isaac Garza and Jose M. Schneider. The company is controlled by descendants of certain of the founders of Cuauhtemoc.</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1891, the first year of production, Cuauhtemoc produced 2,000 hectoliters of beer. By 1935, the brewery operations had expanded significantly and Cuauhtemoc produced 293,000 hectoliters of beer. Cuauhtemoc continued to expand through additions to existing plant capacity and through acquisitions of other Mexican breweries, the first of which was completed in 1935. Over the next 30 years, Cuauhtemoc acquired four more breweries, and since then has continued to increase its production capacity, reaching approximately 32.2 million hectoliters in 2002.</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strategic integration of the company dates back to 1936 when Famosa was established to supply crown caps to the brewery. The packaging operations were expanded in 1957 when Grafo Regia, S.A. de C.V. ("Grafo Regia") was formed to produce labels and flexible packaging for the company's beer operations. During this period, these operations were part of what was known as the "Monterrey Group," which also included interests in banking, through Financiera Aceptaciones, S.A., which later became Banca Serfin, S.A. ("Banca Serfin"); steel, through Hojalata y Lamina, S.A. ("Hylsa"); and other packaging operations, through Empaques de Carton Titan, S.A. ("Titan").</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953" w:right="1440" w:bottom="1440" w:gutter="0" w:footer="0" w:header="0"/>
        </w:sectPr>
      </w:pPr>
    </w:p>
    <w:bookmarkStart w:id="22" w:name="page23"/>
    <w:bookmarkEnd w:id="22"/>
    <w:p>
      <w:pPr>
        <w:ind w:right="3239" w:firstLine="437"/>
        <w:spacing w:after="0" w:line="237" w:lineRule="auto"/>
        <w:rPr>
          <w:sz w:val="20"/>
          <w:szCs w:val="20"/>
          <w:color w:val="auto"/>
        </w:rPr>
      </w:pPr>
      <w:r>
        <w:rPr>
          <w:rFonts w:ascii="Courier New" w:cs="Courier New" w:eastAsia="Courier New" w:hAnsi="Courier New"/>
          <w:sz w:val="15"/>
          <w:szCs w:val="15"/>
          <w:color w:val="auto"/>
        </w:rPr>
        <w:t>In 1974, the Monterrey Group was split between two branches of the descendants of the founding families of Cuauhtemoc. Hylsa and Titan formed the basis for the creation of Corporacion Siderurgica, S.A. (later Grupo Industrial Alfa, S.A. de C.V.), controlled by the Garza Sada family, and the beverage and banking operations were consolidated under the FEMSA corporate umbrella, controlled by the Garza Laguera family. FEMSA's shares were first listed on the Bolsa Mexicana de Valores, S.A. de C.V. (the "Mexican Stock Exchange") on September 19, 1978. Between 1977 and 1981, FEMSA diversified its operations through acquisitions in the soft drink and mineral water industries, the establishment of the first convenience stores under the trade name Oxxo, and investments in the hotel, construction, auto parts, food and fishing industries, which were subsequently divested. These investments were financed in large part with foreign bank borrowings.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August 1982, the Mexican government suspended payment on its international debt obligations and nationalized the Mexican banking system. These actions precipitated an economic and debt crisis that lasted for several years. In 1985, in the midst of this crisis, certain controlling shareholders of FEMSA acquired a controlling interest in Cerveceria Moctezuma, S.A. ("Moctezuma") (then Mexico's third-largest brewery) and related companies in the packaging industry through the holding company Grupo Cermoc, S.A. de C.V. ("Grupo Cermoc"). At the time of the acquisition, Grupo Cermoc was in severe financial difficulty, which exacerbated the financial difficulties of FEMSA as well. As a result, FEMSA undertook an extensive corporate and financial restructuring that was completed in December 1988 (the "1988 Restructuring").</w:t>
      </w:r>
    </w:p>
    <w:p>
      <w:pPr>
        <w:spacing w:after="0" w:line="165"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Pursuant to the 1988 Restructuring, the shareholders' interests in the company and Grupo Cermoc were combined through the contribution by the company of the shares of the company's operating subsidiaries to Grupo Cermoc, a publicly listed Mexican company. The shares of the company's subsidiaries contributed to Grupo Cermoc represented approximately 75% of the new company, while the companies that originally formed part of Grupo Cermoc accounted for the remaining 25%. In conjunction with this combination of interests, approximately US$1.3 billion of aggregate liabilities of the company and Grupo Cermoc were restructured. Grupo Cermoc is the entity currently known as Emprex. The debt restructuring, which included a capital increase and a capitalization of part of the existing debt, resulted in a dilution of FEMSA's interest in Emprex to 60%. In addition, pursuant to the 1988 Restructuring, FEMSA divested its interests in non-core assets, including its investments in the hotel, auto parts and food businesses. As part of the 1988 Restructuring, Citicorp International Holdings, Inc. ("Citicorp") acquired 15% of Emprex's shares. In 1992, FEMSA purchased approximately 8.5% of Emprex's shares from Citicorp pursuant to an option agreement that had been entered into between FEMSA and Citicorp in 1988. FEMSA simultaneously sold approximately 0.8% of Emprex's shares in the market. As a result of these transactions, FEMSA's interest in Emprex increased to approximately 68%.</w:t>
      </w:r>
    </w:p>
    <w:p>
      <w:pPr>
        <w:spacing w:after="0" w:line="34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August 1991, FEMSA repurchased approximately 30% of its shares from a dissident minority shareholder. In October 1991, certain majority shareholders of FEMSA acquired a controlling interest in Bancomer, S.A. ("Bancomer"). The investment in Bancomer was undertaken as part of the Mexican government's reprivatization of the banking system, which had been nationalized in 1982. The Bancomer acquisition was financed in part by a US$610 million indirect subscription by Emprex's shareholders, including FEMSA, of shares in Grupo Financiero Bancomer, S.A. de C.V. (currently Grupo Financiero BBVA Bancomer, S.A. de C.V. ("BBVA Bancomer")), the Mexican financial services holding company that was formed to hold a controlling interest in Bancomer. In recognition that not all of Emprex's shareholders wished to participate in the financial services sector, in February 1992, FEMSA offered Emprex's shareholders the opportunity to exchange the BBVA Bancomer shares to which they were entitled for Emprex shares owned by FEMSA. Pursuant to this exchange facility, a small number of Emprex shareholders exchanged 124,553,926 BBVA Bancomer shares for 30,466,062 Emprex shares. FEMSA's interest in Emprex declined to approximately 62% as a result.</w:t>
      </w:r>
    </w:p>
    <w:p>
      <w:pPr>
        <w:spacing w:after="0" w:line="16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FEMSA's repurchase of the shares held by the dissident minority shareholder and the participation by Emprex's shareholders in the Bancomer transaction were financed through a bridge facility extended to FEMSA and Emprex that was subsequently repaid. Part of the repayment of FEMSA's obligations under the bridge facility was accomplished through a sale in 1992 of an 11% interest in Emprex to a European portfolio investor, which reduced FEMSA's interest in Emprex to 51.04%. In August 1996, the shares of BBVA Bancomer that were received by FEMSA in the exchange with Emprex's shareholders were distributed as a dividend to FEMSA's shareholders. At the same time, certain shareholders of FEMSA participated in a capital increase in FEMSA, the proceeds of which were used to reduce FEMSA's outstanding debt. As a result of the distribution of the shares of BBVA Bancomer to FEMSA's shareholders, the company ceased to have any beneficial interest in BBVA Bancomer.</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624" w:right="1440" w:bottom="1440" w:gutter="0" w:footer="0" w:header="0"/>
        </w:sectPr>
      </w:pPr>
    </w:p>
    <w:bookmarkStart w:id="23" w:name="page24"/>
    <w:bookmarkEnd w:id="23"/>
    <w:p>
      <w:pPr>
        <w:ind w:right="3239" w:firstLine="437"/>
        <w:spacing w:after="0" w:line="255" w:lineRule="auto"/>
        <w:rPr>
          <w:sz w:val="20"/>
          <w:szCs w:val="20"/>
          <w:color w:val="auto"/>
        </w:rPr>
      </w:pPr>
      <w:r>
        <w:rPr>
          <w:rFonts w:ascii="Courier New" w:cs="Courier New" w:eastAsia="Courier New" w:hAnsi="Courier New"/>
          <w:sz w:val="14"/>
          <w:szCs w:val="14"/>
          <w:color w:val="auto"/>
        </w:rPr>
        <w:t>Emprex's obligations pursuant to the bridge facility were refinanced through a series of transactions that included the divestiture of the mineral water business in April 1992 and the successful completion of a US$300 million Euro-bond offering in July 1992. Subsequent to the repayment of the bridge facility, Emprex began a series of strategic transactions to strengthen the competitive positions of its operating subsidiaries. These transactions included the sale of a 30% strategic interest in Coca-Cola FEMSA to a wholly-owned subsidiary of The Coca-Cola Company and a subsequent public offering of Coca-Cola FEMSA shares, both of which occurred in 1993, and the sale of a 22% strategic interest in the beer subsidiary, FEMSA Cerveza, to Labatt in 1994. Labatt subsequently increased its interest in FEMSA Cerveza to 30%.</w:t>
      </w:r>
    </w:p>
    <w:p>
      <w:pPr>
        <w:spacing w:after="0" w:line="165"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In 1998, we completed a reorganization (the "Reorganization") that (i) simplified our capital structure by converting our outstanding capital stock at the time of the Reorganization into BD Units and B Units, and (ii) united the shareholders of FEMSA and the former shareholders of Emprex at the same corporate level through an exchange offer that was consummated on May 11, 1998 (the "Exchange Offer"). Pursuant to the Exchange Offer, FEMSA exchanged ADRs representing 10 BD Units for outstanding Emprex ADRs or Emprex Series B Shares. As part of the Reorganization, FEMSA listed ADRs on the New York Stock Exchange representing BD Units, and listed the BD Units and the B Units on the Mexican Stock Exchange. Additionally, upon completion of the Reorganization the name of FEMSA was changed from "Valores Industriales, S.A." to "Fomento Economico Mexicano, S.A. de C.V." and the name of Emprex was changed from "Fomento Economico Mexicano, S.A. de C.V." to "Grupo Industrial Emprex, S.A. de C.V."</w:t>
      </w:r>
    </w:p>
    <w:p>
      <w:pPr>
        <w:spacing w:after="0" w:line="16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Prior to the completion of the Exchange Offer, FEMSA owned 51.04% of the shares of Emprex. Upon the completion of the Exchange Offer, FEMSA owned 98.7% of the outstanding shares of Emprex, which amount increased to 99.99% through a tender offer by the company for the outstanding Emprex shares. The Reorganization did not give rise to a change in control. Those shareholders of the company that held a majority of the voting shares of the company (which, in turn, held a majority of the voting shares of Emprex) before the Reorganization continued to hold a majority of the company's Series B Shares, which are the only shares of capital stock of FEMSA with full voting rights, after the Reorganization. See "Item 10. Additional Information--Bylaws--Voting Rights and Certain Minority Rights."</w:t>
      </w:r>
    </w:p>
    <w:p>
      <w:pPr>
        <w:spacing w:after="0" w:line="180"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In July 2002, as a result of the spin-off of Emprex, CIBSA was created as a new company whose sole asset is an equity interest in Coca-Cola FEMSA.</w:t>
      </w:r>
    </w:p>
    <w:p>
      <w:pPr>
        <w:spacing w:after="0" w:line="167"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The Panamco Acquisition</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On May 6, 2003, Coca-Cola FEMSA completed the acquisition of Panamco (the "Panamco Acquisition"). The transaction was first announced on December 23, 2002. Pursuant to the Panamco Acquisition, holders of Panamco common stock, excluding The Coca-Cola Company, received an aggregate amount of US$2.150 billion in cash, while The Coca-Cola Company received approximately 304 million unlisted Series D Shares of Coca-Cola FEMSA in exchange for all its Panamco shares, valued at the time of closing at US$674 million. Additionally, Coca-Cola FEMSA assumed US$885 million of Panamco's debt as of December 31, 2002. The transaction was financed with US$1.978 billion in newly acquired debt at the Coca-Cola FEMSA level, a US$260 million equity contribution from FEMSA through its subsidiary CIBSA and cash on hand. The current corporate name of Panamco is Corporacion Interamericana de Bebidas, S.A. de C.V.</w:t>
      </w:r>
    </w:p>
    <w:p>
      <w:pPr>
        <w:spacing w:after="0" w:line="16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combination created the second largest Coca-Cola bottler in the world, with franchise presence in Mexico, Guatemala, Nicaragua, Costa Rica, Panama, Colombia, Venezuela, Brazil and Argentina, including most of these countries' capital cities and large urban centers. Upon closing of the transaction, FEMSA's economic ownership of Coca-Cola FEMSA was reduced to 45.7% and voting ownership became 53.6%.</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See also "- Coca-Cola FEMSA--The Panamco Acquisition."</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624" w:right="1440" w:bottom="1440" w:gutter="0" w:footer="0" w:header="0"/>
        </w:sectPr>
      </w:pPr>
    </w:p>
    <w:bookmarkStart w:id="24" w:name="page25"/>
    <w:bookmarkEnd w:id="24"/>
    <w:p>
      <w:pPr>
        <w:ind w:left="2720"/>
        <w:spacing w:after="0"/>
        <w:rPr>
          <w:sz w:val="20"/>
          <w:szCs w:val="20"/>
          <w:color w:val="auto"/>
        </w:rPr>
      </w:pPr>
      <w:r>
        <w:rPr>
          <w:rFonts w:ascii="Courier New" w:cs="Courier New" w:eastAsia="Courier New" w:hAnsi="Courier New"/>
          <w:sz w:val="15"/>
          <w:szCs w:val="15"/>
          <w:color w:val="auto"/>
        </w:rPr>
        <w:t>Ownership Structure</w:t>
      </w:r>
    </w:p>
    <w:p>
      <w:pPr>
        <w:spacing w:after="0" w:line="173" w:lineRule="exact"/>
        <w:rPr>
          <w:sz w:val="20"/>
          <w:szCs w:val="20"/>
          <w:color w:val="auto"/>
        </w:rPr>
      </w:pPr>
    </w:p>
    <w:p>
      <w:pPr>
        <w:ind w:right="3399" w:firstLine="787"/>
        <w:spacing w:after="0" w:line="234" w:lineRule="auto"/>
        <w:rPr>
          <w:sz w:val="20"/>
          <w:szCs w:val="20"/>
          <w:color w:val="auto"/>
        </w:rPr>
      </w:pPr>
      <w:r>
        <w:rPr>
          <w:rFonts w:ascii="Courier New" w:cs="Courier New" w:eastAsia="Courier New" w:hAnsi="Courier New"/>
          <w:sz w:val="15"/>
          <w:szCs w:val="15"/>
          <w:color w:val="auto"/>
        </w:rPr>
        <w:t>Our business is operated through our subholding companies as shown in the following diagram and table:</w:t>
      </w:r>
    </w:p>
    <w:p>
      <w:pPr>
        <w:spacing w:after="0" w:line="167"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Subholding Companies--Ownership Structure</w:t>
      </w:r>
    </w:p>
    <w:p>
      <w:pPr>
        <w:spacing w:after="0" w:line="335"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w:t>
      </w:r>
    </w:p>
    <w:p>
      <w:pPr>
        <w:ind w:left="1580"/>
        <w:spacing w:after="0" w:line="237" w:lineRule="auto"/>
        <w:tabs>
          <w:tab w:leader="none" w:pos="24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ind w:left="1580"/>
        <w:spacing w:after="0" w:line="238" w:lineRule="auto"/>
        <w:tabs>
          <w:tab w:leader="none" w:pos="24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ind w:left="1580"/>
        <w:spacing w:after="0"/>
        <w:tabs>
          <w:tab w:leader="none" w:pos="1820" w:val="left"/>
          <w:tab w:leader="none" w:pos="2440" w:val="left"/>
        </w:tabs>
        <w:rPr>
          <w:sz w:val="20"/>
          <w:szCs w:val="20"/>
          <w:color w:val="auto"/>
        </w:rPr>
      </w:pPr>
      <w:r>
        <w:rPr>
          <w:rFonts w:ascii="Courier New" w:cs="Courier New" w:eastAsia="Courier New" w:hAnsi="Courier New"/>
          <w:sz w:val="15"/>
          <w:szCs w:val="15"/>
          <w:color w:val="auto"/>
        </w:rPr>
        <w:t>|</w:t>
        <w:tab/>
        <w:t>FEMSA</w:t>
      </w:r>
      <w:r>
        <w:rPr>
          <w:sz w:val="20"/>
          <w:szCs w:val="20"/>
          <w:color w:val="auto"/>
        </w:rPr>
        <w:tab/>
      </w:r>
      <w:r>
        <w:rPr>
          <w:rFonts w:ascii="Courier New" w:cs="Courier New" w:eastAsia="Courier New" w:hAnsi="Courier New"/>
          <w:sz w:val="12"/>
          <w:szCs w:val="12"/>
          <w:color w:val="auto"/>
        </w:rPr>
        <w:t>|</w:t>
      </w:r>
    </w:p>
    <w:p>
      <w:pPr>
        <w:ind w:left="1580"/>
        <w:spacing w:after="0" w:line="238" w:lineRule="auto"/>
        <w:tabs>
          <w:tab w:leader="none" w:pos="24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ind w:left="1580"/>
        <w:spacing w:after="0" w:line="237" w:lineRule="auto"/>
        <w:tabs>
          <w:tab w:leader="none" w:pos="24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ind w:left="1580"/>
        <w:spacing w:after="0" w:line="238" w:lineRule="auto"/>
        <w:rPr>
          <w:sz w:val="20"/>
          <w:szCs w:val="20"/>
          <w:color w:val="auto"/>
        </w:rPr>
      </w:pPr>
      <w:r>
        <w:rPr>
          <w:rFonts w:ascii="Courier New" w:cs="Courier New" w:eastAsia="Courier New" w:hAnsi="Courier New"/>
          <w:sz w:val="15"/>
          <w:szCs w:val="15"/>
          <w:color w:val="auto"/>
        </w:rPr>
        <w:t>-----------</w:t>
      </w:r>
    </w:p>
    <w:p>
      <w:pPr>
        <w:ind w:left="2020"/>
        <w:spacing w:after="0" w:line="237" w:lineRule="auto"/>
        <w:rPr>
          <w:sz w:val="20"/>
          <w:szCs w:val="20"/>
          <w:color w:val="auto"/>
        </w:rPr>
      </w:pPr>
      <w:r>
        <w:rPr>
          <w:rFonts w:ascii="Courier New" w:cs="Courier New" w:eastAsia="Courier New" w:hAnsi="Courier New"/>
          <w:sz w:val="15"/>
          <w:szCs w:val="15"/>
          <w:color w:val="auto"/>
        </w:rPr>
        <w:t>|</w:t>
      </w:r>
    </w:p>
    <w:p>
      <w:pPr>
        <w:ind w:left="2020"/>
        <w:spacing w:after="0" w:line="238" w:lineRule="auto"/>
        <w:rPr>
          <w:sz w:val="20"/>
          <w:szCs w:val="20"/>
          <w:color w:val="auto"/>
        </w:rPr>
      </w:pPr>
      <w:r>
        <w:rPr>
          <w:rFonts w:ascii="Courier New" w:cs="Courier New" w:eastAsia="Courier New" w:hAnsi="Courier New"/>
          <w:sz w:val="15"/>
          <w:szCs w:val="15"/>
          <w:color w:val="auto"/>
        </w:rPr>
        <w:t>|</w:t>
      </w:r>
    </w:p>
    <w:p>
      <w:pPr>
        <w:ind w:left="440"/>
        <w:spacing w:after="0" w:line="238" w:lineRule="auto"/>
        <w:rPr>
          <w:sz w:val="20"/>
          <w:szCs w:val="20"/>
          <w:color w:val="auto"/>
        </w:rPr>
      </w:pPr>
      <w:r>
        <w:rPr>
          <w:rFonts w:ascii="Courier New" w:cs="Courier New" w:eastAsia="Courier New" w:hAnsi="Courier New"/>
          <w:sz w:val="15"/>
          <w:szCs w:val="15"/>
          <w:color w:val="auto"/>
        </w:rPr>
        <w:t>|----------------------------------------</w:t>
      </w:r>
    </w:p>
    <w:p>
      <w:pPr>
        <w:ind w:left="440"/>
        <w:spacing w:after="0" w:line="237" w:lineRule="auto"/>
        <w:tabs>
          <w:tab w:leader="none" w:pos="39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ind w:left="440"/>
        <w:spacing w:after="0" w:line="238" w:lineRule="auto"/>
        <w:tabs>
          <w:tab w:leader="none" w:pos="3920" w:val="left"/>
        </w:tabs>
        <w:rPr>
          <w:sz w:val="20"/>
          <w:szCs w:val="20"/>
          <w:color w:val="auto"/>
        </w:rPr>
      </w:pPr>
      <w:r>
        <w:rPr>
          <w:rFonts w:ascii="Courier New" w:cs="Courier New" w:eastAsia="Courier New" w:hAnsi="Courier New"/>
          <w:sz w:val="15"/>
          <w:szCs w:val="15"/>
          <w:color w:val="auto"/>
        </w:rPr>
        <w:t>|99.99%(1)</w:t>
      </w:r>
      <w:r>
        <w:rPr>
          <w:sz w:val="20"/>
          <w:szCs w:val="20"/>
          <w:color w:val="auto"/>
        </w:rPr>
        <w:tab/>
      </w:r>
      <w:r>
        <w:rPr>
          <w:rFonts w:ascii="Courier New" w:cs="Courier New" w:eastAsia="Courier New" w:hAnsi="Courier New"/>
          <w:sz w:val="15"/>
          <w:szCs w:val="15"/>
          <w:color w:val="auto"/>
        </w:rPr>
        <w:t>|99.99%</w:t>
      </w:r>
    </w:p>
    <w:p>
      <w:pPr>
        <w:spacing w:after="0"/>
        <w:tabs>
          <w:tab w:leader="none" w:pos="358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238" w:lineRule="auto"/>
        <w:tabs>
          <w:tab w:leader="none" w:pos="860" w:val="left"/>
          <w:tab w:leader="none" w:pos="3400" w:val="left"/>
          <w:tab w:leader="none" w:pos="43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37" w:lineRule="auto"/>
        <w:tabs>
          <w:tab w:leader="none" w:pos="860" w:val="left"/>
          <w:tab w:leader="none" w:pos="3400" w:val="left"/>
          <w:tab w:leader="none" w:pos="43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38" w:lineRule="auto"/>
        <w:tabs>
          <w:tab w:leader="none" w:pos="260" w:val="left"/>
          <w:tab w:leader="none" w:pos="860" w:val="left"/>
          <w:tab w:leader="none" w:pos="3400" w:val="left"/>
          <w:tab w:leader="none" w:pos="3660" w:val="left"/>
          <w:tab w:leader="none" w:pos="4360" w:val="left"/>
        </w:tabs>
        <w:rPr>
          <w:sz w:val="20"/>
          <w:szCs w:val="20"/>
          <w:color w:val="auto"/>
        </w:rPr>
      </w:pPr>
      <w:r>
        <w:rPr>
          <w:rFonts w:ascii="Courier New" w:cs="Courier New" w:eastAsia="Courier New" w:hAnsi="Courier New"/>
          <w:sz w:val="15"/>
          <w:szCs w:val="15"/>
          <w:color w:val="auto"/>
        </w:rPr>
        <w:t>|</w:t>
        <w:tab/>
        <w:t>CIBSA</w:t>
        <w:tab/>
        <w:t>|</w:t>
      </w:r>
      <w:r>
        <w:rPr>
          <w:sz w:val="20"/>
          <w:szCs w:val="20"/>
          <w:color w:val="auto"/>
        </w:rPr>
        <w:tab/>
      </w:r>
      <w:r>
        <w:rPr>
          <w:rFonts w:ascii="Courier New" w:cs="Courier New" w:eastAsia="Courier New" w:hAnsi="Courier New"/>
          <w:sz w:val="15"/>
          <w:szCs w:val="15"/>
          <w:color w:val="auto"/>
        </w:rPr>
        <w:t>|</w:t>
        <w:tab/>
        <w:t>Emprex</w:t>
        <w:tab/>
        <w:t>|</w:t>
      </w:r>
    </w:p>
    <w:p>
      <w:pPr>
        <w:spacing w:after="0" w:line="238" w:lineRule="auto"/>
        <w:tabs>
          <w:tab w:leader="none" w:pos="860" w:val="left"/>
          <w:tab w:leader="none" w:pos="3400" w:val="left"/>
          <w:tab w:leader="none" w:pos="43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37" w:lineRule="auto"/>
        <w:tabs>
          <w:tab w:leader="none" w:pos="860" w:val="left"/>
          <w:tab w:leader="none" w:pos="3400" w:val="left"/>
          <w:tab w:leader="none" w:pos="43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tabs>
          <w:tab w:leader="none" w:pos="358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ind w:left="440"/>
        <w:spacing w:after="0" w:line="237" w:lineRule="auto"/>
        <w:tabs>
          <w:tab w:leader="none" w:pos="39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ind w:left="440"/>
        <w:spacing w:after="0" w:line="238" w:lineRule="auto"/>
        <w:tabs>
          <w:tab w:leader="none" w:pos="39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ind w:left="440"/>
        <w:spacing w:after="0" w:line="237" w:lineRule="auto"/>
        <w:tabs>
          <w:tab w:leader="none" w:pos="25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ind w:left="440"/>
        <w:spacing w:after="0"/>
        <w:tabs>
          <w:tab w:leader="none" w:pos="2520" w:val="left"/>
          <w:tab w:leader="none" w:pos="3920" w:val="left"/>
          <w:tab w:leader="none" w:pos="55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2"/>
          <w:szCs w:val="12"/>
          <w:color w:val="auto"/>
        </w:rPr>
        <w:t>|</w:t>
      </w:r>
    </w:p>
    <w:p>
      <w:pPr>
        <w:ind w:left="440"/>
        <w:spacing w:after="0"/>
        <w:tabs>
          <w:tab w:leader="none" w:pos="2520" w:val="left"/>
          <w:tab w:leader="none" w:pos="3920" w:val="left"/>
          <w:tab w:leader="none" w:pos="5500" w:val="left"/>
        </w:tabs>
        <w:rPr>
          <w:sz w:val="20"/>
          <w:szCs w:val="20"/>
          <w:color w:val="auto"/>
        </w:rPr>
      </w:pPr>
      <w:r>
        <w:rPr>
          <w:rFonts w:ascii="Courier New" w:cs="Courier New" w:eastAsia="Courier New" w:hAnsi="Courier New"/>
          <w:sz w:val="15"/>
          <w:szCs w:val="15"/>
          <w:color w:val="auto"/>
        </w:rPr>
        <w:t>|45.7%(2)</w:t>
      </w:r>
      <w:r>
        <w:rPr>
          <w:sz w:val="20"/>
          <w:szCs w:val="20"/>
          <w:color w:val="auto"/>
        </w:rPr>
        <w:tab/>
      </w:r>
      <w:r>
        <w:rPr>
          <w:rFonts w:ascii="Courier New" w:cs="Courier New" w:eastAsia="Courier New" w:hAnsi="Courier New"/>
          <w:sz w:val="15"/>
          <w:szCs w:val="15"/>
          <w:color w:val="auto"/>
        </w:rPr>
        <w:t>|70%</w:t>
      </w:r>
      <w:r>
        <w:rPr>
          <w:sz w:val="20"/>
          <w:szCs w:val="20"/>
          <w:color w:val="auto"/>
        </w:rPr>
        <w:tab/>
      </w:r>
      <w:r>
        <w:rPr>
          <w:rFonts w:ascii="Courier New" w:cs="Courier New" w:eastAsia="Courier New" w:hAnsi="Courier New"/>
          <w:sz w:val="15"/>
          <w:szCs w:val="15"/>
          <w:color w:val="auto"/>
        </w:rPr>
        <w:t>|100%</w:t>
      </w:r>
      <w:r>
        <w:rPr>
          <w:sz w:val="20"/>
          <w:szCs w:val="20"/>
          <w:color w:val="auto"/>
        </w:rPr>
        <w:tab/>
      </w:r>
      <w:r>
        <w:rPr>
          <w:rFonts w:ascii="Courier New" w:cs="Courier New" w:eastAsia="Courier New" w:hAnsi="Courier New"/>
          <w:sz w:val="14"/>
          <w:szCs w:val="14"/>
          <w:color w:val="auto"/>
        </w:rPr>
        <w:t>|100%</w:t>
      </w:r>
    </w:p>
    <w:p>
      <w:pPr>
        <w:spacing w:after="0"/>
        <w:tabs>
          <w:tab w:leader="none" w:pos="2180" w:val="left"/>
          <w:tab w:leader="none" w:pos="3660" w:val="left"/>
          <w:tab w:leader="none" w:pos="516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tabs>
          <w:tab w:leader="none" w:pos="860" w:val="left"/>
          <w:tab w:leader="none" w:pos="2000" w:val="left"/>
          <w:tab w:leader="none" w:pos="2960" w:val="left"/>
          <w:tab w:leader="none" w:pos="3480" w:val="left"/>
          <w:tab w:leader="none" w:pos="4460" w:val="left"/>
          <w:tab w:leader="none" w:pos="4980" w:val="left"/>
          <w:tab w:leader="none" w:pos="59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2"/>
          <w:szCs w:val="12"/>
          <w:color w:val="auto"/>
        </w:rPr>
        <w:t>|</w:t>
      </w:r>
    </w:p>
    <w:p>
      <w:pPr>
        <w:spacing w:after="0"/>
        <w:tabs>
          <w:tab w:leader="none" w:pos="260" w:val="left"/>
          <w:tab w:leader="none" w:pos="860" w:val="left"/>
          <w:tab w:leader="none" w:pos="2000" w:val="left"/>
          <w:tab w:leader="none" w:pos="2960" w:val="left"/>
          <w:tab w:leader="none" w:pos="3480" w:val="left"/>
          <w:tab w:leader="none" w:pos="4460" w:val="left"/>
          <w:tab w:leader="none" w:pos="4980" w:val="left"/>
          <w:tab w:leader="none" w:pos="5940" w:val="left"/>
        </w:tabs>
        <w:rPr>
          <w:sz w:val="20"/>
          <w:szCs w:val="20"/>
          <w:color w:val="auto"/>
        </w:rPr>
      </w:pPr>
      <w:r>
        <w:rPr>
          <w:rFonts w:ascii="Courier New" w:cs="Courier New" w:eastAsia="Courier New" w:hAnsi="Courier New"/>
          <w:sz w:val="15"/>
          <w:szCs w:val="15"/>
          <w:color w:val="auto"/>
        </w:rPr>
        <w:t>|</w:t>
        <w:tab/>
        <w:t>Coca-</w:t>
        <w:tab/>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2"/>
          <w:szCs w:val="12"/>
          <w:color w:val="auto"/>
        </w:rPr>
        <w:t>|</w:t>
      </w:r>
    </w:p>
    <w:p>
      <w:pPr>
        <w:spacing w:after="0"/>
        <w:tabs>
          <w:tab w:leader="none" w:pos="260" w:val="left"/>
          <w:tab w:leader="none" w:pos="860" w:val="left"/>
          <w:tab w:leader="none" w:pos="2000" w:val="left"/>
          <w:tab w:leader="none" w:pos="2260" w:val="left"/>
          <w:tab w:leader="none" w:pos="2960" w:val="left"/>
          <w:tab w:leader="none" w:pos="3480" w:val="left"/>
          <w:tab w:leader="none" w:pos="3760" w:val="left"/>
          <w:tab w:leader="none" w:pos="4460" w:val="left"/>
          <w:tab w:leader="none" w:pos="4980" w:val="left"/>
          <w:tab w:leader="none" w:pos="5240" w:val="left"/>
          <w:tab w:leader="none" w:pos="5940" w:val="left"/>
        </w:tabs>
        <w:rPr>
          <w:sz w:val="20"/>
          <w:szCs w:val="20"/>
          <w:color w:val="auto"/>
        </w:rPr>
      </w:pPr>
      <w:r>
        <w:rPr>
          <w:rFonts w:ascii="Courier New" w:cs="Courier New" w:eastAsia="Courier New" w:hAnsi="Courier New"/>
          <w:sz w:val="15"/>
          <w:szCs w:val="15"/>
          <w:color w:val="auto"/>
        </w:rPr>
        <w:t>|</w:t>
        <w:tab/>
        <w:t>Cola</w:t>
        <w:tab/>
        <w:t>|</w:t>
      </w:r>
      <w:r>
        <w:rPr>
          <w:sz w:val="20"/>
          <w:szCs w:val="20"/>
          <w:color w:val="auto"/>
        </w:rPr>
        <w:tab/>
      </w:r>
      <w:r>
        <w:rPr>
          <w:rFonts w:ascii="Courier New" w:cs="Courier New" w:eastAsia="Courier New" w:hAnsi="Courier New"/>
          <w:sz w:val="15"/>
          <w:szCs w:val="15"/>
          <w:color w:val="auto"/>
        </w:rPr>
        <w:t>|</w:t>
        <w:tab/>
        <w:t>FEMSA</w:t>
        <w:tab/>
        <w:t>|</w:t>
      </w:r>
      <w:r>
        <w:rPr>
          <w:sz w:val="20"/>
          <w:szCs w:val="20"/>
          <w:color w:val="auto"/>
        </w:rPr>
        <w:tab/>
      </w:r>
      <w:r>
        <w:rPr>
          <w:rFonts w:ascii="Courier New" w:cs="Courier New" w:eastAsia="Courier New" w:hAnsi="Courier New"/>
          <w:sz w:val="15"/>
          <w:szCs w:val="15"/>
          <w:color w:val="auto"/>
        </w:rPr>
        <w:t>|</w:t>
        <w:tab/>
        <w:t>FEMSA</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tab/>
        <w:t>FEMSA</w:t>
      </w:r>
      <w:r>
        <w:rPr>
          <w:sz w:val="20"/>
          <w:szCs w:val="20"/>
          <w:color w:val="auto"/>
        </w:rPr>
        <w:tab/>
      </w:r>
      <w:r>
        <w:rPr>
          <w:rFonts w:ascii="Courier New" w:cs="Courier New" w:eastAsia="Courier New" w:hAnsi="Courier New"/>
          <w:sz w:val="12"/>
          <w:szCs w:val="12"/>
          <w:color w:val="auto"/>
        </w:rPr>
        <w:t>|</w:t>
      </w:r>
    </w:p>
    <w:p>
      <w:pPr>
        <w:spacing w:after="0"/>
        <w:tabs>
          <w:tab w:leader="none" w:pos="260" w:val="left"/>
          <w:tab w:leader="none" w:pos="860" w:val="left"/>
          <w:tab w:leader="none" w:pos="2000" w:val="left"/>
          <w:tab w:leader="none" w:pos="2260" w:val="left"/>
          <w:tab w:leader="none" w:pos="3480" w:val="left"/>
          <w:tab w:leader="none" w:pos="3760" w:val="left"/>
          <w:tab w:leader="none" w:pos="4980" w:val="left"/>
          <w:tab w:leader="none" w:pos="5240" w:val="left"/>
        </w:tabs>
        <w:rPr>
          <w:sz w:val="20"/>
          <w:szCs w:val="20"/>
          <w:color w:val="auto"/>
        </w:rPr>
      </w:pPr>
      <w:r>
        <w:rPr>
          <w:rFonts w:ascii="Courier New" w:cs="Courier New" w:eastAsia="Courier New" w:hAnsi="Courier New"/>
          <w:sz w:val="15"/>
          <w:szCs w:val="15"/>
          <w:color w:val="auto"/>
        </w:rPr>
        <w:t>|</w:t>
        <w:tab/>
        <w:t>FEMSA</w:t>
        <w:tab/>
        <w:t>|</w:t>
      </w:r>
      <w:r>
        <w:rPr>
          <w:sz w:val="20"/>
          <w:szCs w:val="20"/>
          <w:color w:val="auto"/>
        </w:rPr>
        <w:tab/>
      </w:r>
      <w:r>
        <w:rPr>
          <w:rFonts w:ascii="Courier New" w:cs="Courier New" w:eastAsia="Courier New" w:hAnsi="Courier New"/>
          <w:sz w:val="15"/>
          <w:szCs w:val="15"/>
          <w:color w:val="auto"/>
        </w:rPr>
        <w:t>|</w:t>
        <w:tab/>
        <w:t>Cerveza |</w:t>
      </w:r>
      <w:r>
        <w:rPr>
          <w:sz w:val="20"/>
          <w:szCs w:val="20"/>
          <w:color w:val="auto"/>
        </w:rPr>
        <w:tab/>
      </w:r>
      <w:r>
        <w:rPr>
          <w:rFonts w:ascii="Courier New" w:cs="Courier New" w:eastAsia="Courier New" w:hAnsi="Courier New"/>
          <w:sz w:val="15"/>
          <w:szCs w:val="15"/>
          <w:color w:val="auto"/>
        </w:rPr>
        <w:t>|</w:t>
        <w:tab/>
        <w:t>Comercio|</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Empaques|</w:t>
      </w:r>
    </w:p>
    <w:p>
      <w:pPr>
        <w:spacing w:after="0"/>
        <w:tabs>
          <w:tab w:leader="none" w:pos="860" w:val="left"/>
          <w:tab w:leader="none" w:pos="2000" w:val="left"/>
          <w:tab w:leader="none" w:pos="2960" w:val="left"/>
          <w:tab w:leader="none" w:pos="3480" w:val="left"/>
          <w:tab w:leader="none" w:pos="4460" w:val="left"/>
          <w:tab w:leader="none" w:pos="4980" w:val="left"/>
          <w:tab w:leader="none" w:pos="59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2"/>
          <w:szCs w:val="12"/>
          <w:color w:val="auto"/>
        </w:rPr>
        <w:t>|</w:t>
      </w:r>
    </w:p>
    <w:p>
      <w:pPr>
        <w:spacing w:after="0"/>
        <w:tabs>
          <w:tab w:leader="none" w:pos="2180" w:val="left"/>
          <w:tab w:leader="none" w:pos="3660" w:val="left"/>
          <w:tab w:leader="none" w:pos="516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880" w:right="3839" w:hanging="433"/>
        <w:spacing w:after="0" w:line="234" w:lineRule="auto"/>
        <w:tabs>
          <w:tab w:leader="none" w:pos="8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remaining 0.01% portion is held indirectly by FEMSA through Emprex.</w:t>
      </w:r>
    </w:p>
    <w:p>
      <w:pPr>
        <w:spacing w:after="0" w:line="5" w:lineRule="exact"/>
        <w:rPr>
          <w:rFonts w:ascii="Courier New" w:cs="Courier New" w:eastAsia="Courier New" w:hAnsi="Courier New"/>
          <w:sz w:val="15"/>
          <w:szCs w:val="15"/>
          <w:color w:val="auto"/>
        </w:rPr>
      </w:pPr>
    </w:p>
    <w:p>
      <w:pPr>
        <w:ind w:left="880" w:right="3499" w:hanging="433"/>
        <w:spacing w:after="0" w:line="235" w:lineRule="auto"/>
        <w:tabs>
          <w:tab w:leader="none" w:pos="8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giving effect to the Panamco Acquisition. Panamco is a wholly-owned subsidiary of Coca-Cola FEMSA. FEMSA owns 53.6% of the voting interest of Coca-Cola FEMSA.</w:t>
      </w:r>
    </w:p>
    <w:p>
      <w:pPr>
        <w:spacing w:after="0" w:line="335"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Subholding Companies--Overview</w:t>
      </w:r>
    </w:p>
    <w:p>
      <w:pPr>
        <w:sectPr>
          <w:pgSz w:w="11900" w:h="16838" w:orient="portrait"/>
          <w:cols w:equalWidth="0" w:num="1">
            <w:col w:w="10239"/>
          </w:cols>
          <w:pgMar w:left="220" w:top="785" w:right="1440" w:bottom="1440" w:gutter="0" w:footer="0" w:header="0"/>
        </w:sectPr>
      </w:pPr>
    </w:p>
    <w:p>
      <w:pPr>
        <w:spacing w:after="0" w:line="335"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Coca-Cola</w:t>
      </w:r>
    </w:p>
    <w:p>
      <w:pPr>
        <w:ind w:left="1840"/>
        <w:spacing w:after="0" w:line="237" w:lineRule="auto"/>
        <w:rPr>
          <w:sz w:val="20"/>
          <w:szCs w:val="20"/>
          <w:color w:val="auto"/>
        </w:rPr>
      </w:pPr>
      <w:r>
        <w:rPr>
          <w:rFonts w:ascii="Courier New" w:cs="Courier New" w:eastAsia="Courier New" w:hAnsi="Courier New"/>
          <w:sz w:val="15"/>
          <w:szCs w:val="15"/>
          <w:color w:val="auto"/>
        </w:rPr>
        <w:t>FEMSA</w:t>
      </w:r>
    </w:p>
    <w:p>
      <w:pPr>
        <w:spacing w:after="0" w:line="5" w:lineRule="exact"/>
        <w:rPr>
          <w:sz w:val="20"/>
          <w:szCs w:val="20"/>
          <w:color w:val="auto"/>
        </w:rPr>
      </w:pPr>
    </w:p>
    <w:p>
      <w:pPr>
        <w:ind w:left="16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line="509" w:lineRule="auto"/>
        <w:rPr>
          <w:sz w:val="20"/>
          <w:szCs w:val="20"/>
          <w:color w:val="auto"/>
        </w:rPr>
      </w:pPr>
      <w:r>
        <w:rPr>
          <w:rFonts w:ascii="Courier New" w:cs="Courier New" w:eastAsia="Courier New" w:hAnsi="Courier New"/>
          <w:sz w:val="14"/>
          <w:szCs w:val="14"/>
          <w:color w:val="auto"/>
        </w:rPr>
        <w:t>FEMSA Cerveza --------------</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FEMSA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Comercio</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FEMSA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Empaques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4">
            <w:col w:w="2540" w:space="360"/>
            <w:col w:w="1220" w:space="180"/>
            <w:col w:w="700" w:space="440"/>
            <w:col w:w="4799"/>
          </w:cols>
          <w:pgMar w:left="220" w:top="78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Industry.....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Soft Drinks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Beer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Retail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Packaging</w:t>
      </w:r>
    </w:p>
    <w:p>
      <w:pPr>
        <w:spacing w:after="0" w:line="178" w:lineRule="exact"/>
        <w:rPr>
          <w:sz w:val="20"/>
          <w:szCs w:val="20"/>
          <w:color w:val="auto"/>
        </w:rPr>
      </w:pPr>
    </w:p>
    <w:p>
      <w:pPr>
        <w:sectPr>
          <w:pgSz w:w="11900" w:h="16838" w:orient="portrait"/>
          <w:cols w:equalWidth="0" w:num="5">
            <w:col w:w="1140" w:space="440"/>
            <w:col w:w="960" w:space="540"/>
            <w:col w:w="680" w:space="720"/>
            <w:col w:w="520" w:space="520"/>
            <w:col w:w="4719"/>
          </w:cols>
          <w:pgMar w:left="220" w:top="78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Strategic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The Coca-Cola</w:t>
      </w:r>
    </w:p>
    <w:p>
      <w:pPr>
        <w:spacing w:after="0" w:line="10" w:lineRule="exact"/>
        <w:rPr>
          <w:sz w:val="20"/>
          <w:szCs w:val="20"/>
          <w:color w:val="auto"/>
        </w:rPr>
      </w:pPr>
    </w:p>
    <w:p>
      <w:pPr>
        <w:sectPr>
          <w:pgSz w:w="11900" w:h="16838" w:orient="portrait"/>
          <w:cols w:equalWidth="0" w:num="2">
            <w:col w:w="860" w:space="720"/>
            <w:col w:w="8659"/>
          </w:cols>
          <w:pgMar w:left="220" w:top="78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Partner......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Company</w:t>
      </w:r>
    </w:p>
    <w:p>
      <w:pPr>
        <w:spacing w:after="0" w:line="20" w:lineRule="exact"/>
        <w:rPr>
          <w:sz w:val="20"/>
          <w:szCs w:val="20"/>
          <w:color w:val="auto"/>
        </w:rPr>
      </w:pPr>
      <w:r>
        <w:rPr>
          <w:sz w:val="20"/>
          <w:szCs w:val="20"/>
          <w:color w:val="auto"/>
        </w:rPr>
        <w:br w:type="column"/>
      </w:r>
    </w:p>
    <w:p>
      <w:pPr>
        <w:jc w:val="center"/>
        <w:ind w:right="160"/>
        <w:spacing w:after="0"/>
        <w:rPr>
          <w:sz w:val="20"/>
          <w:szCs w:val="20"/>
          <w:color w:val="auto"/>
        </w:rPr>
      </w:pPr>
      <w:r>
        <w:rPr>
          <w:rFonts w:ascii="Courier New" w:cs="Courier New" w:eastAsia="Courier New" w:hAnsi="Courier New"/>
          <w:sz w:val="14"/>
          <w:szCs w:val="14"/>
          <w:color w:val="auto"/>
        </w:rPr>
        <w:t>Labatt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None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None</w:t>
      </w:r>
    </w:p>
    <w:p>
      <w:pPr>
        <w:spacing w:after="0" w:line="200" w:lineRule="exact"/>
        <w:rPr>
          <w:sz w:val="20"/>
          <w:szCs w:val="20"/>
          <w:color w:val="auto"/>
        </w:rPr>
      </w:pPr>
    </w:p>
    <w:p>
      <w:pPr>
        <w:sectPr>
          <w:pgSz w:w="11900" w:h="16838" w:orient="portrait"/>
          <w:cols w:equalWidth="0" w:num="5">
            <w:col w:w="1140" w:space="440"/>
            <w:col w:w="780" w:space="720"/>
            <w:col w:w="680" w:space="720"/>
            <w:col w:w="340" w:space="700"/>
            <w:col w:w="4719"/>
          </w:cols>
          <w:pgMar w:left="220" w:top="78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785" w:right="1440" w:bottom="1440" w:gutter="0" w:footer="0" w:header="0"/>
          <w:type w:val="continuous"/>
        </w:sectPr>
      </w:pPr>
    </w:p>
    <w:bookmarkStart w:id="25" w:name="page26"/>
    <w:bookmarkEnd w:id="25"/>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40" w:type="dxa"/>
            <w:vAlign w:val="bottom"/>
          </w:tcPr>
          <w:p>
            <w:pPr>
              <w:spacing w:after="0"/>
              <w:rPr>
                <w:sz w:val="14"/>
                <w:szCs w:val="14"/>
                <w:color w:val="auto"/>
              </w:rPr>
            </w:pPr>
          </w:p>
        </w:tc>
        <w:tc>
          <w:tcPr>
            <w:tcW w:w="26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Operations by Segment--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Overview</w:t>
            </w:r>
          </w:p>
        </w:tc>
        <w:tc>
          <w:tcPr>
            <w:tcW w:w="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1540" w:type="dxa"/>
            <w:vAlign w:val="bottom"/>
          </w:tcPr>
          <w:p>
            <w:pPr>
              <w:spacing w:after="0"/>
              <w:rPr>
                <w:sz w:val="14"/>
                <w:szCs w:val="14"/>
                <w:color w:val="auto"/>
              </w:rPr>
            </w:pPr>
          </w:p>
        </w:tc>
        <w:tc>
          <w:tcPr>
            <w:tcW w:w="4320" w:type="dxa"/>
            <w:vAlign w:val="bottom"/>
            <w:gridSpan w:val="5"/>
          </w:tcPr>
          <w:p>
            <w:pPr>
              <w:ind w:left="480"/>
              <w:spacing w:after="0" w:line="168" w:lineRule="exact"/>
              <w:rPr>
                <w:sz w:val="20"/>
                <w:szCs w:val="20"/>
                <w:color w:val="auto"/>
              </w:rPr>
            </w:pPr>
            <w:r>
              <w:rPr>
                <w:rFonts w:ascii="Courier New" w:cs="Courier New" w:eastAsia="Courier New" w:hAnsi="Courier New"/>
                <w:sz w:val="15"/>
                <w:szCs w:val="15"/>
                <w:color w:val="auto"/>
              </w:rPr>
              <w:t>Year Ended December 31, 2002(1)(2)</w:t>
            </w: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336"/>
        </w:trPr>
        <w:tc>
          <w:tcPr>
            <w:tcW w:w="1540" w:type="dxa"/>
            <w:vAlign w:val="bottom"/>
          </w:tcPr>
          <w:p>
            <w:pPr>
              <w:spacing w:after="0"/>
              <w:rPr>
                <w:sz w:val="24"/>
                <w:szCs w:val="24"/>
                <w:color w:val="auto"/>
              </w:rPr>
            </w:pPr>
          </w:p>
        </w:tc>
        <w:tc>
          <w:tcPr>
            <w:tcW w:w="1260" w:type="dxa"/>
            <w:vAlign w:val="bottom"/>
          </w:tcPr>
          <w:p>
            <w:pPr>
              <w:ind w:left="480"/>
              <w:spacing w:after="0"/>
              <w:rPr>
                <w:sz w:val="20"/>
                <w:szCs w:val="20"/>
                <w:color w:val="auto"/>
              </w:rPr>
            </w:pPr>
            <w:r>
              <w:rPr>
                <w:rFonts w:ascii="Courier New" w:cs="Courier New" w:eastAsia="Courier New" w:hAnsi="Courier New"/>
                <w:sz w:val="15"/>
                <w:szCs w:val="15"/>
                <w:color w:val="auto"/>
                <w:w w:val="93"/>
              </w:rPr>
              <w:t>Coca-Cola</w:t>
            </w:r>
          </w:p>
        </w:tc>
        <w:tc>
          <w:tcPr>
            <w:tcW w:w="4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FEMSA</w:t>
            </w:r>
          </w:p>
        </w:tc>
        <w:tc>
          <w:tcPr>
            <w:tcW w:w="700" w:type="dxa"/>
            <w:vAlign w:val="bottom"/>
          </w:tcPr>
          <w:p>
            <w:pPr>
              <w:spacing w:after="0"/>
              <w:rPr>
                <w:sz w:val="24"/>
                <w:szCs w:val="24"/>
                <w:color w:val="auto"/>
              </w:rPr>
            </w:pP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FEMSA</w:t>
            </w:r>
          </w:p>
        </w:tc>
        <w:tc>
          <w:tcPr>
            <w:tcW w:w="500" w:type="dxa"/>
            <w:vAlign w:val="bottom"/>
          </w:tcPr>
          <w:p>
            <w:pPr>
              <w:spacing w:after="0"/>
              <w:rPr>
                <w:sz w:val="24"/>
                <w:szCs w:val="24"/>
                <w:color w:val="auto"/>
              </w:rPr>
            </w:pPr>
          </w:p>
        </w:tc>
        <w:tc>
          <w:tcPr>
            <w:tcW w:w="10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FEMSA</w:t>
            </w: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1540" w:type="dxa"/>
            <w:vAlign w:val="bottom"/>
          </w:tcPr>
          <w:p>
            <w:pPr>
              <w:spacing w:after="0"/>
              <w:rPr>
                <w:sz w:val="14"/>
                <w:szCs w:val="14"/>
                <w:color w:val="auto"/>
              </w:rPr>
            </w:pP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FEMSA</w:t>
            </w:r>
          </w:p>
        </w:tc>
        <w:tc>
          <w:tcPr>
            <w:tcW w:w="480" w:type="dxa"/>
            <w:vAlign w:val="bottom"/>
          </w:tcPr>
          <w:p>
            <w:pPr>
              <w:spacing w:after="0"/>
              <w:rPr>
                <w:sz w:val="14"/>
                <w:szCs w:val="14"/>
                <w:color w:val="auto"/>
              </w:rPr>
            </w:pPr>
          </w:p>
        </w:tc>
        <w:tc>
          <w:tcPr>
            <w:tcW w:w="162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Cerveza</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Comercio</w:t>
            </w:r>
          </w:p>
        </w:tc>
        <w:tc>
          <w:tcPr>
            <w:tcW w:w="50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Empaques</w:t>
            </w:r>
          </w:p>
        </w:tc>
        <w:tc>
          <w:tcPr>
            <w:tcW w:w="480" w:type="dxa"/>
            <w:vAlign w:val="bottom"/>
          </w:tcPr>
          <w:p>
            <w:pPr>
              <w:spacing w:after="0"/>
              <w:rPr>
                <w:sz w:val="14"/>
                <w:szCs w:val="14"/>
                <w:color w:val="auto"/>
              </w:rPr>
            </w:pPr>
          </w:p>
        </w:tc>
        <w:tc>
          <w:tcPr>
            <w:tcW w:w="16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Logistica(3)</w:t>
            </w:r>
          </w:p>
        </w:tc>
      </w:tr>
      <w:tr>
        <w:trPr>
          <w:trHeight w:val="168"/>
        </w:trPr>
        <w:tc>
          <w:tcPr>
            <w:tcW w:w="1540" w:type="dxa"/>
            <w:vAlign w:val="bottom"/>
          </w:tcPr>
          <w:p>
            <w:pPr>
              <w:spacing w:after="0"/>
              <w:rPr>
                <w:sz w:val="14"/>
                <w:szCs w:val="14"/>
                <w:color w:val="auto"/>
              </w:rPr>
            </w:pPr>
          </w:p>
        </w:tc>
        <w:tc>
          <w:tcPr>
            <w:tcW w:w="7920" w:type="dxa"/>
            <w:vAlign w:val="bottom"/>
            <w:gridSpan w:val="10"/>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1540" w:type="dxa"/>
            <w:vAlign w:val="bottom"/>
          </w:tcPr>
          <w:p>
            <w:pPr>
              <w:spacing w:after="0"/>
              <w:rPr>
                <w:sz w:val="14"/>
                <w:szCs w:val="14"/>
                <w:color w:val="auto"/>
              </w:rPr>
            </w:pP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Pesos</w:t>
            </w:r>
          </w:p>
        </w:tc>
        <w:tc>
          <w:tcPr>
            <w:tcW w:w="4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Pesos</w:t>
            </w:r>
          </w:p>
        </w:tc>
        <w:tc>
          <w:tcPr>
            <w:tcW w:w="7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3"/>
              </w:rPr>
              <w:t>Pesos</w:t>
            </w:r>
          </w:p>
        </w:tc>
        <w:tc>
          <w:tcPr>
            <w:tcW w:w="5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Pesos</w:t>
            </w:r>
          </w:p>
        </w:tc>
        <w:tc>
          <w:tcPr>
            <w:tcW w:w="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Pesos</w:t>
            </w:r>
          </w:p>
        </w:tc>
        <w:tc>
          <w:tcPr>
            <w:tcW w:w="62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168"/>
        </w:trPr>
        <w:tc>
          <w:tcPr>
            <w:tcW w:w="1540" w:type="dxa"/>
            <w:vAlign w:val="bottom"/>
          </w:tcPr>
          <w:p>
            <w:pPr>
              <w:spacing w:after="0"/>
              <w:rPr>
                <w:sz w:val="14"/>
                <w:szCs w:val="14"/>
                <w:color w:val="auto"/>
              </w:rPr>
            </w:pP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3"/>
              </w:rPr>
              <w:t>-----</w:t>
            </w:r>
          </w:p>
        </w:tc>
        <w:tc>
          <w:tcPr>
            <w:tcW w:w="5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336"/>
        </w:trPr>
        <w:tc>
          <w:tcPr>
            <w:tcW w:w="1540" w:type="dxa"/>
            <w:vAlign w:val="bottom"/>
          </w:tcPr>
          <w:p>
            <w:pPr>
              <w:spacing w:after="0"/>
              <w:rPr>
                <w:sz w:val="20"/>
                <w:szCs w:val="20"/>
                <w:color w:val="auto"/>
              </w:rPr>
            </w:pPr>
            <w:r>
              <w:rPr>
                <w:rFonts w:ascii="Courier New" w:cs="Courier New" w:eastAsia="Courier New" w:hAnsi="Courier New"/>
                <w:sz w:val="15"/>
                <w:szCs w:val="15"/>
                <w:color w:val="auto"/>
              </w:rPr>
              <w:t>Total Revenues..</w:t>
            </w:r>
          </w:p>
        </w:tc>
        <w:tc>
          <w:tcPr>
            <w:tcW w:w="126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17,620</w:t>
            </w:r>
          </w:p>
        </w:tc>
        <w:tc>
          <w:tcPr>
            <w:tcW w:w="480" w:type="dxa"/>
            <w:vAlign w:val="bottom"/>
          </w:tcPr>
          <w:p>
            <w:pPr>
              <w:spacing w:after="0"/>
              <w:rPr>
                <w:sz w:val="20"/>
                <w:szCs w:val="20"/>
                <w:color w:val="auto"/>
              </w:rPr>
            </w:pPr>
            <w:r>
              <w:rPr>
                <w:rFonts w:ascii="Courier New" w:cs="Courier New" w:eastAsia="Courier New" w:hAnsi="Courier New"/>
                <w:sz w:val="15"/>
                <w:szCs w:val="15"/>
                <w:color w:val="auto"/>
              </w:rPr>
              <w:t>33.3</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20,815</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39.3</w:t>
            </w:r>
          </w:p>
        </w:tc>
        <w:tc>
          <w:tcPr>
            <w:tcW w:w="960" w:type="dxa"/>
            <w:vAlign w:val="bottom"/>
          </w:tcPr>
          <w:p>
            <w:pPr>
              <w:jc w:val="right"/>
              <w:ind w:right="347"/>
              <w:spacing w:after="0"/>
              <w:rPr>
                <w:sz w:val="20"/>
                <w:szCs w:val="20"/>
                <w:color w:val="auto"/>
              </w:rPr>
            </w:pPr>
            <w:r>
              <w:rPr>
                <w:rFonts w:ascii="Courier New" w:cs="Courier New" w:eastAsia="Courier New" w:hAnsi="Courier New"/>
                <w:sz w:val="15"/>
                <w:szCs w:val="15"/>
                <w:color w:val="auto"/>
                <w:w w:val="96"/>
              </w:rPr>
              <w:t>12,740</w:t>
            </w:r>
          </w:p>
        </w:tc>
        <w:tc>
          <w:tcPr>
            <w:tcW w:w="500" w:type="dxa"/>
            <w:vAlign w:val="bottom"/>
          </w:tcPr>
          <w:p>
            <w:pPr>
              <w:spacing w:after="0"/>
              <w:rPr>
                <w:sz w:val="20"/>
                <w:szCs w:val="20"/>
                <w:color w:val="auto"/>
              </w:rPr>
            </w:pPr>
            <w:r>
              <w:rPr>
                <w:rFonts w:ascii="Courier New" w:cs="Courier New" w:eastAsia="Courier New" w:hAnsi="Courier New"/>
                <w:sz w:val="15"/>
                <w:szCs w:val="15"/>
                <w:color w:val="auto"/>
              </w:rPr>
              <w:t>24.1</w:t>
            </w:r>
          </w:p>
        </w:tc>
        <w:tc>
          <w:tcPr>
            <w:tcW w:w="10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6,599</w:t>
            </w:r>
          </w:p>
        </w:tc>
        <w:tc>
          <w:tcPr>
            <w:tcW w:w="4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88"/>
              </w:rPr>
              <w:t>12.5</w:t>
            </w:r>
          </w:p>
        </w:tc>
        <w:tc>
          <w:tcPr>
            <w:tcW w:w="10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1,458</w:t>
            </w:r>
          </w:p>
        </w:tc>
        <w:tc>
          <w:tcPr>
            <w:tcW w:w="62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6"/>
              </w:rPr>
              <w:t>2.8</w:t>
            </w:r>
          </w:p>
        </w:tc>
      </w:tr>
      <w:tr>
        <w:trPr>
          <w:trHeight w:val="168"/>
        </w:trPr>
        <w:tc>
          <w:tcPr>
            <w:tcW w:w="15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from</w:t>
            </w:r>
          </w:p>
        </w:tc>
        <w:tc>
          <w:tcPr>
            <w:tcW w:w="1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1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Operations(4).</w:t>
            </w:r>
          </w:p>
        </w:tc>
        <w:tc>
          <w:tcPr>
            <w:tcW w:w="12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4,440</w:t>
            </w:r>
          </w:p>
        </w:tc>
        <w:tc>
          <w:tcPr>
            <w:tcW w:w="480" w:type="dxa"/>
            <w:vAlign w:val="bottom"/>
          </w:tcPr>
          <w:p>
            <w:pPr>
              <w:spacing w:after="0" w:line="168" w:lineRule="exact"/>
              <w:rPr>
                <w:sz w:val="20"/>
                <w:szCs w:val="20"/>
                <w:color w:val="auto"/>
              </w:rPr>
            </w:pPr>
            <w:r>
              <w:rPr>
                <w:rFonts w:ascii="Courier New" w:cs="Courier New" w:eastAsia="Courier New" w:hAnsi="Courier New"/>
                <w:sz w:val="15"/>
                <w:szCs w:val="15"/>
                <w:color w:val="auto"/>
              </w:rPr>
              <w:t>46.8</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3,546</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37.4</w:t>
            </w:r>
          </w:p>
        </w:tc>
        <w:tc>
          <w:tcPr>
            <w:tcW w:w="9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487</w:t>
            </w:r>
          </w:p>
        </w:tc>
        <w:tc>
          <w:tcPr>
            <w:tcW w:w="500" w:type="dxa"/>
            <w:vAlign w:val="bottom"/>
          </w:tcPr>
          <w:p>
            <w:pPr>
              <w:spacing w:after="0" w:line="168" w:lineRule="exact"/>
              <w:rPr>
                <w:sz w:val="20"/>
                <w:szCs w:val="20"/>
                <w:color w:val="auto"/>
              </w:rPr>
            </w:pPr>
            <w:r>
              <w:rPr>
                <w:rFonts w:ascii="Courier New" w:cs="Courier New" w:eastAsia="Courier New" w:hAnsi="Courier New"/>
                <w:sz w:val="15"/>
                <w:szCs w:val="15"/>
                <w:color w:val="auto"/>
              </w:rPr>
              <w:t>5.1</w:t>
            </w: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905</w:t>
            </w:r>
          </w:p>
        </w:tc>
        <w:tc>
          <w:tcPr>
            <w:tcW w:w="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9.5</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119(5)</w:t>
            </w:r>
          </w:p>
        </w:tc>
        <w:tc>
          <w:tcPr>
            <w:tcW w:w="62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6"/>
              </w:rPr>
              <w:t>1.3</w:t>
            </w:r>
          </w:p>
        </w:tc>
      </w:tr>
      <w:tr>
        <w:trPr>
          <w:trHeight w:val="168"/>
        </w:trPr>
        <w:tc>
          <w:tcPr>
            <w:tcW w:w="154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Assets....</w:t>
            </w:r>
          </w:p>
        </w:tc>
        <w:tc>
          <w:tcPr>
            <w:tcW w:w="12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16,040</w:t>
            </w:r>
          </w:p>
        </w:tc>
        <w:tc>
          <w:tcPr>
            <w:tcW w:w="480" w:type="dxa"/>
            <w:vAlign w:val="bottom"/>
          </w:tcPr>
          <w:p>
            <w:pPr>
              <w:spacing w:after="0" w:line="168" w:lineRule="exact"/>
              <w:rPr>
                <w:sz w:val="20"/>
                <w:szCs w:val="20"/>
                <w:color w:val="auto"/>
              </w:rPr>
            </w:pPr>
            <w:r>
              <w:rPr>
                <w:rFonts w:ascii="Courier New" w:cs="Courier New" w:eastAsia="Courier New" w:hAnsi="Courier New"/>
                <w:sz w:val="15"/>
                <w:szCs w:val="15"/>
                <w:color w:val="auto"/>
              </w:rPr>
              <w:t>26.7</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28,416</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47.4</w:t>
            </w:r>
          </w:p>
        </w:tc>
        <w:tc>
          <w:tcPr>
            <w:tcW w:w="9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5,374</w:t>
            </w:r>
          </w:p>
        </w:tc>
        <w:tc>
          <w:tcPr>
            <w:tcW w:w="5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9.0</w:t>
            </w: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6,230</w:t>
            </w:r>
          </w:p>
        </w:tc>
        <w:tc>
          <w:tcPr>
            <w:tcW w:w="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88"/>
              </w:rPr>
              <w:t>10.4</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765</w:t>
            </w:r>
          </w:p>
        </w:tc>
        <w:tc>
          <w:tcPr>
            <w:tcW w:w="62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6"/>
              </w:rPr>
              <w:t>1.3</w:t>
            </w:r>
          </w:p>
        </w:tc>
      </w:tr>
      <w:tr>
        <w:trPr>
          <w:trHeight w:val="168"/>
        </w:trPr>
        <w:tc>
          <w:tcPr>
            <w:tcW w:w="1540" w:type="dxa"/>
            <w:vAlign w:val="bottom"/>
          </w:tcPr>
          <w:p>
            <w:pPr>
              <w:spacing w:after="0" w:line="168" w:lineRule="exact"/>
              <w:rPr>
                <w:sz w:val="20"/>
                <w:szCs w:val="20"/>
                <w:color w:val="auto"/>
              </w:rPr>
            </w:pPr>
            <w:r>
              <w:rPr>
                <w:rFonts w:ascii="Courier New" w:cs="Courier New" w:eastAsia="Courier New" w:hAnsi="Courier New"/>
                <w:sz w:val="15"/>
                <w:szCs w:val="15"/>
                <w:color w:val="auto"/>
              </w:rPr>
              <w:t>Employees.......</w:t>
            </w:r>
          </w:p>
        </w:tc>
        <w:tc>
          <w:tcPr>
            <w:tcW w:w="12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14,457</w:t>
            </w:r>
          </w:p>
        </w:tc>
        <w:tc>
          <w:tcPr>
            <w:tcW w:w="480" w:type="dxa"/>
            <w:vAlign w:val="bottom"/>
          </w:tcPr>
          <w:p>
            <w:pPr>
              <w:spacing w:after="0" w:line="168" w:lineRule="exact"/>
              <w:rPr>
                <w:sz w:val="20"/>
                <w:szCs w:val="20"/>
                <w:color w:val="auto"/>
              </w:rPr>
            </w:pPr>
            <w:r>
              <w:rPr>
                <w:rFonts w:ascii="Courier New" w:cs="Courier New" w:eastAsia="Courier New" w:hAnsi="Courier New"/>
                <w:sz w:val="15"/>
                <w:szCs w:val="15"/>
                <w:color w:val="auto"/>
              </w:rPr>
              <w:t>34.7</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15,611</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37.5</w:t>
            </w:r>
          </w:p>
        </w:tc>
        <w:tc>
          <w:tcPr>
            <w:tcW w:w="9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5,125</w:t>
            </w:r>
          </w:p>
        </w:tc>
        <w:tc>
          <w:tcPr>
            <w:tcW w:w="500" w:type="dxa"/>
            <w:vAlign w:val="bottom"/>
          </w:tcPr>
          <w:p>
            <w:pPr>
              <w:spacing w:after="0" w:line="168" w:lineRule="exact"/>
              <w:rPr>
                <w:sz w:val="20"/>
                <w:szCs w:val="20"/>
                <w:color w:val="auto"/>
              </w:rPr>
            </w:pPr>
            <w:r>
              <w:rPr>
                <w:rFonts w:ascii="Courier New" w:cs="Courier New" w:eastAsia="Courier New" w:hAnsi="Courier New"/>
                <w:sz w:val="15"/>
                <w:szCs w:val="15"/>
                <w:color w:val="auto"/>
              </w:rPr>
              <w:t>12.3</w:t>
            </w: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4,088</w:t>
            </w:r>
          </w:p>
        </w:tc>
        <w:tc>
          <w:tcPr>
            <w:tcW w:w="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9.8</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1,803</w:t>
            </w:r>
          </w:p>
        </w:tc>
        <w:tc>
          <w:tcPr>
            <w:tcW w:w="62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6"/>
              </w:rPr>
              <w:t>4.3</w:t>
            </w:r>
          </w:p>
        </w:tc>
      </w:tr>
    </w:tbl>
    <w:p>
      <w:pPr>
        <w:spacing w:after="0" w:line="237" w:lineRule="auto"/>
        <w:rPr>
          <w:sz w:val="20"/>
          <w:szCs w:val="20"/>
          <w:color w:val="auto"/>
        </w:rPr>
      </w:pPr>
      <w:r>
        <w:rPr>
          <w:rFonts w:ascii="Courier New" w:cs="Courier New" w:eastAsia="Courier New" w:hAnsi="Courier New"/>
          <w:sz w:val="15"/>
          <w:szCs w:val="15"/>
          <w:color w:val="auto"/>
        </w:rPr>
        <w:t>- ------------------</w:t>
      </w:r>
    </w:p>
    <w:p>
      <w:pPr>
        <w:spacing w:after="0" w:line="342" w:lineRule="exact"/>
        <w:rPr>
          <w:sz w:val="20"/>
          <w:szCs w:val="20"/>
          <w:color w:val="auto"/>
        </w:rPr>
      </w:pPr>
    </w:p>
    <w:p>
      <w:pPr>
        <w:ind w:left="440" w:right="3239" w:hanging="430"/>
        <w:spacing w:after="0" w:line="236" w:lineRule="auto"/>
        <w:tabs>
          <w:tab w:leader="none" w:pos="4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sums of the financial data for each of our segments and percentages with respect thereto differ from our consolidated financial information due to intercompany transactions, which are eliminated in consolidation, and certain non-operating assets and activities of FEMSA, including corporate services.</w:t>
      </w:r>
    </w:p>
    <w:p>
      <w:pPr>
        <w:ind w:left="440" w:hanging="430"/>
        <w:spacing w:after="0" w:line="237" w:lineRule="auto"/>
        <w:tabs>
          <w:tab w:leader="none" w:pos="4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Expressed in millions of Pesos, except for employees.</w:t>
      </w:r>
    </w:p>
    <w:p>
      <w:pPr>
        <w:spacing w:after="0" w:line="5" w:lineRule="exact"/>
        <w:rPr>
          <w:rFonts w:ascii="Courier New" w:cs="Courier New" w:eastAsia="Courier New" w:hAnsi="Courier New"/>
          <w:sz w:val="15"/>
          <w:szCs w:val="15"/>
          <w:color w:val="auto"/>
        </w:rPr>
      </w:pPr>
    </w:p>
    <w:p>
      <w:pPr>
        <w:ind w:left="440" w:right="3319" w:hanging="430"/>
        <w:spacing w:after="0" w:line="235" w:lineRule="auto"/>
        <w:tabs>
          <w:tab w:leader="none" w:pos="4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January 1, 2003, Logistica CCM was merged into FEMSA Cerveza. Beginning January 1, 2003, Logistica will no longer be reported as a separate segment.</w:t>
      </w:r>
    </w:p>
    <w:p>
      <w:pPr>
        <w:spacing w:after="0" w:line="5" w:lineRule="exact"/>
        <w:rPr>
          <w:rFonts w:ascii="Courier New" w:cs="Courier New" w:eastAsia="Courier New" w:hAnsi="Courier New"/>
          <w:sz w:val="15"/>
          <w:szCs w:val="15"/>
          <w:color w:val="auto"/>
        </w:rPr>
      </w:pPr>
    </w:p>
    <w:p>
      <w:pPr>
        <w:jc w:val="both"/>
        <w:ind w:left="440" w:right="3319" w:hanging="430"/>
        <w:spacing w:after="0" w:line="235" w:lineRule="auto"/>
        <w:tabs>
          <w:tab w:leader="none" w:pos="4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deduction of management fees paid to FEMSA. Such management fees are eliminated in consolidation, with the exception of the management fee paid by FEMSA Cerveza to Labatt.</w:t>
      </w:r>
    </w:p>
    <w:p>
      <w:pPr>
        <w:spacing w:after="0" w:line="5" w:lineRule="exact"/>
        <w:rPr>
          <w:rFonts w:ascii="Courier New" w:cs="Courier New" w:eastAsia="Courier New" w:hAnsi="Courier New"/>
          <w:sz w:val="15"/>
          <w:szCs w:val="15"/>
          <w:color w:val="auto"/>
        </w:rPr>
      </w:pPr>
    </w:p>
    <w:p>
      <w:pPr>
        <w:ind w:left="440" w:right="3239" w:hanging="430"/>
        <w:spacing w:after="0" w:line="234" w:lineRule="auto"/>
        <w:tabs>
          <w:tab w:leader="none" w:pos="4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operating expenses of Ps. 29 million in connection with e-commerce projects.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Total Revenues Summary by Geographic Location (1)</w:t>
      </w:r>
    </w:p>
    <w:p>
      <w:pPr>
        <w:spacing w:after="0" w:line="166"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38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Year Ended December 31,</w:t>
            </w:r>
          </w:p>
        </w:tc>
        <w:tc>
          <w:tcPr>
            <w:tcW w:w="660" w:type="dxa"/>
            <w:vAlign w:val="bottom"/>
          </w:tcPr>
          <w:p>
            <w:pPr>
              <w:spacing w:after="0"/>
              <w:rPr>
                <w:sz w:val="14"/>
                <w:szCs w:val="14"/>
                <w:color w:val="auto"/>
              </w:rPr>
            </w:pPr>
          </w:p>
        </w:tc>
      </w:tr>
      <w:tr>
        <w:trPr>
          <w:trHeight w:val="168"/>
        </w:trPr>
        <w:tc>
          <w:tcPr>
            <w:tcW w:w="3800" w:type="dxa"/>
            <w:vAlign w:val="bottom"/>
          </w:tcPr>
          <w:p>
            <w:pPr>
              <w:spacing w:after="0"/>
              <w:rPr>
                <w:sz w:val="14"/>
                <w:szCs w:val="14"/>
                <w:color w:val="auto"/>
              </w:rPr>
            </w:pPr>
          </w:p>
        </w:tc>
        <w:tc>
          <w:tcPr>
            <w:tcW w:w="14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Country</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2002</w:t>
            </w:r>
          </w:p>
        </w:tc>
        <w:tc>
          <w:tcPr>
            <w:tcW w:w="2280" w:type="dxa"/>
            <w:vAlign w:val="bottom"/>
          </w:tcPr>
          <w:p>
            <w:pPr>
              <w:jc w:val="right"/>
              <w:ind w:right="927"/>
              <w:spacing w:after="0" w:line="168" w:lineRule="exact"/>
              <w:rPr>
                <w:sz w:val="20"/>
                <w:szCs w:val="20"/>
                <w:color w:val="auto"/>
              </w:rPr>
            </w:pPr>
            <w:r>
              <w:rPr>
                <w:rFonts w:ascii="Courier New" w:cs="Courier New" w:eastAsia="Courier New" w:hAnsi="Courier New"/>
                <w:sz w:val="15"/>
                <w:szCs w:val="15"/>
                <w:color w:val="auto"/>
              </w:rPr>
              <w:t>2001</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2000</w:t>
            </w:r>
          </w:p>
        </w:tc>
      </w:tr>
      <w:tr>
        <w:trPr>
          <w:trHeight w:val="336"/>
        </w:trPr>
        <w:tc>
          <w:tcPr>
            <w:tcW w:w="3800" w:type="dxa"/>
            <w:vAlign w:val="bottom"/>
          </w:tcPr>
          <w:p>
            <w:pPr>
              <w:spacing w:after="0"/>
              <w:rPr>
                <w:sz w:val="20"/>
                <w:szCs w:val="20"/>
                <w:color w:val="auto"/>
              </w:rPr>
            </w:pPr>
            <w:r>
              <w:rPr>
                <w:rFonts w:ascii="Courier New" w:cs="Courier New" w:eastAsia="Courier New" w:hAnsi="Courier New"/>
                <w:sz w:val="15"/>
                <w:szCs w:val="15"/>
                <w:color w:val="auto"/>
              </w:rPr>
              <w:t>FEMSA Cerveza...........................</w:t>
            </w:r>
          </w:p>
        </w:tc>
        <w:tc>
          <w:tcPr>
            <w:tcW w:w="1440" w:type="dxa"/>
            <w:vAlign w:val="bottom"/>
          </w:tcPr>
          <w:p>
            <w:pPr>
              <w:ind w:left="300"/>
              <w:spacing w:after="0"/>
              <w:rPr>
                <w:sz w:val="20"/>
                <w:szCs w:val="20"/>
                <w:color w:val="auto"/>
              </w:rPr>
            </w:pPr>
            <w:r>
              <w:rPr>
                <w:rFonts w:ascii="Courier New" w:cs="Courier New" w:eastAsia="Courier New" w:hAnsi="Courier New"/>
                <w:sz w:val="15"/>
                <w:szCs w:val="15"/>
                <w:color w:val="auto"/>
              </w:rPr>
              <w:t>Mexico</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20,815</w:t>
            </w:r>
          </w:p>
        </w:tc>
        <w:tc>
          <w:tcPr>
            <w:tcW w:w="228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20,703</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19,841</w:t>
            </w:r>
          </w:p>
        </w:tc>
      </w:tr>
      <w:tr>
        <w:trPr>
          <w:trHeight w:val="168"/>
        </w:trPr>
        <w:tc>
          <w:tcPr>
            <w:tcW w:w="3800" w:type="dxa"/>
            <w:vAlign w:val="bottom"/>
          </w:tcPr>
          <w:p>
            <w:pPr>
              <w:spacing w:after="0" w:line="168" w:lineRule="exact"/>
              <w:rPr>
                <w:sz w:val="20"/>
                <w:szCs w:val="20"/>
                <w:color w:val="auto"/>
              </w:rPr>
            </w:pPr>
            <w:r>
              <w:rPr>
                <w:rFonts w:ascii="Courier New" w:cs="Courier New" w:eastAsia="Courier New" w:hAnsi="Courier New"/>
                <w:sz w:val="15"/>
                <w:szCs w:val="15"/>
                <w:color w:val="auto"/>
              </w:rPr>
              <w:t>Coca-Cola FEMSA Mexico..................</w:t>
            </w:r>
          </w:p>
        </w:tc>
        <w:tc>
          <w:tcPr>
            <w:tcW w:w="14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Mexico</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16,198</w:t>
            </w:r>
          </w:p>
        </w:tc>
        <w:tc>
          <w:tcPr>
            <w:tcW w:w="228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15,181</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14,478</w:t>
            </w:r>
          </w:p>
        </w:tc>
      </w:tr>
      <w:tr>
        <w:trPr>
          <w:trHeight w:val="168"/>
        </w:trPr>
        <w:tc>
          <w:tcPr>
            <w:tcW w:w="3800" w:type="dxa"/>
            <w:vAlign w:val="bottom"/>
          </w:tcPr>
          <w:p>
            <w:pPr>
              <w:spacing w:after="0" w:line="168" w:lineRule="exact"/>
              <w:rPr>
                <w:sz w:val="20"/>
                <w:szCs w:val="20"/>
                <w:color w:val="auto"/>
              </w:rPr>
            </w:pPr>
            <w:r>
              <w:rPr>
                <w:rFonts w:ascii="Courier New" w:cs="Courier New" w:eastAsia="Courier New" w:hAnsi="Courier New"/>
                <w:sz w:val="15"/>
                <w:szCs w:val="15"/>
                <w:color w:val="auto"/>
              </w:rPr>
              <w:t>Coca-Cola FEMSA Buenos Aires............</w:t>
            </w:r>
          </w:p>
        </w:tc>
        <w:tc>
          <w:tcPr>
            <w:tcW w:w="14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Argentina</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1,422</w:t>
            </w:r>
          </w:p>
        </w:tc>
        <w:tc>
          <w:tcPr>
            <w:tcW w:w="228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1,549</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1,557</w:t>
            </w:r>
          </w:p>
        </w:tc>
      </w:tr>
      <w:tr>
        <w:trPr>
          <w:trHeight w:val="168"/>
        </w:trPr>
        <w:tc>
          <w:tcPr>
            <w:tcW w:w="3800" w:type="dxa"/>
            <w:vAlign w:val="bottom"/>
          </w:tcPr>
          <w:p>
            <w:pPr>
              <w:spacing w:after="0" w:line="168" w:lineRule="exact"/>
              <w:rPr>
                <w:sz w:val="20"/>
                <w:szCs w:val="20"/>
                <w:color w:val="auto"/>
              </w:rPr>
            </w:pPr>
            <w:r>
              <w:rPr>
                <w:rFonts w:ascii="Courier New" w:cs="Courier New" w:eastAsia="Courier New" w:hAnsi="Courier New"/>
                <w:sz w:val="15"/>
                <w:szCs w:val="15"/>
                <w:color w:val="auto"/>
              </w:rPr>
              <w:t>FEMSA Comercio..........................</w:t>
            </w:r>
          </w:p>
        </w:tc>
        <w:tc>
          <w:tcPr>
            <w:tcW w:w="14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Mexico</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12,740</w:t>
            </w:r>
          </w:p>
        </w:tc>
        <w:tc>
          <w:tcPr>
            <w:tcW w:w="228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10,732</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8,957</w:t>
            </w:r>
          </w:p>
        </w:tc>
      </w:tr>
      <w:tr>
        <w:trPr>
          <w:trHeight w:val="168"/>
        </w:trPr>
        <w:tc>
          <w:tcPr>
            <w:tcW w:w="3800" w:type="dxa"/>
            <w:vAlign w:val="bottom"/>
          </w:tcPr>
          <w:p>
            <w:pPr>
              <w:spacing w:after="0" w:line="168" w:lineRule="exact"/>
              <w:rPr>
                <w:sz w:val="20"/>
                <w:szCs w:val="20"/>
                <w:color w:val="auto"/>
              </w:rPr>
            </w:pPr>
            <w:r>
              <w:rPr>
                <w:rFonts w:ascii="Courier New" w:cs="Courier New" w:eastAsia="Courier New" w:hAnsi="Courier New"/>
                <w:sz w:val="15"/>
                <w:szCs w:val="15"/>
                <w:color w:val="auto"/>
              </w:rPr>
              <w:t>FEMSA Empaques..........................</w:t>
            </w:r>
          </w:p>
        </w:tc>
        <w:tc>
          <w:tcPr>
            <w:tcW w:w="14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Mexico</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6,599</w:t>
            </w:r>
          </w:p>
        </w:tc>
        <w:tc>
          <w:tcPr>
            <w:tcW w:w="228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6,577</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6,929</w:t>
            </w:r>
          </w:p>
        </w:tc>
      </w:tr>
      <w:tr>
        <w:trPr>
          <w:trHeight w:val="168"/>
        </w:trPr>
        <w:tc>
          <w:tcPr>
            <w:tcW w:w="3800" w:type="dxa"/>
            <w:vAlign w:val="bottom"/>
          </w:tcPr>
          <w:p>
            <w:pPr>
              <w:spacing w:after="0" w:line="168" w:lineRule="exact"/>
              <w:rPr>
                <w:sz w:val="20"/>
                <w:szCs w:val="20"/>
                <w:color w:val="auto"/>
              </w:rPr>
            </w:pPr>
            <w:r>
              <w:rPr>
                <w:rFonts w:ascii="Courier New" w:cs="Courier New" w:eastAsia="Courier New" w:hAnsi="Courier New"/>
                <w:sz w:val="15"/>
                <w:szCs w:val="15"/>
                <w:color w:val="auto"/>
              </w:rPr>
              <w:t>Logistica...............................</w:t>
            </w:r>
          </w:p>
        </w:tc>
        <w:tc>
          <w:tcPr>
            <w:tcW w:w="14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Mexico</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1,458</w:t>
            </w:r>
          </w:p>
        </w:tc>
        <w:tc>
          <w:tcPr>
            <w:tcW w:w="228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1,540</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1,549</w:t>
            </w:r>
          </w:p>
        </w:tc>
      </w:tr>
      <w:tr>
        <w:trPr>
          <w:trHeight w:val="168"/>
        </w:trPr>
        <w:tc>
          <w:tcPr>
            <w:tcW w:w="3800" w:type="dxa"/>
            <w:vAlign w:val="bottom"/>
          </w:tcPr>
          <w:p>
            <w:pPr>
              <w:spacing w:after="0" w:line="168" w:lineRule="exact"/>
              <w:rPr>
                <w:sz w:val="20"/>
                <w:szCs w:val="20"/>
                <w:color w:val="auto"/>
              </w:rPr>
            </w:pPr>
            <w:r>
              <w:rPr>
                <w:rFonts w:ascii="Courier New" w:cs="Courier New" w:eastAsia="Courier New" w:hAnsi="Courier New"/>
                <w:sz w:val="15"/>
                <w:szCs w:val="15"/>
                <w:color w:val="auto"/>
              </w:rPr>
              <w:t>Consolidated total revenues.............</w:t>
            </w:r>
          </w:p>
        </w:tc>
        <w:tc>
          <w:tcPr>
            <w:tcW w:w="144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52,941</w:t>
            </w:r>
          </w:p>
        </w:tc>
        <w:tc>
          <w:tcPr>
            <w:tcW w:w="228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50,097</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47,869</w:t>
            </w:r>
          </w:p>
        </w:tc>
      </w:tr>
    </w:tbl>
    <w:p>
      <w:pPr>
        <w:spacing w:after="0" w:line="237" w:lineRule="auto"/>
        <w:rPr>
          <w:sz w:val="20"/>
          <w:szCs w:val="20"/>
          <w:color w:val="auto"/>
        </w:rPr>
      </w:pPr>
      <w:r>
        <w:rPr>
          <w:rFonts w:ascii="Courier New" w:cs="Courier New" w:eastAsia="Courier New" w:hAnsi="Courier New"/>
          <w:sz w:val="15"/>
          <w:szCs w:val="15"/>
          <w:color w:val="auto"/>
        </w:rPr>
        <w:t>- -----------------------------</w:t>
      </w:r>
    </w:p>
    <w:p>
      <w:pPr>
        <w:spacing w:after="0" w:line="342" w:lineRule="exact"/>
        <w:rPr>
          <w:sz w:val="20"/>
          <w:szCs w:val="20"/>
          <w:color w:val="auto"/>
        </w:rPr>
      </w:pPr>
    </w:p>
    <w:p>
      <w:pPr>
        <w:ind w:left="440" w:right="3679" w:hanging="430"/>
        <w:spacing w:after="0" w:line="258" w:lineRule="auto"/>
        <w:tabs>
          <w:tab w:leader="none" w:pos="44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Expressed in millions of Pesos. The sum of the financial data for each segment may differ from our consolidated financial information due to intercompany transactions, which are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1440" w:right="1440" w:bottom="1440" w:gutter="0" w:footer="0" w:header="0"/>
        </w:sectPr>
      </w:pPr>
    </w:p>
    <w:bookmarkStart w:id="26" w:name="page27"/>
    <w:bookmarkEnd w:id="26"/>
    <w:p>
      <w:pPr>
        <w:ind w:left="2460"/>
        <w:spacing w:after="0"/>
        <w:rPr>
          <w:sz w:val="20"/>
          <w:szCs w:val="20"/>
          <w:color w:val="auto"/>
        </w:rPr>
      </w:pPr>
      <w:r>
        <w:rPr>
          <w:rFonts w:ascii="Courier New" w:cs="Courier New" w:eastAsia="Courier New" w:hAnsi="Courier New"/>
          <w:sz w:val="15"/>
          <w:szCs w:val="15"/>
          <w:color w:val="auto"/>
        </w:rPr>
        <w:t>Significant Subsidiaries</w:t>
      </w:r>
    </w:p>
    <w:p>
      <w:pPr>
        <w:spacing w:after="0" w:line="173" w:lineRule="exact"/>
        <w:rPr>
          <w:sz w:val="20"/>
          <w:szCs w:val="20"/>
          <w:color w:val="auto"/>
        </w:rPr>
      </w:pPr>
    </w:p>
    <w:p>
      <w:pPr>
        <w:ind w:right="1840" w:firstLine="437"/>
        <w:spacing w:after="0" w:line="234" w:lineRule="auto"/>
        <w:rPr>
          <w:sz w:val="20"/>
          <w:szCs w:val="20"/>
          <w:color w:val="auto"/>
        </w:rPr>
      </w:pPr>
      <w:r>
        <w:rPr>
          <w:rFonts w:ascii="Courier New" w:cs="Courier New" w:eastAsia="Courier New" w:hAnsi="Courier New"/>
          <w:sz w:val="15"/>
          <w:szCs w:val="15"/>
          <w:color w:val="auto"/>
        </w:rPr>
        <w:t>The following table sets forth our significant subsidiaries as of the date of this Annual Report.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360"/>
        <w:spacing w:after="0"/>
        <w:rPr>
          <w:sz w:val="20"/>
          <w:szCs w:val="20"/>
          <w:color w:val="auto"/>
        </w:rPr>
      </w:pPr>
      <w:r>
        <w:rPr>
          <w:rFonts w:ascii="Courier New" w:cs="Courier New" w:eastAsia="Courier New" w:hAnsi="Courier New"/>
          <w:sz w:val="15"/>
          <w:szCs w:val="15"/>
          <w:color w:val="auto"/>
        </w:rPr>
        <w:t>Jurisdiction of</w:t>
      </w:r>
    </w:p>
    <w:p>
      <w:pPr>
        <w:spacing w:after="0"/>
        <w:tabs>
          <w:tab w:leader="none" w:pos="7340" w:val="left"/>
        </w:tabs>
        <w:rPr>
          <w:sz w:val="20"/>
          <w:szCs w:val="20"/>
          <w:color w:val="auto"/>
        </w:rPr>
      </w:pPr>
      <w:r>
        <w:rPr>
          <w:rFonts w:ascii="Courier New" w:cs="Courier New" w:eastAsia="Courier New" w:hAnsi="Courier New"/>
          <w:sz w:val="15"/>
          <w:szCs w:val="15"/>
          <w:color w:val="auto"/>
        </w:rPr>
        <w:t>Name of Company</w:t>
      </w:r>
      <w:r>
        <w:rPr>
          <w:sz w:val="20"/>
          <w:szCs w:val="20"/>
          <w:color w:val="auto"/>
        </w:rPr>
        <w:tab/>
      </w:r>
      <w:r>
        <w:rPr>
          <w:rFonts w:ascii="Courier New" w:cs="Courier New" w:eastAsia="Courier New" w:hAnsi="Courier New"/>
          <w:sz w:val="14"/>
          <w:szCs w:val="14"/>
          <w:color w:val="auto"/>
        </w:rPr>
        <w:t>Establishment</w:t>
      </w:r>
    </w:p>
    <w:p>
      <w:pPr>
        <w:spacing w:after="0" w:line="5" w:lineRule="exact"/>
        <w:rPr>
          <w:sz w:val="20"/>
          <w:szCs w:val="20"/>
          <w:color w:val="auto"/>
        </w:rPr>
      </w:pPr>
    </w:p>
    <w:p>
      <w:pPr>
        <w:ind w:left="736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pacing w:after="0"/>
        <w:tabs>
          <w:tab w:leader="none" w:pos="7520" w:val="left"/>
        </w:tabs>
        <w:rPr>
          <w:sz w:val="20"/>
          <w:szCs w:val="20"/>
          <w:color w:val="auto"/>
        </w:rPr>
      </w:pPr>
      <w:r>
        <w:rPr>
          <w:rFonts w:ascii="Courier New" w:cs="Courier New" w:eastAsia="Courier New" w:hAnsi="Courier New"/>
          <w:sz w:val="15"/>
          <w:szCs w:val="15"/>
          <w:color w:val="auto"/>
        </w:rPr>
        <w:t>CIBSA</w:t>
      </w:r>
      <w:r>
        <w:rPr>
          <w:sz w:val="20"/>
          <w:szCs w:val="20"/>
          <w:color w:val="auto"/>
        </w:rPr>
        <w:tab/>
      </w:r>
      <w:r>
        <w:rPr>
          <w:rFonts w:ascii="Courier New" w:cs="Courier New" w:eastAsia="Courier New" w:hAnsi="Courier New"/>
          <w:sz w:val="15"/>
          <w:szCs w:val="15"/>
          <w:color w:val="auto"/>
        </w:rPr>
        <w:t>Mexico</w:t>
      </w:r>
    </w:p>
    <w:p>
      <w:pPr>
        <w:spacing w:after="0" w:line="166" w:lineRule="exact"/>
        <w:rPr>
          <w:sz w:val="20"/>
          <w:szCs w:val="20"/>
          <w:color w:val="auto"/>
        </w:rPr>
      </w:pPr>
    </w:p>
    <w:p>
      <w:pPr>
        <w:ind w:left="440"/>
        <w:spacing w:after="0"/>
        <w:tabs>
          <w:tab w:leader="none" w:pos="7520" w:val="left"/>
        </w:tabs>
        <w:rPr>
          <w:sz w:val="20"/>
          <w:szCs w:val="20"/>
          <w:color w:val="auto"/>
        </w:rPr>
      </w:pPr>
      <w:r>
        <w:rPr>
          <w:rFonts w:ascii="Courier New" w:cs="Courier New" w:eastAsia="Courier New" w:hAnsi="Courier New"/>
          <w:sz w:val="15"/>
          <w:szCs w:val="15"/>
          <w:color w:val="auto"/>
        </w:rPr>
        <w:t>Coca-Cola FEMSA</w:t>
      </w:r>
      <w:r>
        <w:rPr>
          <w:sz w:val="20"/>
          <w:szCs w:val="20"/>
          <w:color w:val="auto"/>
        </w:rPr>
        <w:tab/>
      </w:r>
      <w:r>
        <w:rPr>
          <w:rFonts w:ascii="Courier New" w:cs="Courier New" w:eastAsia="Courier New" w:hAnsi="Courier New"/>
          <w:sz w:val="14"/>
          <w:szCs w:val="14"/>
          <w:color w:val="auto"/>
        </w:rPr>
        <w:t>Mexico</w:t>
      </w:r>
    </w:p>
    <w:p>
      <w:pPr>
        <w:ind w:left="1140"/>
        <w:spacing w:after="0"/>
        <w:tabs>
          <w:tab w:leader="none" w:pos="7520" w:val="left"/>
        </w:tabs>
        <w:rPr>
          <w:sz w:val="20"/>
          <w:szCs w:val="20"/>
          <w:color w:val="auto"/>
        </w:rPr>
      </w:pPr>
      <w:r>
        <w:rPr>
          <w:rFonts w:ascii="Courier New" w:cs="Courier New" w:eastAsia="Courier New" w:hAnsi="Courier New"/>
          <w:sz w:val="15"/>
          <w:szCs w:val="15"/>
          <w:color w:val="auto"/>
        </w:rPr>
        <w:t>Propimex, S.A. de C.V..................................................</w:t>
      </w:r>
      <w:r>
        <w:rPr>
          <w:sz w:val="20"/>
          <w:szCs w:val="20"/>
          <w:color w:val="auto"/>
        </w:rPr>
        <w:tab/>
      </w:r>
      <w:r>
        <w:rPr>
          <w:rFonts w:ascii="Courier New" w:cs="Courier New" w:eastAsia="Courier New" w:hAnsi="Courier New"/>
          <w:sz w:val="14"/>
          <w:szCs w:val="14"/>
          <w:color w:val="auto"/>
        </w:rPr>
        <w:t>Mexico</w:t>
      </w:r>
    </w:p>
    <w:p>
      <w:pPr>
        <w:ind w:left="1140"/>
        <w:spacing w:after="0"/>
        <w:tabs>
          <w:tab w:leader="none" w:pos="7520" w:val="left"/>
        </w:tabs>
        <w:rPr>
          <w:sz w:val="20"/>
          <w:szCs w:val="20"/>
          <w:color w:val="auto"/>
        </w:rPr>
      </w:pPr>
      <w:r>
        <w:rPr>
          <w:rFonts w:ascii="Courier New" w:cs="Courier New" w:eastAsia="Courier New" w:hAnsi="Courier New"/>
          <w:sz w:val="15"/>
          <w:szCs w:val="15"/>
          <w:color w:val="auto"/>
        </w:rPr>
        <w:t>Inmuebles del Golfo, S.A. de C.V.......................................</w:t>
      </w:r>
      <w:r>
        <w:rPr>
          <w:sz w:val="20"/>
          <w:szCs w:val="20"/>
          <w:color w:val="auto"/>
        </w:rPr>
        <w:tab/>
      </w:r>
      <w:r>
        <w:rPr>
          <w:rFonts w:ascii="Courier New" w:cs="Courier New" w:eastAsia="Courier New" w:hAnsi="Courier New"/>
          <w:sz w:val="14"/>
          <w:szCs w:val="14"/>
          <w:color w:val="auto"/>
        </w:rPr>
        <w:t>Mexico</w:t>
      </w:r>
    </w:p>
    <w:p>
      <w:pPr>
        <w:ind w:left="1140"/>
        <w:spacing w:after="0"/>
        <w:tabs>
          <w:tab w:leader="none" w:pos="7520" w:val="left"/>
        </w:tabs>
        <w:rPr>
          <w:sz w:val="20"/>
          <w:szCs w:val="20"/>
          <w:color w:val="auto"/>
        </w:rPr>
      </w:pPr>
      <w:r>
        <w:rPr>
          <w:rFonts w:ascii="Courier New" w:cs="Courier New" w:eastAsia="Courier New" w:hAnsi="Courier New"/>
          <w:sz w:val="15"/>
          <w:szCs w:val="15"/>
          <w:color w:val="auto"/>
        </w:rPr>
        <w:t>Refrescos y Aguas Minerales, S.A. de C.V...............................</w:t>
      </w:r>
      <w:r>
        <w:rPr>
          <w:sz w:val="20"/>
          <w:szCs w:val="20"/>
          <w:color w:val="auto"/>
        </w:rPr>
        <w:tab/>
      </w:r>
      <w:r>
        <w:rPr>
          <w:rFonts w:ascii="Courier New" w:cs="Courier New" w:eastAsia="Courier New" w:hAnsi="Courier New"/>
          <w:sz w:val="14"/>
          <w:szCs w:val="14"/>
          <w:color w:val="auto"/>
        </w:rPr>
        <w:t>Mexico</w:t>
      </w:r>
    </w:p>
    <w:p>
      <w:pPr>
        <w:ind w:left="1140"/>
        <w:spacing w:after="0"/>
        <w:tabs>
          <w:tab w:leader="none" w:pos="7520" w:val="left"/>
        </w:tabs>
        <w:rPr>
          <w:sz w:val="20"/>
          <w:szCs w:val="20"/>
          <w:color w:val="auto"/>
        </w:rPr>
      </w:pPr>
      <w:r>
        <w:rPr>
          <w:rFonts w:ascii="Courier New" w:cs="Courier New" w:eastAsia="Courier New" w:hAnsi="Courier New"/>
          <w:sz w:val="15"/>
          <w:szCs w:val="15"/>
          <w:color w:val="auto"/>
        </w:rPr>
        <w:t>Coca-Cola FEMSA de Buenos Aires, S.A...................................</w:t>
      </w:r>
      <w:r>
        <w:rPr>
          <w:sz w:val="20"/>
          <w:szCs w:val="20"/>
          <w:color w:val="auto"/>
        </w:rPr>
        <w:tab/>
      </w:r>
      <w:r>
        <w:rPr>
          <w:rFonts w:ascii="Courier New" w:cs="Courier New" w:eastAsia="Courier New" w:hAnsi="Courier New"/>
          <w:sz w:val="14"/>
          <w:szCs w:val="14"/>
          <w:color w:val="auto"/>
        </w:rPr>
        <w:t>Argentina</w:t>
      </w:r>
    </w:p>
    <w:p>
      <w:pPr>
        <w:ind w:left="1140"/>
        <w:spacing w:after="0"/>
        <w:tabs>
          <w:tab w:leader="none" w:pos="7520" w:val="left"/>
        </w:tabs>
        <w:rPr>
          <w:sz w:val="20"/>
          <w:szCs w:val="20"/>
          <w:color w:val="auto"/>
        </w:rPr>
      </w:pPr>
      <w:r>
        <w:rPr>
          <w:rFonts w:ascii="Courier New" w:cs="Courier New" w:eastAsia="Courier New" w:hAnsi="Courier New"/>
          <w:sz w:val="15"/>
          <w:szCs w:val="15"/>
          <w:color w:val="auto"/>
        </w:rPr>
        <w:t>Corporacion Interamericana de Bebidas, S.A. de C.V. (Panamco)..........</w:t>
      </w:r>
      <w:r>
        <w:rPr>
          <w:sz w:val="20"/>
          <w:szCs w:val="20"/>
          <w:color w:val="auto"/>
        </w:rPr>
        <w:tab/>
      </w:r>
      <w:r>
        <w:rPr>
          <w:rFonts w:ascii="Courier New" w:cs="Courier New" w:eastAsia="Courier New" w:hAnsi="Courier New"/>
          <w:sz w:val="14"/>
          <w:szCs w:val="14"/>
          <w:color w:val="auto"/>
        </w:rPr>
        <w:t>Mexico</w:t>
      </w:r>
    </w:p>
    <w:p>
      <w:pPr>
        <w:spacing w:after="0" w:line="167" w:lineRule="exact"/>
        <w:rPr>
          <w:sz w:val="20"/>
          <w:szCs w:val="20"/>
          <w:color w:val="auto"/>
        </w:rPr>
      </w:pPr>
    </w:p>
    <w:p>
      <w:pPr>
        <w:spacing w:after="0"/>
        <w:tabs>
          <w:tab w:leader="none" w:pos="7520" w:val="left"/>
        </w:tabs>
        <w:rPr>
          <w:sz w:val="20"/>
          <w:szCs w:val="20"/>
          <w:color w:val="auto"/>
        </w:rPr>
      </w:pPr>
      <w:r>
        <w:rPr>
          <w:rFonts w:ascii="Courier New" w:cs="Courier New" w:eastAsia="Courier New" w:hAnsi="Courier New"/>
          <w:sz w:val="15"/>
          <w:szCs w:val="15"/>
          <w:color w:val="auto"/>
        </w:rPr>
        <w:t>Emprex</w:t>
      </w:r>
      <w:r>
        <w:rPr>
          <w:sz w:val="20"/>
          <w:szCs w:val="20"/>
          <w:color w:val="auto"/>
        </w:rPr>
        <w:tab/>
      </w:r>
      <w:r>
        <w:rPr>
          <w:rFonts w:ascii="Courier New" w:cs="Courier New" w:eastAsia="Courier New" w:hAnsi="Courier New"/>
          <w:sz w:val="15"/>
          <w:szCs w:val="15"/>
          <w:color w:val="auto"/>
        </w:rPr>
        <w:t>Mexico</w:t>
      </w:r>
    </w:p>
    <w:p>
      <w:pPr>
        <w:spacing w:after="0" w:line="166" w:lineRule="exact"/>
        <w:rPr>
          <w:sz w:val="20"/>
          <w:szCs w:val="20"/>
          <w:color w:val="auto"/>
        </w:rPr>
      </w:pPr>
    </w:p>
    <w:p>
      <w:pPr>
        <w:ind w:left="440"/>
        <w:spacing w:after="0"/>
        <w:tabs>
          <w:tab w:leader="none" w:pos="7520" w:val="left"/>
        </w:tabs>
        <w:rPr>
          <w:sz w:val="20"/>
          <w:szCs w:val="20"/>
          <w:color w:val="auto"/>
        </w:rPr>
      </w:pPr>
      <w:r>
        <w:rPr>
          <w:rFonts w:ascii="Courier New" w:cs="Courier New" w:eastAsia="Courier New" w:hAnsi="Courier New"/>
          <w:sz w:val="15"/>
          <w:szCs w:val="15"/>
          <w:color w:val="auto"/>
        </w:rPr>
        <w:t>FEMSA Cerveza</w:t>
      </w:r>
      <w:r>
        <w:rPr>
          <w:sz w:val="20"/>
          <w:szCs w:val="20"/>
          <w:color w:val="auto"/>
        </w:rPr>
        <w:tab/>
      </w:r>
      <w:r>
        <w:rPr>
          <w:rFonts w:ascii="Courier New" w:cs="Courier New" w:eastAsia="Courier New" w:hAnsi="Courier New"/>
          <w:sz w:val="14"/>
          <w:szCs w:val="14"/>
          <w:color w:val="auto"/>
        </w:rPr>
        <w:t>Mexico</w:t>
      </w:r>
    </w:p>
    <w:p>
      <w:pPr>
        <w:ind w:left="1140"/>
        <w:spacing w:after="0"/>
        <w:tabs>
          <w:tab w:leader="none" w:pos="7520" w:val="left"/>
        </w:tabs>
        <w:rPr>
          <w:sz w:val="20"/>
          <w:szCs w:val="20"/>
          <w:color w:val="auto"/>
        </w:rPr>
      </w:pPr>
      <w:r>
        <w:rPr>
          <w:rFonts w:ascii="Courier New" w:cs="Courier New" w:eastAsia="Courier New" w:hAnsi="Courier New"/>
          <w:sz w:val="15"/>
          <w:szCs w:val="15"/>
          <w:color w:val="auto"/>
        </w:rPr>
        <w:t>Cerveceria Cuauhtemoc Moctezuma, S.A. de C.V...........................</w:t>
      </w:r>
      <w:r>
        <w:rPr>
          <w:sz w:val="20"/>
          <w:szCs w:val="20"/>
          <w:color w:val="auto"/>
        </w:rPr>
        <w:tab/>
      </w:r>
      <w:r>
        <w:rPr>
          <w:rFonts w:ascii="Courier New" w:cs="Courier New" w:eastAsia="Courier New" w:hAnsi="Courier New"/>
          <w:sz w:val="14"/>
          <w:szCs w:val="14"/>
          <w:color w:val="auto"/>
        </w:rPr>
        <w:t>Mexico</w:t>
      </w:r>
    </w:p>
    <w:p>
      <w:pPr>
        <w:ind w:left="1140"/>
        <w:spacing w:after="0"/>
        <w:tabs>
          <w:tab w:leader="none" w:pos="7520" w:val="left"/>
        </w:tabs>
        <w:rPr>
          <w:sz w:val="20"/>
          <w:szCs w:val="20"/>
          <w:color w:val="auto"/>
        </w:rPr>
      </w:pPr>
      <w:r>
        <w:rPr>
          <w:rFonts w:ascii="Courier New" w:cs="Courier New" w:eastAsia="Courier New" w:hAnsi="Courier New"/>
          <w:sz w:val="15"/>
          <w:szCs w:val="15"/>
          <w:color w:val="auto"/>
        </w:rPr>
        <w:t>Cervezas Cuauhtemoc Moctezuma, S.A. de C.V.............................</w:t>
      </w:r>
      <w:r>
        <w:rPr>
          <w:sz w:val="20"/>
          <w:szCs w:val="20"/>
          <w:color w:val="auto"/>
        </w:rPr>
        <w:tab/>
      </w:r>
      <w:r>
        <w:rPr>
          <w:rFonts w:ascii="Courier New" w:cs="Courier New" w:eastAsia="Courier New" w:hAnsi="Courier New"/>
          <w:sz w:val="14"/>
          <w:szCs w:val="14"/>
          <w:color w:val="auto"/>
        </w:rPr>
        <w:t>Mexico</w:t>
      </w:r>
    </w:p>
    <w:p>
      <w:pPr>
        <w:spacing w:after="0" w:line="167" w:lineRule="exact"/>
        <w:rPr>
          <w:sz w:val="20"/>
          <w:szCs w:val="20"/>
          <w:color w:val="auto"/>
        </w:rPr>
      </w:pPr>
    </w:p>
    <w:p>
      <w:pPr>
        <w:ind w:left="440"/>
        <w:spacing w:after="0"/>
        <w:tabs>
          <w:tab w:leader="none" w:pos="7520" w:val="left"/>
        </w:tabs>
        <w:rPr>
          <w:sz w:val="20"/>
          <w:szCs w:val="20"/>
          <w:color w:val="auto"/>
        </w:rPr>
      </w:pPr>
      <w:r>
        <w:rPr>
          <w:rFonts w:ascii="Courier New" w:cs="Courier New" w:eastAsia="Courier New" w:hAnsi="Courier New"/>
          <w:sz w:val="15"/>
          <w:szCs w:val="15"/>
          <w:color w:val="auto"/>
        </w:rPr>
        <w:t>FEMSA Comercio</w:t>
      </w:r>
      <w:r>
        <w:rPr>
          <w:sz w:val="20"/>
          <w:szCs w:val="20"/>
          <w:color w:val="auto"/>
        </w:rPr>
        <w:tab/>
      </w:r>
      <w:r>
        <w:rPr>
          <w:rFonts w:ascii="Courier New" w:cs="Courier New" w:eastAsia="Courier New" w:hAnsi="Courier New"/>
          <w:sz w:val="14"/>
          <w:szCs w:val="14"/>
          <w:color w:val="auto"/>
        </w:rPr>
        <w:t>Mexico</w:t>
      </w:r>
    </w:p>
    <w:p>
      <w:pPr>
        <w:ind w:left="1140"/>
        <w:spacing w:after="0"/>
        <w:tabs>
          <w:tab w:leader="none" w:pos="7520" w:val="left"/>
        </w:tabs>
        <w:rPr>
          <w:sz w:val="20"/>
          <w:szCs w:val="20"/>
          <w:color w:val="auto"/>
        </w:rPr>
      </w:pPr>
      <w:r>
        <w:rPr>
          <w:rFonts w:ascii="Courier New" w:cs="Courier New" w:eastAsia="Courier New" w:hAnsi="Courier New"/>
          <w:sz w:val="15"/>
          <w:szCs w:val="15"/>
          <w:color w:val="auto"/>
        </w:rPr>
        <w:t>Cadena Comercial Oxxo, S.A. de C.V.....................................</w:t>
      </w:r>
      <w:r>
        <w:rPr>
          <w:sz w:val="20"/>
          <w:szCs w:val="20"/>
          <w:color w:val="auto"/>
        </w:rPr>
        <w:tab/>
      </w:r>
      <w:r>
        <w:rPr>
          <w:rFonts w:ascii="Courier New" w:cs="Courier New" w:eastAsia="Courier New" w:hAnsi="Courier New"/>
          <w:sz w:val="14"/>
          <w:szCs w:val="14"/>
          <w:color w:val="auto"/>
        </w:rPr>
        <w:t>Mexico</w:t>
      </w:r>
    </w:p>
    <w:p>
      <w:pPr>
        <w:ind w:left="1140"/>
        <w:spacing w:after="0"/>
        <w:tabs>
          <w:tab w:leader="none" w:pos="7520" w:val="left"/>
        </w:tabs>
        <w:rPr>
          <w:sz w:val="20"/>
          <w:szCs w:val="20"/>
          <w:color w:val="auto"/>
        </w:rPr>
      </w:pPr>
      <w:r>
        <w:rPr>
          <w:rFonts w:ascii="Courier New" w:cs="Courier New" w:eastAsia="Courier New" w:hAnsi="Courier New"/>
          <w:sz w:val="15"/>
          <w:szCs w:val="15"/>
          <w:color w:val="auto"/>
        </w:rPr>
        <w:t>Impulsora de Mercados de Mexico, S.A. de C.V...........................</w:t>
      </w:r>
      <w:r>
        <w:rPr>
          <w:sz w:val="20"/>
          <w:szCs w:val="20"/>
          <w:color w:val="auto"/>
        </w:rPr>
        <w:tab/>
      </w:r>
      <w:r>
        <w:rPr>
          <w:rFonts w:ascii="Courier New" w:cs="Courier New" w:eastAsia="Courier New" w:hAnsi="Courier New"/>
          <w:sz w:val="14"/>
          <w:szCs w:val="14"/>
          <w:color w:val="auto"/>
        </w:rPr>
        <w:t>Mexico</w:t>
      </w:r>
    </w:p>
    <w:p>
      <w:pPr>
        <w:spacing w:after="0" w:line="167" w:lineRule="exact"/>
        <w:rPr>
          <w:sz w:val="20"/>
          <w:szCs w:val="20"/>
          <w:color w:val="auto"/>
        </w:rPr>
      </w:pPr>
    </w:p>
    <w:p>
      <w:pPr>
        <w:ind w:left="440"/>
        <w:spacing w:after="0"/>
        <w:tabs>
          <w:tab w:leader="none" w:pos="7520" w:val="left"/>
        </w:tabs>
        <w:rPr>
          <w:sz w:val="20"/>
          <w:szCs w:val="20"/>
          <w:color w:val="auto"/>
        </w:rPr>
      </w:pPr>
      <w:r>
        <w:rPr>
          <w:rFonts w:ascii="Courier New" w:cs="Courier New" w:eastAsia="Courier New" w:hAnsi="Courier New"/>
          <w:sz w:val="15"/>
          <w:szCs w:val="15"/>
          <w:color w:val="auto"/>
        </w:rPr>
        <w:t>FEMSA Empaques</w:t>
      </w:r>
      <w:r>
        <w:rPr>
          <w:sz w:val="20"/>
          <w:szCs w:val="20"/>
          <w:color w:val="auto"/>
        </w:rPr>
        <w:tab/>
      </w:r>
      <w:r>
        <w:rPr>
          <w:rFonts w:ascii="Courier New" w:cs="Courier New" w:eastAsia="Courier New" w:hAnsi="Courier New"/>
          <w:sz w:val="14"/>
          <w:szCs w:val="14"/>
          <w:color w:val="auto"/>
        </w:rPr>
        <w:t>Mexico</w:t>
      </w:r>
    </w:p>
    <w:p>
      <w:pPr>
        <w:ind w:left="1140"/>
        <w:spacing w:after="0"/>
        <w:tabs>
          <w:tab w:leader="none" w:pos="2000" w:val="left"/>
          <w:tab w:leader="none" w:pos="7520" w:val="left"/>
        </w:tabs>
        <w:rPr>
          <w:sz w:val="20"/>
          <w:szCs w:val="20"/>
          <w:color w:val="auto"/>
        </w:rPr>
      </w:pPr>
      <w:r>
        <w:rPr>
          <w:rFonts w:ascii="Courier New" w:cs="Courier New" w:eastAsia="Courier New" w:hAnsi="Courier New"/>
          <w:sz w:val="15"/>
          <w:szCs w:val="15"/>
          <w:color w:val="auto"/>
        </w:rPr>
        <w:t>Fabricas</w:t>
        <w:tab/>
        <w:t>Monterrey, S.A. de C.V.......................................</w:t>
      </w:r>
      <w:r>
        <w:rPr>
          <w:sz w:val="20"/>
          <w:szCs w:val="20"/>
          <w:color w:val="auto"/>
        </w:rPr>
        <w:tab/>
      </w:r>
      <w:r>
        <w:rPr>
          <w:rFonts w:ascii="Courier New" w:cs="Courier New" w:eastAsia="Courier New" w:hAnsi="Courier New"/>
          <w:sz w:val="14"/>
          <w:szCs w:val="14"/>
          <w:color w:val="auto"/>
        </w:rPr>
        <w:t>Mexico</w:t>
      </w:r>
    </w:p>
    <w:p>
      <w:pPr>
        <w:ind w:left="1140"/>
        <w:spacing w:after="0"/>
        <w:tabs>
          <w:tab w:leader="none" w:pos="7520" w:val="left"/>
        </w:tabs>
        <w:rPr>
          <w:sz w:val="20"/>
          <w:szCs w:val="20"/>
          <w:color w:val="auto"/>
        </w:rPr>
      </w:pPr>
      <w:r>
        <w:rPr>
          <w:rFonts w:ascii="Courier New" w:cs="Courier New" w:eastAsia="Courier New" w:hAnsi="Courier New"/>
          <w:sz w:val="15"/>
          <w:szCs w:val="15"/>
          <w:color w:val="auto"/>
        </w:rPr>
        <w:t>Grafo Regia, S.A. de C.V...............................................</w:t>
      </w:r>
      <w:r>
        <w:rPr>
          <w:sz w:val="20"/>
          <w:szCs w:val="20"/>
          <w:color w:val="auto"/>
        </w:rPr>
        <w:tab/>
      </w:r>
      <w:r>
        <w:rPr>
          <w:rFonts w:ascii="Courier New" w:cs="Courier New" w:eastAsia="Courier New" w:hAnsi="Courier New"/>
          <w:sz w:val="14"/>
          <w:szCs w:val="14"/>
          <w:color w:val="auto"/>
        </w:rPr>
        <w:t>Mexico</w:t>
      </w:r>
    </w:p>
    <w:p>
      <w:pPr>
        <w:ind w:left="1140"/>
        <w:spacing w:after="0"/>
        <w:tabs>
          <w:tab w:leader="none" w:pos="7520" w:val="left"/>
        </w:tabs>
        <w:rPr>
          <w:sz w:val="20"/>
          <w:szCs w:val="20"/>
          <w:color w:val="auto"/>
        </w:rPr>
      </w:pPr>
      <w:r>
        <w:rPr>
          <w:rFonts w:ascii="Courier New" w:cs="Courier New" w:eastAsia="Courier New" w:hAnsi="Courier New"/>
          <w:sz w:val="15"/>
          <w:szCs w:val="15"/>
          <w:color w:val="auto"/>
        </w:rPr>
        <w:t>Silices de Veracruz, S.A. de C.V.......................................</w:t>
      </w:r>
      <w:r>
        <w:rPr>
          <w:sz w:val="20"/>
          <w:szCs w:val="20"/>
          <w:color w:val="auto"/>
        </w:rPr>
        <w:tab/>
      </w:r>
      <w:r>
        <w:rPr>
          <w:rFonts w:ascii="Courier New" w:cs="Courier New" w:eastAsia="Courier New" w:hAnsi="Courier New"/>
          <w:sz w:val="14"/>
          <w:szCs w:val="14"/>
          <w:color w:val="auto"/>
        </w:rPr>
        <w:t>Mexico</w:t>
      </w:r>
    </w:p>
    <w:p>
      <w:pPr>
        <w:ind w:left="1140"/>
        <w:spacing w:after="0"/>
        <w:tabs>
          <w:tab w:leader="none" w:pos="7520" w:val="left"/>
        </w:tabs>
        <w:rPr>
          <w:sz w:val="20"/>
          <w:szCs w:val="20"/>
          <w:color w:val="auto"/>
        </w:rPr>
      </w:pPr>
      <w:r>
        <w:rPr>
          <w:rFonts w:ascii="Courier New" w:cs="Courier New" w:eastAsia="Courier New" w:hAnsi="Courier New"/>
          <w:sz w:val="15"/>
          <w:szCs w:val="15"/>
          <w:color w:val="auto"/>
        </w:rPr>
        <w:t>Vendo de Mexico, S.A. de C.V...........................................</w:t>
      </w:r>
      <w:r>
        <w:rPr>
          <w:sz w:val="20"/>
          <w:szCs w:val="20"/>
          <w:color w:val="auto"/>
        </w:rPr>
        <w:tab/>
      </w:r>
      <w:r>
        <w:rPr>
          <w:rFonts w:ascii="Courier New" w:cs="Courier New" w:eastAsia="Courier New" w:hAnsi="Courier New"/>
          <w:sz w:val="14"/>
          <w:szCs w:val="14"/>
          <w:color w:val="auto"/>
        </w:rPr>
        <w:t>Mexico</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37" w:lineRule="auto"/>
        <w:tabs>
          <w:tab w:leader="none" w:pos="520" w:val="left"/>
        </w:tabs>
        <w:rPr>
          <w:sz w:val="20"/>
          <w:szCs w:val="20"/>
          <w:color w:val="auto"/>
        </w:rPr>
      </w:pPr>
      <w:r>
        <w:rPr>
          <w:rFonts w:ascii="Courier New" w:cs="Courier New" w:eastAsia="Courier New" w:hAnsi="Courier New"/>
          <w:sz w:val="15"/>
          <w:szCs w:val="15"/>
          <w:color w:val="auto"/>
        </w:rPr>
        <w:t>(1)</w:t>
        <w:tab/>
        <w:t>FEMSA owns 53.60% of the capital stock with full voting rights.</w:t>
      </w:r>
    </w:p>
    <w:p>
      <w:pPr>
        <w:spacing w:after="0" w:line="238" w:lineRule="auto"/>
        <w:tabs>
          <w:tab w:leader="none" w:pos="520" w:val="left"/>
        </w:tabs>
        <w:rPr>
          <w:sz w:val="20"/>
          <w:szCs w:val="20"/>
          <w:color w:val="auto"/>
        </w:rPr>
      </w:pPr>
      <w:r>
        <w:rPr>
          <w:rFonts w:ascii="Courier New" w:cs="Courier New" w:eastAsia="Courier New" w:hAnsi="Courier New"/>
          <w:sz w:val="15"/>
          <w:szCs w:val="15"/>
          <w:color w:val="auto"/>
        </w:rPr>
        <w:t>(2)</w:t>
        <w:tab/>
        <w:t>This entity was acquired on May 6, 2003.</w:t>
      </w:r>
    </w:p>
    <w:p>
      <w:pPr>
        <w:spacing w:after="0" w:line="335" w:lineRule="exact"/>
        <w:rPr>
          <w:sz w:val="20"/>
          <w:szCs w:val="20"/>
          <w:color w:val="auto"/>
        </w:rPr>
      </w:pPr>
    </w:p>
    <w:p>
      <w:pPr>
        <w:jc w:val="center"/>
        <w:ind w:right="1660"/>
        <w:spacing w:after="0"/>
        <w:rPr>
          <w:sz w:val="20"/>
          <w:szCs w:val="20"/>
          <w:color w:val="auto"/>
        </w:rPr>
      </w:pPr>
      <w:r>
        <w:rPr>
          <w:rFonts w:ascii="Courier New" w:cs="Courier New" w:eastAsia="Courier New" w:hAnsi="Courier New"/>
          <w:sz w:val="15"/>
          <w:szCs w:val="15"/>
          <w:color w:val="auto"/>
        </w:rPr>
        <w:t>Business Strategy</w:t>
      </w:r>
    </w:p>
    <w:p>
      <w:pPr>
        <w:spacing w:after="0" w:line="173" w:lineRule="exact"/>
        <w:rPr>
          <w:sz w:val="20"/>
          <w:szCs w:val="20"/>
          <w:color w:val="auto"/>
        </w:rPr>
      </w:pPr>
    </w:p>
    <w:p>
      <w:pPr>
        <w:ind w:right="1760" w:firstLine="437"/>
        <w:spacing w:after="0" w:line="236" w:lineRule="auto"/>
        <w:rPr>
          <w:sz w:val="20"/>
          <w:szCs w:val="20"/>
          <w:color w:val="auto"/>
        </w:rPr>
      </w:pPr>
      <w:r>
        <w:rPr>
          <w:rFonts w:ascii="Courier New" w:cs="Courier New" w:eastAsia="Courier New" w:hAnsi="Courier New"/>
          <w:sz w:val="15"/>
          <w:szCs w:val="15"/>
          <w:color w:val="auto"/>
        </w:rPr>
        <w:t>We are a beverage company. Our soft drink operation, Coca-Cola FEMSA, is currently the second largest bottler of Coca-Cola products in the world, and our brewing operation, FEMSA Cerveza, is both a significant player in the Mexican beer market as well as a major exporter in key international markets including the United States. Coca-Cola FEMSA and FEMSA Cerveza are our core businesses, which together define our identity and are the main avenues of our future growth.</w:t>
      </w:r>
    </w:p>
    <w:p>
      <w:pPr>
        <w:spacing w:after="0" w:line="176" w:lineRule="exact"/>
        <w:rPr>
          <w:sz w:val="20"/>
          <w:szCs w:val="20"/>
          <w:color w:val="auto"/>
        </w:rPr>
      </w:pPr>
    </w:p>
    <w:p>
      <w:pPr>
        <w:ind w:right="1760" w:firstLine="437"/>
        <w:spacing w:after="0" w:line="255" w:lineRule="auto"/>
        <w:rPr>
          <w:sz w:val="20"/>
          <w:szCs w:val="20"/>
          <w:color w:val="auto"/>
        </w:rPr>
      </w:pPr>
      <w:r>
        <w:rPr>
          <w:rFonts w:ascii="Courier New" w:cs="Courier New" w:eastAsia="Courier New" w:hAnsi="Courier New"/>
          <w:sz w:val="14"/>
          <w:szCs w:val="14"/>
          <w:color w:val="auto"/>
        </w:rPr>
        <w:t>As a beverage company, we understand the importance of connecting with our end consumers by interpreting their needs, and ultimately delivering the right products to them for the right occasions. We strive to achieve this by developing superior brand equity, expanding our already significant distribution capabilities and improving the efficiency of our operations. We continue to improve our information gathering and processing systems in order to better know and understand what our consumers want and need, and we are improving our production and distribution by more efficiently leveraging our asset base.</w:t>
      </w:r>
    </w:p>
    <w:p>
      <w:pPr>
        <w:spacing w:after="0" w:line="166" w:lineRule="exact"/>
        <w:rPr>
          <w:sz w:val="20"/>
          <w:szCs w:val="20"/>
          <w:color w:val="auto"/>
        </w:rPr>
      </w:pPr>
    </w:p>
    <w:p>
      <w:pPr>
        <w:ind w:right="1760" w:firstLine="437"/>
        <w:spacing w:after="0" w:line="235" w:lineRule="auto"/>
        <w:rPr>
          <w:sz w:val="20"/>
          <w:szCs w:val="20"/>
          <w:color w:val="auto"/>
        </w:rPr>
      </w:pPr>
      <w:r>
        <w:rPr>
          <w:rFonts w:ascii="Courier New" w:cs="Courier New" w:eastAsia="Courier New" w:hAnsi="Courier New"/>
          <w:sz w:val="15"/>
          <w:szCs w:val="15"/>
          <w:color w:val="auto"/>
        </w:rPr>
        <w:t>Our ultimate objectives are achieving sustainable revenue growth, improving profitability and increasing the return on invested capital in each of our operations. We are confident that by achieving these goals we will create sustainable value for our shareholders.</w:t>
      </w:r>
    </w:p>
    <w:p>
      <w:pPr>
        <w:spacing w:after="0" w:line="175" w:lineRule="exact"/>
        <w:rPr>
          <w:sz w:val="20"/>
          <w:szCs w:val="20"/>
          <w:color w:val="auto"/>
        </w:rPr>
      </w:pPr>
    </w:p>
    <w:p>
      <w:pPr>
        <w:ind w:right="2100" w:firstLine="437"/>
        <w:spacing w:after="0" w:line="236" w:lineRule="auto"/>
        <w:rPr>
          <w:sz w:val="20"/>
          <w:szCs w:val="20"/>
          <w:color w:val="auto"/>
        </w:rPr>
      </w:pPr>
      <w:r>
        <w:rPr>
          <w:rFonts w:ascii="Courier New" w:cs="Courier New" w:eastAsia="Courier New" w:hAnsi="Courier New"/>
          <w:sz w:val="15"/>
          <w:szCs w:val="15"/>
          <w:color w:val="auto"/>
        </w:rPr>
        <w:t>Our beverage businesses are supported by a large convenience store operation, FEMSA Comercio, as well as by FEMSA Empaques, a world-class glass bottle and aluminum can operations. These two businesses provide us with strategic competitive advantages, and are also complemented by additional support businesses that manufacture crown caps and closures, commercial refrigerators, labels and flexible packaging, thermo-molded plastics and chemical products.</w:t>
      </w:r>
    </w:p>
    <w:p>
      <w:pPr>
        <w:spacing w:after="0" w:line="176" w:lineRule="exact"/>
        <w:rPr>
          <w:sz w:val="20"/>
          <w:szCs w:val="20"/>
          <w:color w:val="auto"/>
        </w:rPr>
      </w:pPr>
    </w:p>
    <w:p>
      <w:pPr>
        <w:ind w:right="1840" w:firstLine="437"/>
        <w:spacing w:after="0" w:line="236" w:lineRule="auto"/>
        <w:rPr>
          <w:sz w:val="20"/>
          <w:szCs w:val="20"/>
          <w:color w:val="auto"/>
        </w:rPr>
      </w:pPr>
      <w:r>
        <w:rPr>
          <w:rFonts w:ascii="Courier New" w:cs="Courier New" w:eastAsia="Courier New" w:hAnsi="Courier New"/>
          <w:sz w:val="15"/>
          <w:szCs w:val="15"/>
          <w:color w:val="auto"/>
        </w:rPr>
        <w:t>We believe that the competencies that our businesses have developed are replicable in other geographic regions. This underlying principle guided our consolidation efforts in 2002, which culminated by reaching an agreement for Coca-Cola FEMSA to acquire Panamco on December 22, 2002. The continental platform that this new combination produces--encompassing a significant territorial expanse in Mexico and Central America, plus most of the large urban centers in South America--may provide us with ample opportunities to create value through both an improved ability to execute and the use of superior marketing tools.</w:t>
      </w:r>
    </w:p>
    <w:p>
      <w:pPr>
        <w:spacing w:after="0" w:line="178" w:lineRule="exact"/>
        <w:rPr>
          <w:sz w:val="20"/>
          <w:szCs w:val="20"/>
          <w:color w:val="auto"/>
        </w:rPr>
      </w:pPr>
    </w:p>
    <w:p>
      <w:pPr>
        <w:ind w:right="1760" w:firstLine="437"/>
        <w:spacing w:after="0" w:line="255" w:lineRule="auto"/>
        <w:rPr>
          <w:sz w:val="20"/>
          <w:szCs w:val="20"/>
          <w:color w:val="auto"/>
        </w:rPr>
      </w:pPr>
      <w:r>
        <w:rPr>
          <w:rFonts w:ascii="Courier New" w:cs="Courier New" w:eastAsia="Courier New" w:hAnsi="Courier New"/>
          <w:sz w:val="14"/>
          <w:szCs w:val="14"/>
          <w:color w:val="auto"/>
        </w:rPr>
        <w:t>During 2002, FEMSA Cerveza continued to be immersed in a transformation process that has developed key competencies aimed at strengthening its consumer-focused orientation, namely excellence in execution, brand building capabilities, efficient asset utilization and the development of a powerful information system infrastructure. Coca-Cola FEMSA widened its operating profit margins by continuously extending its product line and reducing its expenses per unit, while applying strategic measures to cope with the difficult economic environment in Argentina. In addition, FEMSA Comercio further accelerated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339"/>
        <w:spacing w:after="0" w:line="254" w:lineRule="auto"/>
        <w:rPr>
          <w:sz w:val="20"/>
          <w:szCs w:val="20"/>
          <w:color w:val="auto"/>
        </w:rPr>
      </w:pPr>
      <w:r>
        <w:rPr>
          <w:rFonts w:ascii="Courier New" w:cs="Courier New" w:eastAsia="Courier New" w:hAnsi="Courier New"/>
          <w:sz w:val="14"/>
          <w:szCs w:val="14"/>
          <w:color w:val="auto"/>
        </w:rPr>
        <w:t>Percentage Owned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99.99</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45.70(1)</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45.70</w:t>
      </w:r>
    </w:p>
    <w:p>
      <w:pPr>
        <w:ind w:left="180"/>
        <w:spacing w:after="0" w:line="237" w:lineRule="auto"/>
        <w:rPr>
          <w:sz w:val="20"/>
          <w:szCs w:val="20"/>
          <w:color w:val="auto"/>
        </w:rPr>
      </w:pPr>
      <w:r>
        <w:rPr>
          <w:rFonts w:ascii="Courier New" w:cs="Courier New" w:eastAsia="Courier New" w:hAnsi="Courier New"/>
          <w:sz w:val="15"/>
          <w:szCs w:val="15"/>
          <w:color w:val="auto"/>
        </w:rPr>
        <w:t>45.70</w:t>
      </w:r>
    </w:p>
    <w:p>
      <w:pPr>
        <w:ind w:left="180"/>
        <w:spacing w:after="0" w:line="238" w:lineRule="auto"/>
        <w:rPr>
          <w:sz w:val="20"/>
          <w:szCs w:val="20"/>
          <w:color w:val="auto"/>
        </w:rPr>
      </w:pPr>
      <w:r>
        <w:rPr>
          <w:rFonts w:ascii="Courier New" w:cs="Courier New" w:eastAsia="Courier New" w:hAnsi="Courier New"/>
          <w:sz w:val="15"/>
          <w:szCs w:val="15"/>
          <w:color w:val="auto"/>
        </w:rPr>
        <w:t>45.70</w:t>
      </w:r>
    </w:p>
    <w:p>
      <w:pPr>
        <w:ind w:left="180"/>
        <w:spacing w:after="0" w:line="237" w:lineRule="auto"/>
        <w:rPr>
          <w:sz w:val="20"/>
          <w:szCs w:val="20"/>
          <w:color w:val="auto"/>
        </w:rPr>
      </w:pPr>
      <w:r>
        <w:rPr>
          <w:rFonts w:ascii="Courier New" w:cs="Courier New" w:eastAsia="Courier New" w:hAnsi="Courier New"/>
          <w:sz w:val="15"/>
          <w:szCs w:val="15"/>
          <w:color w:val="auto"/>
        </w:rPr>
        <w:t>45.70</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45.70(2)</w:t>
      </w:r>
    </w:p>
    <w:p>
      <w:pPr>
        <w:spacing w:after="0" w:line="17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99.99</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70.00</w:t>
      </w:r>
    </w:p>
    <w:p>
      <w:pPr>
        <w:ind w:left="180"/>
        <w:spacing w:after="0" w:line="237" w:lineRule="auto"/>
        <w:rPr>
          <w:sz w:val="20"/>
          <w:szCs w:val="20"/>
          <w:color w:val="auto"/>
        </w:rPr>
      </w:pPr>
      <w:r>
        <w:rPr>
          <w:rFonts w:ascii="Courier New" w:cs="Courier New" w:eastAsia="Courier New" w:hAnsi="Courier New"/>
          <w:sz w:val="15"/>
          <w:szCs w:val="15"/>
          <w:color w:val="auto"/>
        </w:rPr>
        <w:t>70.00</w:t>
      </w:r>
    </w:p>
    <w:p>
      <w:pPr>
        <w:ind w:left="180"/>
        <w:spacing w:after="0" w:line="238" w:lineRule="auto"/>
        <w:rPr>
          <w:sz w:val="20"/>
          <w:szCs w:val="20"/>
          <w:color w:val="auto"/>
        </w:rPr>
      </w:pPr>
      <w:r>
        <w:rPr>
          <w:rFonts w:ascii="Courier New" w:cs="Courier New" w:eastAsia="Courier New" w:hAnsi="Courier New"/>
          <w:sz w:val="15"/>
          <w:szCs w:val="15"/>
          <w:color w:val="auto"/>
        </w:rPr>
        <w:t>70.00</w:t>
      </w:r>
    </w:p>
    <w:p>
      <w:pPr>
        <w:spacing w:after="0" w:line="167"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100.00</w:t>
      </w:r>
    </w:p>
    <w:p>
      <w:pPr>
        <w:ind w:left="80"/>
        <w:spacing w:after="0" w:line="237" w:lineRule="auto"/>
        <w:rPr>
          <w:sz w:val="20"/>
          <w:szCs w:val="20"/>
          <w:color w:val="auto"/>
        </w:rPr>
      </w:pPr>
      <w:r>
        <w:rPr>
          <w:rFonts w:ascii="Courier New" w:cs="Courier New" w:eastAsia="Courier New" w:hAnsi="Courier New"/>
          <w:sz w:val="15"/>
          <w:szCs w:val="15"/>
          <w:color w:val="auto"/>
        </w:rPr>
        <w:t>100.00</w:t>
      </w:r>
    </w:p>
    <w:p>
      <w:pPr>
        <w:ind w:left="80"/>
        <w:spacing w:after="0" w:line="238" w:lineRule="auto"/>
        <w:rPr>
          <w:sz w:val="20"/>
          <w:szCs w:val="20"/>
          <w:color w:val="auto"/>
        </w:rPr>
      </w:pPr>
      <w:r>
        <w:rPr>
          <w:rFonts w:ascii="Courier New" w:cs="Courier New" w:eastAsia="Courier New" w:hAnsi="Courier New"/>
          <w:sz w:val="15"/>
          <w:szCs w:val="15"/>
          <w:color w:val="auto"/>
        </w:rPr>
        <w:t>100.00</w:t>
      </w:r>
    </w:p>
    <w:p>
      <w:pPr>
        <w:spacing w:after="0" w:line="167"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100.00</w:t>
      </w:r>
    </w:p>
    <w:p>
      <w:pPr>
        <w:ind w:left="80"/>
        <w:spacing w:after="0" w:line="237" w:lineRule="auto"/>
        <w:rPr>
          <w:sz w:val="20"/>
          <w:szCs w:val="20"/>
          <w:color w:val="auto"/>
        </w:rPr>
      </w:pPr>
      <w:r>
        <w:rPr>
          <w:rFonts w:ascii="Courier New" w:cs="Courier New" w:eastAsia="Courier New" w:hAnsi="Courier New"/>
          <w:sz w:val="15"/>
          <w:szCs w:val="15"/>
          <w:color w:val="auto"/>
        </w:rPr>
        <w:t>100.00</w:t>
      </w:r>
    </w:p>
    <w:p>
      <w:pPr>
        <w:ind w:left="80"/>
        <w:spacing w:after="0" w:line="238" w:lineRule="auto"/>
        <w:rPr>
          <w:sz w:val="20"/>
          <w:szCs w:val="20"/>
          <w:color w:val="auto"/>
        </w:rPr>
      </w:pPr>
      <w:r>
        <w:rPr>
          <w:rFonts w:ascii="Courier New" w:cs="Courier New" w:eastAsia="Courier New" w:hAnsi="Courier New"/>
          <w:sz w:val="15"/>
          <w:szCs w:val="15"/>
          <w:color w:val="auto"/>
        </w:rPr>
        <w:t>100.00</w:t>
      </w:r>
    </w:p>
    <w:p>
      <w:pPr>
        <w:ind w:left="80"/>
        <w:spacing w:after="0" w:line="237" w:lineRule="auto"/>
        <w:rPr>
          <w:sz w:val="20"/>
          <w:szCs w:val="20"/>
          <w:color w:val="auto"/>
        </w:rPr>
      </w:pPr>
      <w:r>
        <w:rPr>
          <w:rFonts w:ascii="Courier New" w:cs="Courier New" w:eastAsia="Courier New" w:hAnsi="Courier New"/>
          <w:sz w:val="15"/>
          <w:szCs w:val="15"/>
          <w:color w:val="auto"/>
        </w:rPr>
        <w:t>100.00</w:t>
      </w:r>
    </w:p>
    <w:p>
      <w:pPr>
        <w:ind w:left="80"/>
        <w:spacing w:after="0" w:line="238" w:lineRule="auto"/>
        <w:rPr>
          <w:sz w:val="20"/>
          <w:szCs w:val="20"/>
          <w:color w:val="auto"/>
        </w:rPr>
      </w:pPr>
      <w:r>
        <w:rPr>
          <w:rFonts w:ascii="Courier New" w:cs="Courier New" w:eastAsia="Courier New" w:hAnsi="Courier New"/>
          <w:sz w:val="15"/>
          <w:szCs w:val="15"/>
          <w:color w:val="auto"/>
        </w:rPr>
        <w:t>100.00</w:t>
      </w:r>
    </w:p>
    <w:p>
      <w:pPr>
        <w:sectPr>
          <w:pgSz w:w="11900" w:h="16838" w:orient="portrait"/>
          <w:cols w:equalWidth="0" w:num="2">
            <w:col w:w="8760" w:space="260"/>
            <w:col w:w="1219"/>
          </w:cols>
          <w:pgMar w:left="220" w:top="953" w:right="1440" w:bottom="0" w:gutter="0" w:footer="0" w:header="0"/>
        </w:sectPr>
      </w:pPr>
    </w:p>
    <w:bookmarkStart w:id="27" w:name="page28"/>
    <w:bookmarkEnd w:id="27"/>
    <w:p>
      <w:pPr>
        <w:jc w:val="center"/>
        <w:ind w:right="3399"/>
        <w:spacing w:after="0"/>
        <w:rPr>
          <w:sz w:val="20"/>
          <w:szCs w:val="20"/>
          <w:color w:val="auto"/>
        </w:rPr>
      </w:pPr>
      <w:r>
        <w:rPr>
          <w:rFonts w:ascii="Courier New" w:cs="Courier New" w:eastAsia="Courier New" w:hAnsi="Courier New"/>
          <w:sz w:val="14"/>
          <w:szCs w:val="14"/>
          <w:color w:val="auto"/>
        </w:rPr>
        <w:t>expansion of the Oxxo convenience store chain by opening more than 400 stores.</w:t>
      </w:r>
    </w:p>
    <w:p>
      <w:pPr>
        <w:spacing w:after="0" w:line="171"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FEMSA Cerveza</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Overview and Background</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FEMSA Cerveza is one of our core subholding companies, and one of the two leading beer producers in Mexico measured in terms of sales volume. In 2002, FEMSA Cerveza sold 23.811 million hectoliters of beer. As of December 31, 2002, FEMSA Cerveza was ranked the twelfth-largest brewery in the world in terms of sales volume. FEMSA Cerveza exports its products to more than 67 countries worldwide, with North America being its most important export market, followed by certain markets in Asia, Europe and Latin America. FEMSA Cerveza's principal operating subsidiary is Cerveceria Cuauhtemoc Moctezuma, S.A. de C.V. ("CCM").</w:t>
      </w:r>
    </w:p>
    <w:p>
      <w:pPr>
        <w:spacing w:after="0" w:line="166"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 September 1994, Labatt acquired 22% of FEMSA Cerveza for US$510 million and was granted an option to acquire an additional 8%. On December 1, 1994, FEMSA Cerveza and Labatt entered into a joint venture agreement whereby both parties agreed to combine their United States beer businesses through their joint ownership of Labatt USA LLC and Latrobe Brewing Company LLC, which we collectively refer to as Labatt USA. FEMSA Cerveza owns 30% of Labatt USA. In July 1995, Interbrew N.V./S.A. ("Interbrew"), a Belgian holding company with extensive brewing interests worldwide, acquired Labatt. On May 15, 1998, Labatt, through its holding company, Stellamerica Holdings Limited ("Stellamerica"), exercised the option to acquire an additional 8% interest in FEMSA Cerveza for a total amount of US$221.6 million. Currently, Stellamerica holds 18.42% of FEMSA Cerveza and Labatt holds 11.58%.</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Business Strategy</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FEMSA Cerveza's strategic objectives are to meet the demand for quality beer products and to expand market penetration in Mexico and abroad, particularly in the United States, by promoting profitable volume growth and higher consumption per capita. The specific strategies that FEMSA Cerveza is implementing to achieve these objectives include: (i) targeting the consumer with strong brand names; (ii) fostering stronger commercial relationships with retailers; (iii) enhancing operational efficiency and system-wide productivity; and (iv) increasing market penetration in FEMSA Cerveza's profitable export markets, with special emphasis on the southwestern United States.</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141" w:right="1440" w:bottom="1440" w:gutter="0" w:footer="0" w:header="0"/>
        </w:sectPr>
      </w:pPr>
    </w:p>
    <w:bookmarkStart w:id="28" w:name="page29"/>
    <w:bookmarkEnd w:id="28"/>
    <w:p>
      <w:pPr>
        <w:ind w:left="360" w:hanging="350"/>
        <w:spacing w:after="0"/>
        <w:tabs>
          <w:tab w:leader="none" w:pos="36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Targeting the consumer with strong brand names requires:</w:t>
      </w:r>
    </w:p>
    <w:p>
      <w:pPr>
        <w:sectPr>
          <w:pgSz w:w="11900" w:h="16838" w:orient="portrait"/>
          <w:cols w:equalWidth="0" w:num="1">
            <w:col w:w="10239"/>
          </w:cols>
          <w:pgMar w:left="220" w:top="960" w:right="1440" w:bottom="1440" w:gutter="0" w:footer="0" w:header="0"/>
        </w:sectPr>
      </w:pP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Differentiating</w:t>
      </w:r>
    </w:p>
    <w:p>
      <w:pPr>
        <w:spacing w:after="0" w:line="237" w:lineRule="auto"/>
        <w:rPr>
          <w:sz w:val="20"/>
          <w:szCs w:val="20"/>
          <w:color w:val="auto"/>
        </w:rPr>
      </w:pPr>
      <w:r>
        <w:rPr>
          <w:rFonts w:ascii="Courier New" w:cs="Courier New" w:eastAsia="Courier New" w:hAnsi="Courier New"/>
          <w:sz w:val="15"/>
          <w:szCs w:val="15"/>
          <w:color w:val="auto"/>
        </w:rPr>
        <w:t>brand portfolio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through offerings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w:t>
      </w:r>
    </w:p>
    <w:p>
      <w:pPr>
        <w:spacing w:after="0" w:line="237" w:lineRule="auto"/>
        <w:rPr>
          <w:sz w:val="20"/>
          <w:szCs w:val="20"/>
          <w:color w:val="auto"/>
        </w:rPr>
      </w:pPr>
      <w:r>
        <w:rPr>
          <w:rFonts w:ascii="Courier New" w:cs="Courier New" w:eastAsia="Courier New" w:hAnsi="Courier New"/>
          <w:sz w:val="15"/>
          <w:szCs w:val="15"/>
          <w:color w:val="auto"/>
        </w:rPr>
        <w:t>segmentation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brand positioning</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Market segmentation, flexible product and brand positioning are particularly suited to FEMSA Cerveza, given the range of products in its brand portfolio. Furthermore, we believe that as the Mexican economy improves, Mexican beer consumers will place increasing value on differentiated product offerings, which should provide FEMSA Cerveza with a competitive advantage in the domestic market. See "--Marketing Strategy."</w:t>
      </w:r>
    </w:p>
    <w:p>
      <w:pPr>
        <w:spacing w:after="0" w:line="200" w:lineRule="exact"/>
        <w:rPr>
          <w:sz w:val="20"/>
          <w:szCs w:val="20"/>
          <w:color w:val="auto"/>
        </w:rPr>
      </w:pPr>
    </w:p>
    <w:p>
      <w:pPr>
        <w:sectPr>
          <w:pgSz w:w="11900" w:h="16838" w:orient="portrait"/>
          <w:cols w:equalWidth="0" w:num="2">
            <w:col w:w="1500" w:space="260"/>
            <w:col w:w="8479"/>
          </w:cols>
          <w:pgMar w:left="220" w:top="960" w:right="1440" w:bottom="1440" w:gutter="0" w:footer="0" w:header="0"/>
          <w:type w:val="continuous"/>
        </w:sectPr>
      </w:pPr>
    </w:p>
    <w:p>
      <w:pPr>
        <w:spacing w:after="0" w:line="145" w:lineRule="exact"/>
        <w:rPr>
          <w:sz w:val="20"/>
          <w:szCs w:val="20"/>
          <w:color w:val="auto"/>
        </w:rPr>
      </w:pPr>
    </w:p>
    <w:p>
      <w:pPr>
        <w:spacing w:after="0" w:line="235" w:lineRule="auto"/>
        <w:rPr>
          <w:sz w:val="20"/>
          <w:szCs w:val="20"/>
          <w:color w:val="auto"/>
        </w:rPr>
      </w:pPr>
      <w:r>
        <w:rPr>
          <w:rFonts w:ascii="Courier New" w:cs="Courier New" w:eastAsia="Courier New" w:hAnsi="Courier New"/>
          <w:sz w:val="15"/>
          <w:szCs w:val="15"/>
          <w:color w:val="auto"/>
        </w:rPr>
        <w:t>Implementing an integrated marketing strategy</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ind w:right="3579"/>
        <w:spacing w:after="0" w:line="256" w:lineRule="auto"/>
        <w:rPr>
          <w:sz w:val="20"/>
          <w:szCs w:val="20"/>
          <w:color w:val="auto"/>
        </w:rPr>
      </w:pPr>
      <w:r>
        <w:rPr>
          <w:rFonts w:ascii="Courier New" w:cs="Courier New" w:eastAsia="Courier New" w:hAnsi="Courier New"/>
          <w:sz w:val="14"/>
          <w:szCs w:val="14"/>
          <w:color w:val="auto"/>
        </w:rPr>
        <w:t>FEMSA Cerveza has been implementing integrated marketing strategies centered on a combination of advertising campaigns, promotions, channel marketing and consumption activation events. See "--Marketing Strategy."</w:t>
      </w:r>
    </w:p>
    <w:p>
      <w:pPr>
        <w:spacing w:after="0" w:line="200" w:lineRule="exact"/>
        <w:rPr>
          <w:sz w:val="20"/>
          <w:szCs w:val="20"/>
          <w:color w:val="auto"/>
        </w:rPr>
      </w:pPr>
    </w:p>
    <w:p>
      <w:pPr>
        <w:sectPr>
          <w:pgSz w:w="11900" w:h="16838" w:orient="portrait"/>
          <w:cols w:equalWidth="0" w:num="2">
            <w:col w:w="1320" w:space="440"/>
            <w:col w:w="8479"/>
          </w:cols>
          <w:pgMar w:left="220" w:top="960" w:right="1440" w:bottom="1440" w:gutter="0" w:footer="0" w:header="0"/>
          <w:type w:val="continuous"/>
        </w:sectPr>
      </w:pPr>
    </w:p>
    <w:p>
      <w:pPr>
        <w:spacing w:after="0" w:line="132" w:lineRule="exact"/>
        <w:rPr>
          <w:sz w:val="20"/>
          <w:szCs w:val="20"/>
          <w:color w:val="auto"/>
        </w:rPr>
      </w:pPr>
    </w:p>
    <w:p>
      <w:pPr>
        <w:ind w:right="140"/>
        <w:spacing w:after="0" w:line="258" w:lineRule="auto"/>
        <w:rPr>
          <w:sz w:val="20"/>
          <w:szCs w:val="20"/>
          <w:color w:val="auto"/>
        </w:rPr>
      </w:pPr>
      <w:r>
        <w:rPr>
          <w:rFonts w:ascii="Courier New" w:cs="Courier New" w:eastAsia="Courier New" w:hAnsi="Courier New"/>
          <w:sz w:val="14"/>
          <w:szCs w:val="14"/>
          <w:color w:val="auto"/>
        </w:rPr>
        <w:t>Increasing consumption per capita</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A key component of FEMSA Cerveza's strategy is focused on increasing consumption per capita. This is done by focusing on increasing the number of people who choose beer as their drink of choice (broadening our consumer base) by means of promotion and coverage and by developing new consumption opportunities (deepening our consumer base) through strategic sponsorships and consumer activation.</w:t>
      </w:r>
    </w:p>
    <w:p>
      <w:pPr>
        <w:spacing w:after="0" w:line="160" w:lineRule="exact"/>
        <w:rPr>
          <w:sz w:val="20"/>
          <w:szCs w:val="20"/>
          <w:color w:val="auto"/>
        </w:rPr>
      </w:pPr>
    </w:p>
    <w:p>
      <w:pPr>
        <w:sectPr>
          <w:pgSz w:w="11900" w:h="16838" w:orient="portrait"/>
          <w:cols w:equalWidth="0" w:num="2">
            <w:col w:w="1120" w:space="720"/>
            <w:col w:w="8399"/>
          </w:cols>
          <w:pgMar w:left="220" w:top="960"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Defining</w:t>
      </w:r>
    </w:p>
    <w:p>
      <w:pPr>
        <w:spacing w:after="0" w:line="237" w:lineRule="auto"/>
        <w:rPr>
          <w:sz w:val="20"/>
          <w:szCs w:val="20"/>
          <w:color w:val="auto"/>
        </w:rPr>
      </w:pPr>
      <w:r>
        <w:rPr>
          <w:rFonts w:ascii="Courier New" w:cs="Courier New" w:eastAsia="Courier New" w:hAnsi="Courier New"/>
          <w:sz w:val="15"/>
          <w:szCs w:val="15"/>
          <w:color w:val="auto"/>
        </w:rPr>
        <w:t>regional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portfolios</w:t>
      </w:r>
    </w:p>
    <w:p>
      <w:pPr>
        <w:spacing w:after="0" w:line="20" w:lineRule="exact"/>
        <w:rPr>
          <w:sz w:val="20"/>
          <w:szCs w:val="20"/>
          <w:color w:val="auto"/>
        </w:rPr>
      </w:pPr>
      <w:r>
        <w:rPr>
          <w:sz w:val="20"/>
          <w:szCs w:val="20"/>
          <w:color w:val="auto"/>
        </w:rPr>
        <w:br w:type="column"/>
      </w:r>
    </w:p>
    <w:p>
      <w:pPr>
        <w:ind w:right="3139"/>
        <w:spacing w:after="0" w:line="258" w:lineRule="auto"/>
        <w:rPr>
          <w:sz w:val="20"/>
          <w:szCs w:val="20"/>
          <w:color w:val="auto"/>
        </w:rPr>
      </w:pPr>
      <w:r>
        <w:rPr>
          <w:rFonts w:ascii="Courier New" w:cs="Courier New" w:eastAsia="Courier New" w:hAnsi="Courier New"/>
          <w:sz w:val="14"/>
          <w:szCs w:val="14"/>
          <w:color w:val="auto"/>
        </w:rPr>
        <w:t>We believe that we can capitalize on regional brand loyalties and increase the effectiveness of marketing and distribution by defining targeted regional brand portfolios.</w:t>
      </w:r>
    </w:p>
    <w:p>
      <w:pPr>
        <w:spacing w:after="0" w:line="200" w:lineRule="exact"/>
        <w:rPr>
          <w:sz w:val="20"/>
          <w:szCs w:val="20"/>
          <w:color w:val="auto"/>
        </w:rPr>
      </w:pPr>
    </w:p>
    <w:p>
      <w:pPr>
        <w:sectPr>
          <w:pgSz w:w="11900" w:h="16838" w:orient="portrait"/>
          <w:cols w:equalWidth="0" w:num="2">
            <w:col w:w="1120" w:space="720"/>
            <w:col w:w="8399"/>
          </w:cols>
          <w:pgMar w:left="220" w:top="960" w:right="1440" w:bottom="1440" w:gutter="0" w:footer="0" w:header="0"/>
          <w:type w:val="continuous"/>
        </w:sectPr>
      </w:pPr>
    </w:p>
    <w:p>
      <w:pPr>
        <w:spacing w:after="0" w:line="298" w:lineRule="exact"/>
        <w:rPr>
          <w:sz w:val="20"/>
          <w:szCs w:val="20"/>
          <w:color w:val="auto"/>
        </w:rPr>
      </w:pPr>
    </w:p>
    <w:p>
      <w:pPr>
        <w:spacing w:after="0" w:line="235" w:lineRule="auto"/>
        <w:rPr>
          <w:sz w:val="20"/>
          <w:szCs w:val="20"/>
          <w:color w:val="auto"/>
        </w:rPr>
      </w:pPr>
      <w:r>
        <w:rPr>
          <w:rFonts w:ascii="Courier New" w:cs="Courier New" w:eastAsia="Courier New" w:hAnsi="Courier New"/>
          <w:sz w:val="15"/>
          <w:szCs w:val="15"/>
          <w:color w:val="auto"/>
        </w:rPr>
        <w:t>Brewing and distributing the highest quality beer</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Quality plays a central role in a consumer's purchase and consumption decision. FEMSA Cerveza devotes significant efforts and resources to ensure the quality, freshness and superior taste of our beers.</w:t>
      </w:r>
    </w:p>
    <w:p>
      <w:pPr>
        <w:spacing w:after="0" w:line="200" w:lineRule="exact"/>
        <w:rPr>
          <w:sz w:val="20"/>
          <w:szCs w:val="20"/>
          <w:color w:val="auto"/>
        </w:rPr>
      </w:pPr>
    </w:p>
    <w:p>
      <w:pPr>
        <w:sectPr>
          <w:pgSz w:w="11900" w:h="16838" w:orient="portrait"/>
          <w:cols w:equalWidth="0" w:num="2">
            <w:col w:w="1400" w:space="540"/>
            <w:col w:w="8299"/>
          </w:cols>
          <w:pgMar w:left="220" w:top="960" w:right="1440" w:bottom="1440" w:gutter="0" w:footer="0" w:header="0"/>
          <w:type w:val="continuous"/>
        </w:sectPr>
      </w:pP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Tailoring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product offering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w:t>
      </w:r>
    </w:p>
    <w:p>
      <w:pPr>
        <w:spacing w:after="0" w:line="237" w:lineRule="auto"/>
        <w:rPr>
          <w:sz w:val="20"/>
          <w:szCs w:val="20"/>
          <w:color w:val="auto"/>
        </w:rPr>
      </w:pPr>
      <w:r>
        <w:rPr>
          <w:rFonts w:ascii="Courier New" w:cs="Courier New" w:eastAsia="Courier New" w:hAnsi="Courier New"/>
          <w:sz w:val="15"/>
          <w:szCs w:val="15"/>
          <w:color w:val="auto"/>
        </w:rPr>
        <w:t>distribution</w:t>
      </w:r>
    </w:p>
    <w:p>
      <w:pPr>
        <w:spacing w:after="0" w:line="238" w:lineRule="auto"/>
        <w:rPr>
          <w:sz w:val="20"/>
          <w:szCs w:val="20"/>
          <w:color w:val="auto"/>
        </w:rPr>
      </w:pPr>
      <w:r>
        <w:rPr>
          <w:rFonts w:ascii="Courier New" w:cs="Courier New" w:eastAsia="Courier New" w:hAnsi="Courier New"/>
          <w:sz w:val="15"/>
          <w:szCs w:val="15"/>
          <w:color w:val="auto"/>
        </w:rPr>
        <w:t>channel</w:t>
      </w:r>
    </w:p>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ind w:right="2979"/>
        <w:spacing w:after="0" w:line="255" w:lineRule="auto"/>
        <w:rPr>
          <w:sz w:val="20"/>
          <w:szCs w:val="20"/>
          <w:color w:val="auto"/>
        </w:rPr>
      </w:pPr>
      <w:r>
        <w:rPr>
          <w:rFonts w:ascii="Courier New" w:cs="Courier New" w:eastAsia="Courier New" w:hAnsi="Courier New"/>
          <w:sz w:val="14"/>
          <w:szCs w:val="14"/>
          <w:color w:val="auto"/>
        </w:rPr>
        <w:t>With the benefit of state-of-the-art information-gathering capabilities, "pre-sale" systems (systematic on-site visits to collect advance orders) and sophisticated market research resources, FEMSA Cerveza will be able to tailor the brand portfolios to each marketing channel. This entails a comprehensive analysis of the characteristics of the point of sale and its customers. Systematic management of brand portfolio per channel ensures the delivery of the optimal number of Store Keeping Units ("SKUs"), higher product rotation and greater efficiency of secondary distribution networks, and it enables the implementation of revenue management strategies. See "--Retail Distribution."</w:t>
      </w:r>
    </w:p>
    <w:p>
      <w:pPr>
        <w:spacing w:after="0" w:line="200" w:lineRule="exact"/>
        <w:rPr>
          <w:sz w:val="20"/>
          <w:szCs w:val="20"/>
          <w:color w:val="auto"/>
        </w:rPr>
      </w:pPr>
    </w:p>
    <w:p>
      <w:pPr>
        <w:sectPr>
          <w:pgSz w:w="11900" w:h="16838" w:orient="portrait"/>
          <w:cols w:equalWidth="0" w:num="2">
            <w:col w:w="1400" w:space="620"/>
            <w:col w:w="8219"/>
          </w:cols>
          <w:pgMar w:left="220" w:top="960" w:right="1440" w:bottom="1440" w:gutter="0" w:footer="0" w:header="0"/>
          <w:type w:val="continuous"/>
        </w:sectPr>
      </w:pP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Sharpening</w:t>
      </w:r>
    </w:p>
    <w:p>
      <w:pPr>
        <w:spacing w:after="0" w:line="237" w:lineRule="auto"/>
        <w:rPr>
          <w:sz w:val="20"/>
          <w:szCs w:val="20"/>
          <w:color w:val="auto"/>
        </w:rPr>
      </w:pPr>
      <w:r>
        <w:rPr>
          <w:rFonts w:ascii="Courier New" w:cs="Courier New" w:eastAsia="Courier New" w:hAnsi="Courier New"/>
          <w:sz w:val="15"/>
          <w:szCs w:val="15"/>
          <w:color w:val="auto"/>
        </w:rPr>
        <w:t>brand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communication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strategy</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right="3139"/>
        <w:spacing w:after="0" w:line="236" w:lineRule="auto"/>
        <w:rPr>
          <w:sz w:val="20"/>
          <w:szCs w:val="20"/>
          <w:color w:val="auto"/>
        </w:rPr>
      </w:pPr>
      <w:r>
        <w:rPr>
          <w:rFonts w:ascii="Courier New" w:cs="Courier New" w:eastAsia="Courier New" w:hAnsi="Courier New"/>
          <w:sz w:val="15"/>
          <w:szCs w:val="15"/>
          <w:color w:val="auto"/>
        </w:rPr>
        <w:t>FEMSA Cerveza's brand communication strategy fosters the development of brand personality, emphasizes key brand attributes such as freshness and coldness and seeks to maximize consumer preference for its products by ensuring consistency of marketing content in promotional communications and materials.</w:t>
      </w:r>
    </w:p>
    <w:p>
      <w:pPr>
        <w:spacing w:after="0" w:line="200" w:lineRule="exact"/>
        <w:rPr>
          <w:sz w:val="20"/>
          <w:szCs w:val="20"/>
          <w:color w:val="auto"/>
        </w:rPr>
      </w:pPr>
    </w:p>
    <w:p>
      <w:pPr>
        <w:sectPr>
          <w:pgSz w:w="11900" w:h="16838" w:orient="portrait"/>
          <w:cols w:equalWidth="0" w:num="2">
            <w:col w:w="1380" w:space="720"/>
            <w:col w:w="8139"/>
          </w:cols>
          <w:pgMar w:left="220" w:top="960" w:right="1440" w:bottom="1440" w:gutter="0" w:footer="0" w:header="0"/>
          <w:type w:val="continuous"/>
        </w:sectPr>
      </w:pPr>
    </w:p>
    <w:p>
      <w:pPr>
        <w:spacing w:after="0" w:line="1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960" w:right="1440" w:bottom="1440" w:gutter="0" w:footer="0" w:header="0"/>
          <w:type w:val="continuous"/>
        </w:sectPr>
      </w:pPr>
    </w:p>
    <w:bookmarkStart w:id="29" w:name="page30"/>
    <w:bookmarkEnd w:id="29"/>
    <w:p>
      <w:pPr>
        <w:ind w:left="360" w:hanging="350"/>
        <w:spacing w:after="0"/>
        <w:tabs>
          <w:tab w:leader="none" w:pos="36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Fostering stronger commercial relationships with retailers requires:</w:t>
      </w:r>
    </w:p>
    <w:p>
      <w:pPr>
        <w:sectPr>
          <w:pgSz w:w="11900" w:h="16838" w:orient="portrait"/>
          <w:cols w:equalWidth="0" w:num="1">
            <w:col w:w="10239"/>
          </w:cols>
          <w:pgMar w:left="220" w:top="1128" w:right="1440" w:bottom="1440" w:gutter="0" w:footer="0" w:header="0"/>
        </w:sectPr>
      </w:pPr>
    </w:p>
    <w:p>
      <w:pPr>
        <w:spacing w:after="0" w:line="178" w:lineRule="exact"/>
        <w:rPr>
          <w:sz w:val="20"/>
          <w:szCs w:val="20"/>
          <w:color w:val="auto"/>
        </w:rPr>
      </w:pPr>
    </w:p>
    <w:p>
      <w:pPr>
        <w:spacing w:after="0" w:line="256" w:lineRule="auto"/>
        <w:rPr>
          <w:sz w:val="20"/>
          <w:szCs w:val="20"/>
          <w:color w:val="auto"/>
        </w:rPr>
      </w:pPr>
      <w:r>
        <w:rPr>
          <w:rFonts w:ascii="Courier New" w:cs="Courier New" w:eastAsia="Courier New" w:hAnsi="Courier New"/>
          <w:sz w:val="14"/>
          <w:szCs w:val="14"/>
          <w:color w:val="auto"/>
        </w:rPr>
        <w:t>Establishing profitable and long-lasting relationships with retailers</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FEMSA Cerveza aims to develop mutually profitable partnerships with retailers to foster loyalty, retail productivity and growth. FEMSA Cerveza's ultimate commercial objective is not to sell beer to retailers, but to help the retailer sell beer to the consumer. Acknowledging the fact that its customer base (both on-premise and off-premise) has different consumption needs, FEMSA Cerveza implements client differentiation strategies that involve different commercial terms, promotional strategies, levels of refrigeration equipment and point of sale marketing materials depending on the characteristics of individual retailers.</w:t>
      </w:r>
    </w:p>
    <w:p>
      <w:pPr>
        <w:spacing w:after="0" w:line="165" w:lineRule="exact"/>
        <w:rPr>
          <w:sz w:val="20"/>
          <w:szCs w:val="20"/>
          <w:color w:val="auto"/>
        </w:rPr>
      </w:pPr>
    </w:p>
    <w:p>
      <w:pPr>
        <w:sectPr>
          <w:pgSz w:w="11900" w:h="16838" w:orient="portrait"/>
          <w:cols w:equalWidth="0" w:num="2">
            <w:col w:w="1240" w:space="520"/>
            <w:col w:w="8479"/>
          </w:cols>
          <w:pgMar w:left="220" w:top="1128"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Supporting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 process</w:t>
      </w:r>
    </w:p>
    <w:p>
      <w:pPr>
        <w:spacing w:after="0" w:line="237" w:lineRule="auto"/>
        <w:rPr>
          <w:sz w:val="20"/>
          <w:szCs w:val="20"/>
          <w:color w:val="auto"/>
        </w:rPr>
      </w:pPr>
      <w:r>
        <w:rPr>
          <w:rFonts w:ascii="Courier New" w:cs="Courier New" w:eastAsia="Courier New" w:hAnsi="Courier New"/>
          <w:sz w:val="15"/>
          <w:szCs w:val="15"/>
          <w:color w:val="auto"/>
        </w:rPr>
        <w:t>with a</w:t>
      </w:r>
    </w:p>
    <w:p>
      <w:pPr>
        <w:spacing w:after="0" w:line="238" w:lineRule="auto"/>
        <w:rPr>
          <w:sz w:val="20"/>
          <w:szCs w:val="20"/>
          <w:color w:val="auto"/>
        </w:rPr>
      </w:pPr>
      <w:r>
        <w:rPr>
          <w:rFonts w:ascii="Courier New" w:cs="Courier New" w:eastAsia="Courier New" w:hAnsi="Courier New"/>
          <w:sz w:val="15"/>
          <w:szCs w:val="15"/>
          <w:color w:val="auto"/>
        </w:rPr>
        <w:t>functional</w:t>
      </w:r>
    </w:p>
    <w:p>
      <w:pPr>
        <w:spacing w:after="0" w:line="237" w:lineRule="auto"/>
        <w:rPr>
          <w:sz w:val="20"/>
          <w:szCs w:val="20"/>
          <w:color w:val="auto"/>
        </w:rPr>
      </w:pPr>
      <w:r>
        <w:rPr>
          <w:rFonts w:ascii="Courier New" w:cs="Courier New" w:eastAsia="Courier New" w:hAnsi="Courier New"/>
          <w:sz w:val="15"/>
          <w:szCs w:val="15"/>
          <w:color w:val="auto"/>
        </w:rPr>
        <w:t>technology</w:t>
      </w:r>
    </w:p>
    <w:p>
      <w:pPr>
        <w:spacing w:after="0" w:line="238" w:lineRule="auto"/>
        <w:rPr>
          <w:sz w:val="20"/>
          <w:szCs w:val="20"/>
          <w:color w:val="auto"/>
        </w:rPr>
      </w:pPr>
      <w:r>
        <w:rPr>
          <w:rFonts w:ascii="Courier New" w:cs="Courier New" w:eastAsia="Courier New" w:hAnsi="Courier New"/>
          <w:sz w:val="15"/>
          <w:szCs w:val="15"/>
          <w:color w:val="auto"/>
        </w:rPr>
        <w:t>platform</w:t>
      </w:r>
    </w:p>
    <w:p>
      <w:pPr>
        <w:spacing w:after="0" w:line="20" w:lineRule="exact"/>
        <w:rPr>
          <w:sz w:val="20"/>
          <w:szCs w:val="20"/>
          <w:color w:val="auto"/>
        </w:rPr>
      </w:pPr>
      <w:r>
        <w:rPr>
          <w:sz w:val="20"/>
          <w:szCs w:val="20"/>
          <w:color w:val="auto"/>
        </w:rPr>
        <w:br w:type="column"/>
      </w:r>
    </w:p>
    <w:p>
      <w:pPr>
        <w:ind w:right="3239"/>
        <w:spacing w:after="0" w:line="236" w:lineRule="auto"/>
        <w:rPr>
          <w:sz w:val="20"/>
          <w:szCs w:val="20"/>
          <w:color w:val="auto"/>
        </w:rPr>
      </w:pPr>
      <w:r>
        <w:rPr>
          <w:rFonts w:ascii="Courier New" w:cs="Courier New" w:eastAsia="Courier New" w:hAnsi="Courier New"/>
          <w:sz w:val="15"/>
          <w:szCs w:val="15"/>
          <w:color w:val="auto"/>
        </w:rPr>
        <w:t>By providing our salespeople with more sophisticated tools to address the customer's needs, we are able to offer better service, improve the negotiation terms, extract better information from the marketplace and closely monitor coverage, pricing and competition. These are components of a higher value proposition for the beer retailer. See "--Retail Distribution."</w:t>
      </w:r>
    </w:p>
    <w:p>
      <w:pPr>
        <w:spacing w:after="0" w:line="200" w:lineRule="exact"/>
        <w:rPr>
          <w:sz w:val="20"/>
          <w:szCs w:val="20"/>
          <w:color w:val="auto"/>
        </w:rPr>
      </w:pPr>
    </w:p>
    <w:p>
      <w:pPr>
        <w:sectPr>
          <w:pgSz w:w="11900" w:h="16838" w:orient="portrait"/>
          <w:cols w:equalWidth="0" w:num="2">
            <w:col w:w="1240" w:space="520"/>
            <w:col w:w="8479"/>
          </w:cols>
          <w:pgMar w:left="220" w:top="1128" w:right="1440" w:bottom="1440" w:gutter="0" w:footer="0" w:header="0"/>
          <w:type w:val="continuous"/>
        </w:sectPr>
      </w:pPr>
    </w:p>
    <w:p>
      <w:pPr>
        <w:spacing w:after="0" w:line="144" w:lineRule="exact"/>
        <w:rPr>
          <w:sz w:val="20"/>
          <w:szCs w:val="20"/>
          <w:color w:val="auto"/>
        </w:rPr>
      </w:pPr>
    </w:p>
    <w:p>
      <w:pPr>
        <w:spacing w:after="0" w:line="256" w:lineRule="auto"/>
        <w:rPr>
          <w:sz w:val="20"/>
          <w:szCs w:val="20"/>
          <w:color w:val="auto"/>
        </w:rPr>
      </w:pPr>
      <w:r>
        <w:rPr>
          <w:rFonts w:ascii="Courier New" w:cs="Courier New" w:eastAsia="Courier New" w:hAnsi="Courier New"/>
          <w:sz w:val="14"/>
          <w:szCs w:val="14"/>
          <w:color w:val="auto"/>
        </w:rPr>
        <w:t>Implementing channel marketing strategies</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The effectiveness of channel marketing strategies hinges on successful execution at the point of sale. FEMSA Cerveza applies diverse merchandising techniques (including the optimal product mix, installation of special merchandising and refrigeration equipment, advice on product layout and visibility) with the view of co-opting the retailer as a partner. See "--Retail Distribution" and "--Marketing."</w:t>
      </w:r>
    </w:p>
    <w:p>
      <w:pPr>
        <w:spacing w:after="0" w:line="166" w:lineRule="exact"/>
        <w:rPr>
          <w:sz w:val="20"/>
          <w:szCs w:val="20"/>
          <w:color w:val="auto"/>
        </w:rPr>
      </w:pPr>
    </w:p>
    <w:p>
      <w:pPr>
        <w:sectPr>
          <w:pgSz w:w="11900" w:h="16838" w:orient="portrait"/>
          <w:cols w:equalWidth="0" w:num="2">
            <w:col w:w="1060" w:space="700"/>
            <w:col w:w="8479"/>
          </w:cols>
          <w:pgMar w:left="220" w:top="1128" w:right="1440" w:bottom="1440" w:gutter="0" w:footer="0" w:header="0"/>
          <w:type w:val="continuous"/>
        </w:sectPr>
      </w:pPr>
    </w:p>
    <w:p>
      <w:pPr>
        <w:spacing w:after="0" w:line="256" w:lineRule="auto"/>
        <w:rPr>
          <w:sz w:val="20"/>
          <w:szCs w:val="20"/>
          <w:color w:val="auto"/>
        </w:rPr>
      </w:pPr>
      <w:r>
        <w:rPr>
          <w:rFonts w:ascii="Courier New" w:cs="Courier New" w:eastAsia="Courier New" w:hAnsi="Courier New"/>
          <w:sz w:val="14"/>
          <w:szCs w:val="14"/>
          <w:color w:val="auto"/>
        </w:rPr>
        <w:t>Achieving balanced and profitable market coverage</w:t>
      </w:r>
    </w:p>
    <w:p>
      <w:pPr>
        <w:spacing w:after="0" w:line="20" w:lineRule="exact"/>
        <w:rPr>
          <w:sz w:val="20"/>
          <w:szCs w:val="20"/>
          <w:color w:val="auto"/>
        </w:rPr>
      </w:pPr>
      <w:r>
        <w:rPr>
          <w:sz w:val="20"/>
          <w:szCs w:val="20"/>
          <w:color w:val="auto"/>
        </w:rPr>
        <w:br w:type="column"/>
      </w:r>
    </w:p>
    <w:p>
      <w:pPr>
        <w:ind w:right="3239"/>
        <w:spacing w:after="0" w:line="236" w:lineRule="auto"/>
        <w:rPr>
          <w:sz w:val="20"/>
          <w:szCs w:val="20"/>
          <w:color w:val="auto"/>
        </w:rPr>
      </w:pPr>
      <w:r>
        <w:rPr>
          <w:rFonts w:ascii="Courier New" w:cs="Courier New" w:eastAsia="Courier New" w:hAnsi="Courier New"/>
          <w:sz w:val="15"/>
          <w:szCs w:val="15"/>
          <w:color w:val="auto"/>
        </w:rPr>
        <w:t>FEMSA Cerveza selects its retailers with the objective of having a balanced customer base by market, an adequate mix of on- and off-premise coverage (such as mom-and-pops, convenience stores, restaurants, etc.) and a balance of image versus volume coverage (for instance, an upscale restaurant that is mainly considered an image account versus a beer depot which is a volume account ). FEMSA Cerveza's management is committed to optimizing retail coverage and engaging solely in selective expansion with a priority on growing profitable volumes.</w:t>
      </w:r>
    </w:p>
    <w:p>
      <w:pPr>
        <w:spacing w:after="0" w:line="200" w:lineRule="exact"/>
        <w:rPr>
          <w:sz w:val="20"/>
          <w:szCs w:val="20"/>
          <w:color w:val="auto"/>
        </w:rPr>
      </w:pPr>
    </w:p>
    <w:p>
      <w:pPr>
        <w:sectPr>
          <w:pgSz w:w="11900" w:h="16838" w:orient="portrait"/>
          <w:cols w:equalWidth="0" w:num="2">
            <w:col w:w="1320" w:space="440"/>
            <w:col w:w="8479"/>
          </w:cols>
          <w:pgMar w:left="220" w:top="1128" w:right="1440" w:bottom="1440" w:gutter="0" w:footer="0" w:header="0"/>
          <w:type w:val="continuous"/>
        </w:sectPr>
      </w:pP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Implementing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complying fully</w:t>
      </w:r>
    </w:p>
    <w:p>
      <w:pPr>
        <w:spacing w:after="0" w:line="237" w:lineRule="auto"/>
        <w:rPr>
          <w:sz w:val="20"/>
          <w:szCs w:val="20"/>
          <w:color w:val="auto"/>
        </w:rPr>
      </w:pPr>
      <w:r>
        <w:rPr>
          <w:rFonts w:ascii="Courier New" w:cs="Courier New" w:eastAsia="Courier New" w:hAnsi="Courier New"/>
          <w:sz w:val="15"/>
          <w:szCs w:val="15"/>
          <w:color w:val="auto"/>
        </w:rPr>
        <w:t>with our</w:t>
      </w:r>
    </w:p>
    <w:p>
      <w:pPr>
        <w:spacing w:after="0" w:line="238" w:lineRule="auto"/>
        <w:rPr>
          <w:sz w:val="20"/>
          <w:szCs w:val="20"/>
          <w:color w:val="auto"/>
        </w:rPr>
      </w:pPr>
      <w:r>
        <w:rPr>
          <w:rFonts w:ascii="Courier New" w:cs="Courier New" w:eastAsia="Courier New" w:hAnsi="Courier New"/>
          <w:sz w:val="15"/>
          <w:szCs w:val="15"/>
          <w:color w:val="auto"/>
        </w:rPr>
        <w:t>commercial</w:t>
      </w:r>
    </w:p>
    <w:p>
      <w:pPr>
        <w:spacing w:after="0" w:line="237" w:lineRule="auto"/>
        <w:rPr>
          <w:sz w:val="20"/>
          <w:szCs w:val="20"/>
          <w:color w:val="auto"/>
        </w:rPr>
      </w:pPr>
      <w:r>
        <w:rPr>
          <w:rFonts w:ascii="Courier New" w:cs="Courier New" w:eastAsia="Courier New" w:hAnsi="Courier New"/>
          <w:sz w:val="15"/>
          <w:szCs w:val="15"/>
          <w:color w:val="auto"/>
        </w:rPr>
        <w:t>policies</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We have defined commercial policies governing the trade relationship with our retailers. These policies seek to improve the level of client service and establish benchmarks for effective inventory management, credit terms and frequency of visits.</w:t>
      </w:r>
    </w:p>
    <w:p>
      <w:pPr>
        <w:spacing w:after="0" w:line="200" w:lineRule="exact"/>
        <w:rPr>
          <w:sz w:val="20"/>
          <w:szCs w:val="20"/>
          <w:color w:val="auto"/>
        </w:rPr>
      </w:pPr>
    </w:p>
    <w:p>
      <w:pPr>
        <w:sectPr>
          <w:pgSz w:w="11900" w:h="16838" w:orient="portrait"/>
          <w:cols w:equalWidth="0" w:num="2">
            <w:col w:w="1400" w:space="360"/>
            <w:col w:w="8479"/>
          </w:cols>
          <w:pgMar w:left="220" w:top="1128" w:right="1440" w:bottom="1440" w:gutter="0" w:footer="0" w:header="0"/>
          <w:type w:val="continuous"/>
        </w:sect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1128" w:right="1440" w:bottom="1440" w:gutter="0" w:footer="0" w:header="0"/>
          <w:type w:val="continuous"/>
        </w:sectPr>
      </w:pPr>
    </w:p>
    <w:bookmarkStart w:id="30" w:name="page31"/>
    <w:bookmarkEnd w:id="30"/>
    <w:p>
      <w:pPr>
        <w:ind w:left="360" w:right="3679" w:hanging="350"/>
        <w:spacing w:after="0" w:line="234" w:lineRule="auto"/>
        <w:tabs>
          <w:tab w:leader="none" w:pos="36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Enhancing operational efficiency and improving system-wide productivity requires:</w:t>
      </w:r>
    </w:p>
    <w:p>
      <w:pPr>
        <w:sectPr>
          <w:pgSz w:w="11900" w:h="16838" w:orient="portrait"/>
          <w:cols w:equalWidth="0" w:num="1">
            <w:col w:w="10239"/>
          </w:cols>
          <w:pgMar w:left="220" w:top="1128" w:right="1440" w:bottom="1440" w:gutter="0" w:footer="0" w:header="0"/>
        </w:sectPr>
      </w:pPr>
    </w:p>
    <w:p>
      <w:pPr>
        <w:spacing w:after="0" w:line="173" w:lineRule="exact"/>
        <w:rPr>
          <w:sz w:val="20"/>
          <w:szCs w:val="20"/>
          <w:color w:val="auto"/>
        </w:rPr>
      </w:pPr>
    </w:p>
    <w:p>
      <w:pPr>
        <w:ind w:right="60"/>
        <w:spacing w:after="0" w:line="256" w:lineRule="auto"/>
        <w:rPr>
          <w:sz w:val="20"/>
          <w:szCs w:val="20"/>
          <w:color w:val="auto"/>
        </w:rPr>
      </w:pPr>
      <w:r>
        <w:rPr>
          <w:rFonts w:ascii="Courier New" w:cs="Courier New" w:eastAsia="Courier New" w:hAnsi="Courier New"/>
          <w:sz w:val="14"/>
          <w:szCs w:val="14"/>
          <w:color w:val="auto"/>
        </w:rPr>
        <w:t>Enhancing information technology platforms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We believe that implementing an Enterprise Resource Planning System or ERP to serve as an internal monitoring tool will improve operating efficiency. An ERP consists of software that integrates all departments and functions across a company onto a single computer system that can serve each department's particular needs in coordination with other stages of the value chain. We are currently implementing an ERP platform that should be fully operational by 2004.</w:t>
      </w:r>
    </w:p>
    <w:p>
      <w:pPr>
        <w:spacing w:after="0" w:line="166" w:lineRule="exact"/>
        <w:rPr>
          <w:sz w:val="20"/>
          <w:szCs w:val="20"/>
          <w:color w:val="auto"/>
        </w:rPr>
      </w:pPr>
    </w:p>
    <w:p>
      <w:pPr>
        <w:sectPr>
          <w:pgSz w:w="11900" w:h="16838" w:orient="portrait"/>
          <w:cols w:equalWidth="0" w:num="2">
            <w:col w:w="1040" w:space="720"/>
            <w:col w:w="8479"/>
          </w:cols>
          <w:pgMar w:left="220" w:top="1128" w:right="1440" w:bottom="1440" w:gutter="0" w:footer="0" w:header="0"/>
          <w:type w:val="continuous"/>
        </w:sectPr>
      </w:pPr>
    </w:p>
    <w:p>
      <w:pPr>
        <w:spacing w:after="0" w:line="258" w:lineRule="auto"/>
        <w:rPr>
          <w:sz w:val="20"/>
          <w:szCs w:val="20"/>
          <w:color w:val="auto"/>
        </w:rPr>
      </w:pPr>
      <w:r>
        <w:rPr>
          <w:rFonts w:ascii="Courier New" w:cs="Courier New" w:eastAsia="Courier New" w:hAnsi="Courier New"/>
          <w:sz w:val="14"/>
          <w:szCs w:val="14"/>
          <w:color w:val="auto"/>
        </w:rPr>
        <w:t>Instituting integrated planning processes</w:t>
      </w:r>
    </w:p>
    <w:p>
      <w:pPr>
        <w:spacing w:after="0" w:line="20" w:lineRule="exact"/>
        <w:rPr>
          <w:sz w:val="20"/>
          <w:szCs w:val="20"/>
          <w:color w:val="auto"/>
        </w:rPr>
      </w:pPr>
      <w:r>
        <w:rPr>
          <w:sz w:val="20"/>
          <w:szCs w:val="20"/>
          <w:color w:val="auto"/>
        </w:rPr>
        <w:br w:type="column"/>
      </w:r>
    </w:p>
    <w:p>
      <w:pPr>
        <w:ind w:right="3239"/>
        <w:spacing w:after="0" w:line="255" w:lineRule="auto"/>
        <w:rPr>
          <w:sz w:val="20"/>
          <w:szCs w:val="20"/>
          <w:color w:val="auto"/>
        </w:rPr>
      </w:pPr>
      <w:r>
        <w:rPr>
          <w:rFonts w:ascii="Courier New" w:cs="Courier New" w:eastAsia="Courier New" w:hAnsi="Courier New"/>
          <w:sz w:val="14"/>
          <w:szCs w:val="14"/>
          <w:color w:val="auto"/>
        </w:rPr>
        <w:t>Integrated planning processes are a critical component of the strategic plan of FEMSA Cerveza as they ensure that efforts throughout the organization are aligned towards achieving our objectives. Integrated planning processes result in the development of specific programs and effective resource allocation. In addition, FEMSA Cerveza tracks the performance of such programs, ensures that the organization remains within budget, determines concrete benchmarks for performance and provides constant learning-by-doing.</w:t>
      </w:r>
    </w:p>
    <w:p>
      <w:pPr>
        <w:spacing w:after="0" w:line="159" w:lineRule="exact"/>
        <w:rPr>
          <w:sz w:val="20"/>
          <w:szCs w:val="20"/>
          <w:color w:val="auto"/>
        </w:rPr>
      </w:pPr>
    </w:p>
    <w:p>
      <w:pPr>
        <w:sectPr>
          <w:pgSz w:w="11900" w:h="16838" w:orient="portrait"/>
          <w:cols w:equalWidth="0" w:num="2">
            <w:col w:w="1580" w:space="180"/>
            <w:col w:w="8479"/>
          </w:cols>
          <w:pgMar w:left="220" w:top="1128"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Optimizing the</w:t>
      </w:r>
    </w:p>
    <w:p>
      <w:pPr>
        <w:spacing w:after="0" w:line="237" w:lineRule="auto"/>
        <w:rPr>
          <w:sz w:val="20"/>
          <w:szCs w:val="20"/>
          <w:color w:val="auto"/>
        </w:rPr>
      </w:pPr>
      <w:r>
        <w:rPr>
          <w:rFonts w:ascii="Courier New" w:cs="Courier New" w:eastAsia="Courier New" w:hAnsi="Courier New"/>
          <w:sz w:val="15"/>
          <w:szCs w:val="15"/>
          <w:color w:val="auto"/>
        </w:rPr>
        <w:t>structure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distribution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system</w:t>
      </w:r>
    </w:p>
    <w:p>
      <w:pPr>
        <w:spacing w:after="0" w:line="20" w:lineRule="exact"/>
        <w:rPr>
          <w:sz w:val="20"/>
          <w:szCs w:val="20"/>
          <w:color w:val="auto"/>
        </w:rPr>
      </w:pPr>
      <w:r>
        <w:rPr>
          <w:sz w:val="20"/>
          <w:szCs w:val="20"/>
          <w:color w:val="auto"/>
        </w:rPr>
        <w:br w:type="column"/>
      </w:r>
    </w:p>
    <w:p>
      <w:pPr>
        <w:ind w:right="3399"/>
        <w:spacing w:after="0" w:line="256" w:lineRule="auto"/>
        <w:rPr>
          <w:sz w:val="20"/>
          <w:szCs w:val="20"/>
          <w:color w:val="auto"/>
        </w:rPr>
      </w:pPr>
      <w:r>
        <w:rPr>
          <w:rFonts w:ascii="Courier New" w:cs="Courier New" w:eastAsia="Courier New" w:hAnsi="Courier New"/>
          <w:sz w:val="14"/>
          <w:szCs w:val="14"/>
          <w:color w:val="auto"/>
        </w:rPr>
        <w:t>FEMSA Cerveza is fostering a well-aligned network of third party distributorships that operate under franchise agreements to complement its own network of warehouses and local sales organizations. See "--Primary Distribution."</w:t>
      </w:r>
    </w:p>
    <w:p>
      <w:pPr>
        <w:spacing w:after="0" w:line="164" w:lineRule="exact"/>
        <w:rPr>
          <w:sz w:val="20"/>
          <w:szCs w:val="20"/>
          <w:color w:val="auto"/>
        </w:rPr>
      </w:pPr>
    </w:p>
    <w:p>
      <w:pPr>
        <w:sectPr>
          <w:pgSz w:w="11900" w:h="16838" w:orient="portrait"/>
          <w:cols w:equalWidth="0" w:num="2">
            <w:col w:w="1400" w:space="360"/>
            <w:col w:w="8479"/>
          </w:cols>
          <w:pgMar w:left="220" w:top="1128" w:right="1440" w:bottom="1440" w:gutter="0" w:footer="0" w:header="0"/>
          <w:type w:val="continuous"/>
        </w:sectPr>
      </w:pPr>
    </w:p>
    <w:p>
      <w:pPr>
        <w:spacing w:after="0" w:line="258" w:lineRule="auto"/>
        <w:rPr>
          <w:sz w:val="20"/>
          <w:szCs w:val="20"/>
          <w:color w:val="auto"/>
        </w:rPr>
      </w:pPr>
      <w:r>
        <w:rPr>
          <w:rFonts w:ascii="Courier New" w:cs="Courier New" w:eastAsia="Courier New" w:hAnsi="Courier New"/>
          <w:sz w:val="14"/>
          <w:szCs w:val="14"/>
          <w:color w:val="auto"/>
        </w:rPr>
        <w:t>Engaging in marginal capacity investments</w:t>
      </w:r>
    </w:p>
    <w:p>
      <w:pPr>
        <w:spacing w:after="0" w:line="20" w:lineRule="exact"/>
        <w:rPr>
          <w:sz w:val="20"/>
          <w:szCs w:val="20"/>
          <w:color w:val="auto"/>
        </w:rPr>
      </w:pPr>
      <w:r>
        <w:rPr>
          <w:sz w:val="20"/>
          <w:szCs w:val="20"/>
          <w:color w:val="auto"/>
        </w:rPr>
        <w:br w:type="column"/>
      </w:r>
    </w:p>
    <w:p>
      <w:pPr>
        <w:ind w:right="3679"/>
        <w:spacing w:after="0" w:line="256" w:lineRule="auto"/>
        <w:rPr>
          <w:sz w:val="20"/>
          <w:szCs w:val="20"/>
          <w:color w:val="auto"/>
        </w:rPr>
      </w:pPr>
      <w:r>
        <w:rPr>
          <w:rFonts w:ascii="Courier New" w:cs="Courier New" w:eastAsia="Courier New" w:hAnsi="Courier New"/>
          <w:sz w:val="14"/>
          <w:szCs w:val="14"/>
          <w:color w:val="auto"/>
        </w:rPr>
        <w:t>In recent years, FEMSA Cerveza has expanded production capacity through additional investments in existing facilities. Under current plans, FEMSA Cerveza will continue to expand capacity by investing in existing facilities through 2005. See "--Plants and Facilities."</w:t>
      </w:r>
    </w:p>
    <w:p>
      <w:pPr>
        <w:spacing w:after="0" w:line="163" w:lineRule="exact"/>
        <w:rPr>
          <w:sz w:val="20"/>
          <w:szCs w:val="20"/>
          <w:color w:val="auto"/>
        </w:rPr>
      </w:pPr>
    </w:p>
    <w:p>
      <w:pPr>
        <w:sectPr>
          <w:pgSz w:w="11900" w:h="16838" w:orient="portrait"/>
          <w:cols w:equalWidth="0" w:num="2">
            <w:col w:w="1500" w:space="260"/>
            <w:col w:w="8479"/>
          </w:cols>
          <w:pgMar w:left="220" w:top="1128" w:right="1440" w:bottom="1440" w:gutter="0" w:footer="0" w:header="0"/>
          <w:type w:val="continuous"/>
        </w:sectPr>
      </w:pPr>
    </w:p>
    <w:p>
      <w:pPr>
        <w:spacing w:after="0" w:line="261" w:lineRule="auto"/>
        <w:rPr>
          <w:sz w:val="20"/>
          <w:szCs w:val="20"/>
          <w:color w:val="auto"/>
        </w:rPr>
      </w:pPr>
      <w:r>
        <w:rPr>
          <w:rFonts w:ascii="Courier New" w:cs="Courier New" w:eastAsia="Courier New" w:hAnsi="Courier New"/>
          <w:sz w:val="14"/>
          <w:szCs w:val="14"/>
          <w:color w:val="auto"/>
        </w:rPr>
        <w:t>Improving internal logistics</w:t>
      </w:r>
    </w:p>
    <w:p>
      <w:pPr>
        <w:spacing w:after="0" w:line="20" w:lineRule="exact"/>
        <w:rPr>
          <w:sz w:val="20"/>
          <w:szCs w:val="20"/>
          <w:color w:val="auto"/>
        </w:rPr>
      </w:pPr>
      <w:r>
        <w:rPr>
          <w:sz w:val="20"/>
          <w:szCs w:val="20"/>
          <w:color w:val="auto"/>
        </w:rPr>
        <w:br w:type="column"/>
      </w:r>
    </w:p>
    <w:p>
      <w:pPr>
        <w:ind w:right="3239"/>
        <w:spacing w:after="0" w:line="236" w:lineRule="auto"/>
        <w:rPr>
          <w:sz w:val="20"/>
          <w:szCs w:val="20"/>
          <w:color w:val="auto"/>
        </w:rPr>
      </w:pPr>
      <w:r>
        <w:rPr>
          <w:rFonts w:ascii="Courier New" w:cs="Courier New" w:eastAsia="Courier New" w:hAnsi="Courier New"/>
          <w:sz w:val="15"/>
          <w:szCs w:val="15"/>
          <w:color w:val="auto"/>
        </w:rPr>
        <w:t>FEMSA Cerveza continues to implement information technology platforms to improve coordination between manufacturing and distribution in order to optimize production cycles, improve capacity utilization and enhance system-wide inventory management.</w:t>
      </w:r>
    </w:p>
    <w:p>
      <w:pPr>
        <w:spacing w:after="0" w:line="174" w:lineRule="exact"/>
        <w:rPr>
          <w:sz w:val="20"/>
          <w:szCs w:val="20"/>
          <w:color w:val="auto"/>
        </w:rPr>
      </w:pPr>
    </w:p>
    <w:p>
      <w:pPr>
        <w:sectPr>
          <w:pgSz w:w="11900" w:h="16838" w:orient="portrait"/>
          <w:cols w:equalWidth="0" w:num="2">
            <w:col w:w="1580" w:space="180"/>
            <w:col w:w="8479"/>
          </w:cols>
          <w:pgMar w:left="220" w:top="1128" w:right="1440" w:bottom="1440" w:gutter="0" w:footer="0" w:header="0"/>
          <w:type w:val="continuous"/>
        </w:sectPr>
      </w:pPr>
    </w:p>
    <w:p>
      <w:pPr>
        <w:spacing w:after="0" w:line="258" w:lineRule="auto"/>
        <w:rPr>
          <w:sz w:val="20"/>
          <w:szCs w:val="20"/>
          <w:color w:val="auto"/>
        </w:rPr>
      </w:pPr>
      <w:r>
        <w:rPr>
          <w:rFonts w:ascii="Courier New" w:cs="Courier New" w:eastAsia="Courier New" w:hAnsi="Courier New"/>
          <w:sz w:val="14"/>
          <w:szCs w:val="14"/>
          <w:color w:val="auto"/>
        </w:rPr>
        <w:t>Leveraging relationships with affiliates</w:t>
      </w:r>
    </w:p>
    <w:p>
      <w:pPr>
        <w:spacing w:after="0" w:line="20" w:lineRule="exact"/>
        <w:rPr>
          <w:sz w:val="20"/>
          <w:szCs w:val="20"/>
          <w:color w:val="auto"/>
        </w:rPr>
      </w:pPr>
      <w:r>
        <w:rPr>
          <w:sz w:val="20"/>
          <w:szCs w:val="20"/>
          <w:color w:val="auto"/>
        </w:rPr>
        <w:br w:type="column"/>
      </w:r>
    </w:p>
    <w:p>
      <w:pPr>
        <w:ind w:right="3239"/>
        <w:spacing w:after="0" w:line="235" w:lineRule="auto"/>
        <w:rPr>
          <w:sz w:val="20"/>
          <w:szCs w:val="20"/>
          <w:color w:val="auto"/>
        </w:rPr>
      </w:pPr>
      <w:r>
        <w:rPr>
          <w:rFonts w:ascii="Courier New" w:cs="Courier New" w:eastAsia="Courier New" w:hAnsi="Courier New"/>
          <w:sz w:val="15"/>
          <w:szCs w:val="15"/>
          <w:color w:val="auto"/>
        </w:rPr>
        <w:t>We continuously promote an open and innovative spirit in our business relationships with FEMSA Comercio and FEMSA Empaques.</w:t>
      </w:r>
    </w:p>
    <w:p>
      <w:pPr>
        <w:spacing w:after="0" w:line="173" w:lineRule="exact"/>
        <w:rPr>
          <w:sz w:val="20"/>
          <w:szCs w:val="20"/>
          <w:color w:val="auto"/>
        </w:rPr>
      </w:pPr>
    </w:p>
    <w:p>
      <w:pPr>
        <w:sectPr>
          <w:pgSz w:w="11900" w:h="16838" w:orient="portrait"/>
          <w:cols w:equalWidth="0" w:num="2">
            <w:col w:w="1320" w:space="440"/>
            <w:col w:w="8479"/>
          </w:cols>
          <w:pgMar w:left="220" w:top="1128" w:right="1440" w:bottom="1440" w:gutter="0" w:footer="0" w:header="0"/>
          <w:type w:val="continuous"/>
        </w:sectPr>
      </w:pPr>
    </w:p>
    <w:p>
      <w:pPr>
        <w:spacing w:after="0" w:line="256" w:lineRule="auto"/>
        <w:rPr>
          <w:sz w:val="20"/>
          <w:szCs w:val="20"/>
          <w:color w:val="auto"/>
        </w:rPr>
      </w:pPr>
      <w:r>
        <w:rPr>
          <w:rFonts w:ascii="Courier New" w:cs="Courier New" w:eastAsia="Courier New" w:hAnsi="Courier New"/>
          <w:sz w:val="14"/>
          <w:szCs w:val="14"/>
          <w:color w:val="auto"/>
        </w:rPr>
        <w:t>Maintaining the highest standards of quality in production facilities</w:t>
      </w:r>
    </w:p>
    <w:p>
      <w:pPr>
        <w:spacing w:after="0" w:line="20" w:lineRule="exact"/>
        <w:rPr>
          <w:sz w:val="20"/>
          <w:szCs w:val="20"/>
          <w:color w:val="auto"/>
        </w:rPr>
      </w:pPr>
      <w:r>
        <w:rPr>
          <w:sz w:val="20"/>
          <w:szCs w:val="20"/>
          <w:color w:val="auto"/>
        </w:rPr>
        <w:br w:type="column"/>
      </w:r>
    </w:p>
    <w:p>
      <w:pPr>
        <w:ind w:right="3239"/>
        <w:spacing w:after="0" w:line="236" w:lineRule="auto"/>
        <w:rPr>
          <w:sz w:val="20"/>
          <w:szCs w:val="20"/>
          <w:color w:val="auto"/>
        </w:rPr>
      </w:pPr>
      <w:r>
        <w:rPr>
          <w:rFonts w:ascii="Courier New" w:cs="Courier New" w:eastAsia="Courier New" w:hAnsi="Courier New"/>
          <w:sz w:val="15"/>
          <w:szCs w:val="15"/>
          <w:color w:val="auto"/>
        </w:rPr>
        <w:t>FEMSA Cerveza is committed to maintaining world-class brewing facilities using sophisticated technological production standards while maximizing its return on investment. The International Standards Organization ("ISO") has certified all of FEMSA Cerveza's breweries.</w:t>
      </w:r>
    </w:p>
    <w:p>
      <w:pPr>
        <w:spacing w:after="0" w:line="173" w:lineRule="exact"/>
        <w:rPr>
          <w:sz w:val="20"/>
          <w:szCs w:val="20"/>
          <w:color w:val="auto"/>
        </w:rPr>
      </w:pPr>
    </w:p>
    <w:p>
      <w:pPr>
        <w:sectPr>
          <w:pgSz w:w="11900" w:h="16838" w:orient="portrait"/>
          <w:cols w:equalWidth="0" w:num="2">
            <w:col w:w="1500" w:space="260"/>
            <w:col w:w="8479"/>
          </w:cols>
          <w:pgMar w:left="220" w:top="1128" w:right="1440" w:bottom="1440" w:gutter="0" w:footer="0" w:header="0"/>
          <w:type w:val="continuous"/>
        </w:sectPr>
      </w:pPr>
    </w:p>
    <w:p>
      <w:pPr>
        <w:ind w:left="360" w:hanging="350"/>
        <w:spacing w:after="0"/>
        <w:tabs>
          <w:tab w:leader="none" w:pos="36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Increasing market penetration in the Southwestern United States involves:</w:t>
      </w:r>
    </w:p>
    <w:p>
      <w:pPr>
        <w:sectPr>
          <w:pgSz w:w="11900" w:h="16838" w:orient="portrait"/>
          <w:cols w:equalWidth="0" w:num="1">
            <w:col w:w="10239"/>
          </w:cols>
          <w:pgMar w:left="220" w:top="1128" w:right="1440" w:bottom="1440" w:gutter="0" w:footer="0" w:header="0"/>
          <w:type w:val="continuous"/>
        </w:sectPr>
      </w:pPr>
    </w:p>
    <w:p>
      <w:pPr>
        <w:spacing w:after="0" w:line="178" w:lineRule="exact"/>
        <w:rPr>
          <w:sz w:val="20"/>
          <w:szCs w:val="20"/>
          <w:color w:val="auto"/>
        </w:rPr>
      </w:pPr>
    </w:p>
    <w:p>
      <w:pPr>
        <w:spacing w:after="0" w:line="256" w:lineRule="auto"/>
        <w:rPr>
          <w:sz w:val="20"/>
          <w:szCs w:val="20"/>
          <w:color w:val="auto"/>
        </w:rPr>
      </w:pPr>
      <w:r>
        <w:rPr>
          <w:rFonts w:ascii="Courier New" w:cs="Courier New" w:eastAsia="Courier New" w:hAnsi="Courier New"/>
          <w:sz w:val="14"/>
          <w:szCs w:val="14"/>
          <w:color w:val="auto"/>
        </w:rPr>
        <w:t>Capitalizing on the opportunities presented by a growing Sun Belt market</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FEMSA Cerveza is committed to increasing its market share in California, Arizona, New Mexico and Texas (the "Sun Belt States"), which have a significant Hispanic population with fast growing income per capita.</w:t>
      </w:r>
    </w:p>
    <w:p>
      <w:pPr>
        <w:spacing w:after="0" w:line="380" w:lineRule="exact"/>
        <w:rPr>
          <w:sz w:val="20"/>
          <w:szCs w:val="20"/>
          <w:color w:val="auto"/>
        </w:rPr>
      </w:pPr>
    </w:p>
    <w:p>
      <w:pPr>
        <w:sectPr>
          <w:pgSz w:w="11900" w:h="16838" w:orient="portrait"/>
          <w:cols w:equalWidth="0" w:num="2">
            <w:col w:w="1500" w:space="260"/>
            <w:col w:w="8479"/>
          </w:cols>
          <w:pgMar w:left="220" w:top="1128" w:right="1440" w:bottom="1440" w:gutter="0" w:footer="0" w:header="0"/>
          <w:type w:val="continuous"/>
        </w:sectPr>
      </w:pPr>
    </w:p>
    <w:p>
      <w:pPr>
        <w:spacing w:after="0" w:line="1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1128" w:right="1440" w:bottom="1440" w:gutter="0" w:footer="0" w:header="0"/>
          <w:type w:val="continuous"/>
        </w:sectPr>
      </w:pPr>
    </w:p>
    <w:bookmarkStart w:id="31" w:name="page32"/>
    <w:bookmarkEnd w:id="31"/>
    <w:tbl>
      <w:tblPr>
        <w:tblLayout w:type="fixed"/>
        <w:tblInd w:w="0" w:type="dxa"/>
        <w:tblCellMar>
          <w:top w:w="0" w:type="dxa"/>
          <w:left w:w="0" w:type="dxa"/>
          <w:bottom w:w="0" w:type="dxa"/>
          <w:right w:w="0" w:type="dxa"/>
        </w:tblCellMar>
      </w:tblPr>
      <w:tr>
        <w:trPr>
          <w:trHeight w:val="170"/>
        </w:trPr>
        <w:tc>
          <w:tcPr>
            <w:tcW w:w="1620" w:type="dxa"/>
            <w:vAlign w:val="bottom"/>
          </w:tcPr>
          <w:p>
            <w:pPr>
              <w:spacing w:after="0"/>
              <w:rPr>
                <w:sz w:val="20"/>
                <w:szCs w:val="20"/>
                <w:color w:val="auto"/>
              </w:rPr>
            </w:pPr>
            <w:r>
              <w:rPr>
                <w:rFonts w:ascii="Courier New" w:cs="Courier New" w:eastAsia="Courier New" w:hAnsi="Courier New"/>
                <w:sz w:val="15"/>
                <w:szCs w:val="15"/>
                <w:color w:val="auto"/>
              </w:rPr>
              <w:t>Leveraging on the</w:t>
            </w:r>
          </w:p>
        </w:tc>
        <w:tc>
          <w:tcPr>
            <w:tcW w:w="2280" w:type="dxa"/>
            <w:vAlign w:val="bottom"/>
          </w:tcPr>
          <w:p>
            <w:pPr>
              <w:ind w:left="140"/>
              <w:spacing w:after="0"/>
              <w:rPr>
                <w:sz w:val="20"/>
                <w:szCs w:val="20"/>
                <w:color w:val="auto"/>
              </w:rPr>
            </w:pPr>
            <w:r>
              <w:rPr>
                <w:rFonts w:ascii="Courier New" w:cs="Courier New" w:eastAsia="Courier New" w:hAnsi="Courier New"/>
                <w:sz w:val="15"/>
                <w:szCs w:val="15"/>
                <w:color w:val="auto"/>
                <w:w w:val="98"/>
              </w:rPr>
              <w:t>The proximity of the Sun</w:t>
            </w:r>
          </w:p>
        </w:tc>
        <w:tc>
          <w:tcPr>
            <w:tcW w:w="3100" w:type="dxa"/>
            <w:vAlign w:val="bottom"/>
          </w:tcPr>
          <w:p>
            <w:pPr>
              <w:ind w:left="40"/>
              <w:spacing w:after="0"/>
              <w:rPr>
                <w:sz w:val="20"/>
                <w:szCs w:val="20"/>
                <w:color w:val="auto"/>
              </w:rPr>
            </w:pPr>
            <w:r>
              <w:rPr>
                <w:rFonts w:ascii="Courier New" w:cs="Courier New" w:eastAsia="Courier New" w:hAnsi="Courier New"/>
                <w:sz w:val="15"/>
                <w:szCs w:val="15"/>
                <w:color w:val="auto"/>
              </w:rPr>
              <w:t>Belt States to FEMSA Cerveza's</w:t>
            </w:r>
          </w:p>
        </w:tc>
      </w:tr>
      <w:tr>
        <w:trPr>
          <w:trHeight w:val="168"/>
        </w:trPr>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rPr>
              <w:t>proximity with</w:t>
            </w: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9"/>
              </w:rPr>
              <w:t>strong-hold markets enables us to leverage on the cultural</w:t>
            </w:r>
          </w:p>
        </w:tc>
      </w:tr>
      <w:tr>
        <w:trPr>
          <w:trHeight w:val="168"/>
        </w:trPr>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rPr>
              <w:t>northern Mexico</w:t>
            </w:r>
          </w:p>
        </w:tc>
        <w:tc>
          <w:tcPr>
            <w:tcW w:w="22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8"/>
              </w:rPr>
              <w:t>similarities between the</w:t>
            </w:r>
          </w:p>
        </w:tc>
        <w:tc>
          <w:tcPr>
            <w:tcW w:w="3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southwestern United States and</w:t>
            </w:r>
          </w:p>
        </w:tc>
      </w:tr>
      <w:tr>
        <w:trPr>
          <w:trHeight w:val="168"/>
        </w:trPr>
        <w:tc>
          <w:tcPr>
            <w:tcW w:w="162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9"/>
              </w:rPr>
              <w:t>northern Mexico. FEMSA Cerveza, in conjunction with Labatt</w:t>
            </w:r>
          </w:p>
        </w:tc>
      </w:tr>
      <w:tr>
        <w:trPr>
          <w:trHeight w:val="168"/>
        </w:trPr>
        <w:tc>
          <w:tcPr>
            <w:tcW w:w="1620" w:type="dxa"/>
            <w:vAlign w:val="bottom"/>
          </w:tcPr>
          <w:p>
            <w:pPr>
              <w:spacing w:after="0"/>
              <w:rPr>
                <w:sz w:val="14"/>
                <w:szCs w:val="14"/>
                <w:color w:val="auto"/>
              </w:rPr>
            </w:pPr>
          </w:p>
        </w:tc>
        <w:tc>
          <w:tcPr>
            <w:tcW w:w="22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8"/>
              </w:rPr>
              <w:t>USA, has advanced in the</w:t>
            </w:r>
          </w:p>
        </w:tc>
        <w:tc>
          <w:tcPr>
            <w:tcW w:w="3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process of harmonizing brand</w:t>
            </w:r>
          </w:p>
        </w:tc>
      </w:tr>
      <w:tr>
        <w:trPr>
          <w:trHeight w:val="168"/>
        </w:trPr>
        <w:tc>
          <w:tcPr>
            <w:tcW w:w="1620" w:type="dxa"/>
            <w:vAlign w:val="bottom"/>
          </w:tcPr>
          <w:p>
            <w:pPr>
              <w:spacing w:after="0"/>
              <w:rPr>
                <w:sz w:val="14"/>
                <w:szCs w:val="14"/>
                <w:color w:val="auto"/>
              </w:rPr>
            </w:pPr>
          </w:p>
        </w:tc>
        <w:tc>
          <w:tcPr>
            <w:tcW w:w="22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8"/>
              </w:rPr>
              <w:t>communication strategies</w:t>
            </w:r>
          </w:p>
        </w:tc>
        <w:tc>
          <w:tcPr>
            <w:tcW w:w="3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in the United States and in Mexico</w:t>
            </w:r>
          </w:p>
        </w:tc>
      </w:tr>
      <w:tr>
        <w:trPr>
          <w:trHeight w:val="168"/>
        </w:trPr>
        <w:tc>
          <w:tcPr>
            <w:tcW w:w="162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6"/>
              </w:rPr>
              <w:t>although recent developments have led to certain differences</w:t>
            </w:r>
          </w:p>
        </w:tc>
      </w:tr>
      <w:tr>
        <w:trPr>
          <w:trHeight w:val="168"/>
        </w:trPr>
        <w:tc>
          <w:tcPr>
            <w:tcW w:w="162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with Labatt USA's management. See "Item 8. Financial</w:t>
            </w:r>
          </w:p>
        </w:tc>
      </w:tr>
      <w:tr>
        <w:trPr>
          <w:trHeight w:val="168"/>
        </w:trPr>
        <w:tc>
          <w:tcPr>
            <w:tcW w:w="162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Information--Legal Proceedings--Labatt USA Litigation."</w:t>
            </w:r>
          </w:p>
        </w:tc>
      </w:tr>
    </w:tbl>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Product Overview</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FEMSA Cerveza currently operates six breweries in Mexico with an aggregate annual installed capacity of approximately 32.246 million hectoliters. In 2002, FEMSA Cerveza sold an aggregate volume of 23.811 million hectoliters, of which 21.856 million hectoliters were sold in the Mexican market and 1.955 million hectoliters were sold abroad. FEMSA Cerveza produces and distributes 14 brands of beer in up to nine different presentations, resulting in a portfolio of 51 different product offerings. The most important brands in FEMSA Cerveza's portfolio include: Tecate, Carta Blanca, Sol, Superior, Indio and XX Lager. These six brands, all of which are distributed throughout Mexico, accounted for approximately 99% of FEMSA Cerveza's domestic sales volume in 2002.</w:t>
      </w:r>
    </w:p>
    <w:p>
      <w:pPr>
        <w:spacing w:after="0" w:line="1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Mexican Beer Market</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Mexican beer market is the seventh-largest beer market in the world in terms of industry sales volume and is characterized by (i) a duopoly in domestic beer production; (ii) regional market share differences; (iii) the prevalence of government licensing regulation; (iv) favorable demographics in the beer drinking population; and (v) macroeconomic factors affecting the level of beer consumption.</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rPr>
              <w:t>Duopoly in</w:t>
            </w:r>
          </w:p>
        </w:tc>
        <w:tc>
          <w:tcPr>
            <w:tcW w:w="54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8"/>
              </w:rPr>
              <w:t>Since 1985, Mexico has effectively had only two independent</w:t>
            </w: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domestic beer</w:t>
            </w:r>
          </w:p>
        </w:tc>
        <w:tc>
          <w:tcPr>
            <w:tcW w:w="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domestic</w:t>
            </w:r>
          </w:p>
        </w:tc>
        <w:tc>
          <w:tcPr>
            <w:tcW w:w="45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beer producers, FEMSA Cerveza and Grupo Modelo.</w:t>
            </w: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production</w:t>
            </w:r>
          </w:p>
        </w:tc>
        <w:tc>
          <w:tcPr>
            <w:tcW w:w="54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Grupo Modelo, a publicly traded company based in Mexico</w:t>
            </w:r>
          </w:p>
        </w:tc>
      </w:tr>
      <w:tr>
        <w:trPr>
          <w:trHeight w:val="168"/>
        </w:trPr>
        <w:tc>
          <w:tcPr>
            <w:tcW w:w="1320" w:type="dxa"/>
            <w:vAlign w:val="bottom"/>
          </w:tcPr>
          <w:p>
            <w:pPr>
              <w:spacing w:after="0"/>
              <w:rPr>
                <w:sz w:val="14"/>
                <w:szCs w:val="14"/>
                <w:color w:val="auto"/>
              </w:rPr>
            </w:pPr>
          </w:p>
        </w:tc>
        <w:tc>
          <w:tcPr>
            <w:tcW w:w="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City, is</w:t>
            </w:r>
          </w:p>
        </w:tc>
        <w:tc>
          <w:tcPr>
            <w:tcW w:w="45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the holding company of 76.8% of Diblo, S.A. de C.V.</w:t>
            </w:r>
          </w:p>
        </w:tc>
      </w:tr>
      <w:tr>
        <w:trPr>
          <w:trHeight w:val="168"/>
        </w:trPr>
        <w:tc>
          <w:tcPr>
            <w:tcW w:w="1320" w:type="dxa"/>
            <w:vAlign w:val="bottom"/>
          </w:tcPr>
          <w:p>
            <w:pPr>
              <w:spacing w:after="0"/>
              <w:rPr>
                <w:sz w:val="14"/>
                <w:szCs w:val="14"/>
                <w:color w:val="auto"/>
              </w:rPr>
            </w:pPr>
          </w:p>
        </w:tc>
        <w:tc>
          <w:tcPr>
            <w:tcW w:w="54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("Diblo"), which operates the brewing and packaging</w:t>
            </w:r>
          </w:p>
        </w:tc>
      </w:tr>
      <w:tr>
        <w:trPr>
          <w:trHeight w:val="168"/>
        </w:trPr>
        <w:tc>
          <w:tcPr>
            <w:tcW w:w="1320" w:type="dxa"/>
            <w:vAlign w:val="bottom"/>
          </w:tcPr>
          <w:p>
            <w:pPr>
              <w:spacing w:after="0"/>
              <w:rPr>
                <w:sz w:val="14"/>
                <w:szCs w:val="14"/>
                <w:color w:val="auto"/>
              </w:rPr>
            </w:pPr>
          </w:p>
        </w:tc>
        <w:tc>
          <w:tcPr>
            <w:tcW w:w="54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subsidiaries of Grupo Modelo. Grupo Modelo's principal beer</w:t>
            </w:r>
          </w:p>
        </w:tc>
      </w:tr>
      <w:tr>
        <w:trPr>
          <w:trHeight w:val="168"/>
        </w:trPr>
        <w:tc>
          <w:tcPr>
            <w:tcW w:w="1320" w:type="dxa"/>
            <w:vAlign w:val="bottom"/>
          </w:tcPr>
          <w:p>
            <w:pPr>
              <w:spacing w:after="0"/>
              <w:rPr>
                <w:sz w:val="14"/>
                <w:szCs w:val="14"/>
                <w:color w:val="auto"/>
              </w:rPr>
            </w:pPr>
          </w:p>
        </w:tc>
        <w:tc>
          <w:tcPr>
            <w:tcW w:w="54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brands are Corona, Modelo, Victoria and Pacifico. Grupo</w:t>
            </w:r>
          </w:p>
        </w:tc>
      </w:tr>
      <w:tr>
        <w:trPr>
          <w:trHeight w:val="168"/>
        </w:trPr>
        <w:tc>
          <w:tcPr>
            <w:tcW w:w="1320" w:type="dxa"/>
            <w:vAlign w:val="bottom"/>
          </w:tcPr>
          <w:p>
            <w:pPr>
              <w:spacing w:after="0"/>
              <w:rPr>
                <w:sz w:val="14"/>
                <w:szCs w:val="14"/>
                <w:color w:val="auto"/>
              </w:rPr>
            </w:pPr>
          </w:p>
        </w:tc>
        <w:tc>
          <w:tcPr>
            <w:tcW w:w="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Modelo's</w:t>
            </w:r>
          </w:p>
        </w:tc>
        <w:tc>
          <w:tcPr>
            <w:tcW w:w="45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Corona brand currently commands the largest single</w:t>
            </w:r>
          </w:p>
        </w:tc>
      </w:tr>
      <w:tr>
        <w:trPr>
          <w:trHeight w:val="168"/>
        </w:trPr>
        <w:tc>
          <w:tcPr>
            <w:tcW w:w="1320" w:type="dxa"/>
            <w:vAlign w:val="bottom"/>
          </w:tcPr>
          <w:p>
            <w:pPr>
              <w:spacing w:after="0"/>
              <w:rPr>
                <w:sz w:val="14"/>
                <w:szCs w:val="14"/>
                <w:color w:val="auto"/>
              </w:rPr>
            </w:pPr>
          </w:p>
        </w:tc>
        <w:tc>
          <w:tcPr>
            <w:tcW w:w="54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brand market share in Mexico. This brand is distributed</w:t>
            </w:r>
          </w:p>
        </w:tc>
      </w:tr>
      <w:tr>
        <w:trPr>
          <w:trHeight w:val="168"/>
        </w:trPr>
        <w:tc>
          <w:tcPr>
            <w:tcW w:w="1320" w:type="dxa"/>
            <w:vAlign w:val="bottom"/>
          </w:tcPr>
          <w:p>
            <w:pPr>
              <w:spacing w:after="0"/>
              <w:rPr>
                <w:sz w:val="14"/>
                <w:szCs w:val="14"/>
                <w:color w:val="auto"/>
              </w:rPr>
            </w:pPr>
          </w:p>
        </w:tc>
        <w:tc>
          <w:tcPr>
            <w:tcW w:w="54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nationally, while Victoria is distributed primarily in</w:t>
            </w:r>
          </w:p>
        </w:tc>
      </w:tr>
      <w:tr>
        <w:trPr>
          <w:trHeight w:val="168"/>
        </w:trPr>
        <w:tc>
          <w:tcPr>
            <w:tcW w:w="1320" w:type="dxa"/>
            <w:vAlign w:val="bottom"/>
          </w:tcPr>
          <w:p>
            <w:pPr>
              <w:spacing w:after="0"/>
              <w:rPr>
                <w:sz w:val="14"/>
                <w:szCs w:val="14"/>
                <w:color w:val="auto"/>
              </w:rPr>
            </w:pPr>
          </w:p>
        </w:tc>
        <w:tc>
          <w:tcPr>
            <w:tcW w:w="54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9"/>
              </w:rPr>
              <w:t>Mexico City and the surrounding areas and Pacifico is sold</w:t>
            </w:r>
          </w:p>
        </w:tc>
      </w:tr>
      <w:tr>
        <w:trPr>
          <w:trHeight w:val="168"/>
        </w:trPr>
        <w:tc>
          <w:tcPr>
            <w:tcW w:w="1320" w:type="dxa"/>
            <w:vAlign w:val="bottom"/>
          </w:tcPr>
          <w:p>
            <w:pPr>
              <w:spacing w:after="0"/>
              <w:rPr>
                <w:sz w:val="14"/>
                <w:szCs w:val="14"/>
                <w:color w:val="auto"/>
              </w:rPr>
            </w:pPr>
          </w:p>
        </w:tc>
        <w:tc>
          <w:tcPr>
            <w:tcW w:w="54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principally along the Pacific coastal regions. Modelo</w:t>
            </w:r>
          </w:p>
        </w:tc>
      </w:tr>
      <w:tr>
        <w:trPr>
          <w:trHeight w:val="168"/>
        </w:trPr>
        <w:tc>
          <w:tcPr>
            <w:tcW w:w="1320" w:type="dxa"/>
            <w:vAlign w:val="bottom"/>
          </w:tcPr>
          <w:p>
            <w:pPr>
              <w:spacing w:after="0"/>
              <w:rPr>
                <w:sz w:val="14"/>
                <w:szCs w:val="14"/>
                <w:color w:val="auto"/>
              </w:rPr>
            </w:pPr>
          </w:p>
        </w:tc>
        <w:tc>
          <w:tcPr>
            <w:tcW w:w="54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Especial, Modelo Light and Pacifico are Grupo Modelo's</w:t>
            </w:r>
          </w:p>
        </w:tc>
      </w:tr>
      <w:tr>
        <w:trPr>
          <w:trHeight w:val="168"/>
        </w:trPr>
        <w:tc>
          <w:tcPr>
            <w:tcW w:w="1320" w:type="dxa"/>
            <w:vAlign w:val="bottom"/>
          </w:tcPr>
          <w:p>
            <w:pPr>
              <w:spacing w:after="0"/>
              <w:rPr>
                <w:sz w:val="14"/>
                <w:szCs w:val="14"/>
                <w:color w:val="auto"/>
              </w:rPr>
            </w:pPr>
          </w:p>
        </w:tc>
        <w:tc>
          <w:tcPr>
            <w:tcW w:w="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domestic</w:t>
            </w:r>
          </w:p>
        </w:tc>
        <w:tc>
          <w:tcPr>
            <w:tcW w:w="45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metal can presentations. In addition, Grupo Modelo</w:t>
            </w:r>
          </w:p>
        </w:tc>
      </w:tr>
      <w:tr>
        <w:trPr>
          <w:trHeight w:val="168"/>
        </w:trPr>
        <w:tc>
          <w:tcPr>
            <w:tcW w:w="1320" w:type="dxa"/>
            <w:vAlign w:val="bottom"/>
          </w:tcPr>
          <w:p>
            <w:pPr>
              <w:spacing w:after="0"/>
              <w:rPr>
                <w:sz w:val="14"/>
                <w:szCs w:val="14"/>
                <w:color w:val="auto"/>
              </w:rPr>
            </w:pPr>
          </w:p>
        </w:tc>
        <w:tc>
          <w:tcPr>
            <w:tcW w:w="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produces</w:t>
            </w:r>
          </w:p>
        </w:tc>
        <w:tc>
          <w:tcPr>
            <w:tcW w:w="45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Corona in a can presentation for sale in the export</w:t>
            </w:r>
          </w:p>
        </w:tc>
      </w:tr>
      <w:tr>
        <w:trPr>
          <w:trHeight w:val="168"/>
        </w:trPr>
        <w:tc>
          <w:tcPr>
            <w:tcW w:w="1320" w:type="dxa"/>
            <w:vAlign w:val="bottom"/>
          </w:tcPr>
          <w:p>
            <w:pPr>
              <w:spacing w:after="0"/>
              <w:rPr>
                <w:sz w:val="14"/>
                <w:szCs w:val="14"/>
                <w:color w:val="auto"/>
              </w:rPr>
            </w:pPr>
          </w:p>
        </w:tc>
        <w:tc>
          <w:tcPr>
            <w:tcW w:w="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markets.</w:t>
            </w:r>
          </w:p>
        </w:tc>
        <w:tc>
          <w:tcPr>
            <w:tcW w:w="4500" w:type="dxa"/>
            <w:vAlign w:val="bottom"/>
          </w:tcPr>
          <w:p>
            <w:pPr>
              <w:spacing w:after="0"/>
              <w:rPr>
                <w:sz w:val="14"/>
                <w:szCs w:val="14"/>
                <w:color w:val="auto"/>
              </w:rPr>
            </w:pPr>
          </w:p>
        </w:tc>
      </w:tr>
    </w:tbl>
    <w:p>
      <w:pPr>
        <w:spacing w:after="0" w:line="173" w:lineRule="exact"/>
        <w:rPr>
          <w:sz w:val="20"/>
          <w:szCs w:val="20"/>
          <w:color w:val="auto"/>
        </w:rPr>
      </w:pPr>
    </w:p>
    <w:p>
      <w:pPr>
        <w:ind w:left="1400" w:right="3579"/>
        <w:spacing w:after="0" w:line="254" w:lineRule="auto"/>
        <w:rPr>
          <w:sz w:val="20"/>
          <w:szCs w:val="20"/>
          <w:color w:val="auto"/>
        </w:rPr>
      </w:pPr>
      <w:r>
        <w:rPr>
          <w:rFonts w:ascii="Courier New" w:cs="Courier New" w:eastAsia="Courier New" w:hAnsi="Courier New"/>
          <w:sz w:val="14"/>
          <w:szCs w:val="14"/>
          <w:color w:val="auto"/>
        </w:rPr>
        <w:t>Historically, beer imports have not been a significant factor in the Mexican beer market, as they were subject to tariffs of up to 20%. Under NAFTA, the tariff on imported beer from the United States and Canada was gradually reduced and eventually eliminated in January 2001. Notwithstanding the reduction in tariff levels, imported beers accounted for less than 2.5% of the total Mexican beer market during 2002. FEMSA Cerveza believes that tariff elimination has had a limited effect on the Mexican beer market because imported beers are largely premium and super-premium products sold in aluminum cans, which is a more expensive means of packaging in Mexico than beer sold in returnable bottles. Furthermore, supermarkets are the most likely channel for imports, and currently represent a relatively small proportion of the channel mix for the beer industry. However, periods of strength of the Peso with respect to the U.S. Dollar, such as the one which occurred in the first half of 2002, lower the price of imported beer to the consumer and may result in increased demand for imported beer in the Mexican market.</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617" w:right="1440" w:bottom="1440" w:gutter="0" w:footer="0" w:header="0"/>
        </w:sectPr>
      </w:pPr>
    </w:p>
    <w:bookmarkStart w:id="32" w:name="page33"/>
    <w:bookmarkEnd w:id="32"/>
    <w:p>
      <w:pPr>
        <w:spacing w:after="0" w:line="258" w:lineRule="auto"/>
        <w:rPr>
          <w:sz w:val="20"/>
          <w:szCs w:val="20"/>
          <w:color w:val="auto"/>
        </w:rPr>
      </w:pPr>
      <w:r>
        <w:rPr>
          <w:rFonts w:ascii="Courier New" w:cs="Courier New" w:eastAsia="Courier New" w:hAnsi="Courier New"/>
          <w:sz w:val="14"/>
          <w:szCs w:val="14"/>
          <w:color w:val="auto"/>
        </w:rPr>
        <w:t>Regional marketc share differences</w:t>
      </w:r>
    </w:p>
    <w:p>
      <w:pPr>
        <w:spacing w:after="0" w:line="20" w:lineRule="exact"/>
        <w:rPr>
          <w:sz w:val="20"/>
          <w:szCs w:val="20"/>
          <w:color w:val="auto"/>
        </w:rPr>
      </w:pPr>
      <w:r>
        <w:rPr>
          <w:sz w:val="20"/>
          <w:szCs w:val="20"/>
          <w:color w:val="auto"/>
        </w:rPr>
        <w:br w:type="column"/>
      </w:r>
    </w:p>
    <w:p>
      <w:pPr>
        <w:ind w:right="3399"/>
        <w:spacing w:after="0" w:line="237" w:lineRule="auto"/>
        <w:rPr>
          <w:sz w:val="20"/>
          <w:szCs w:val="20"/>
          <w:color w:val="auto"/>
        </w:rPr>
      </w:pPr>
      <w:r>
        <w:rPr>
          <w:rFonts w:ascii="Courier New" w:cs="Courier New" w:eastAsia="Courier New" w:hAnsi="Courier New"/>
          <w:sz w:val="15"/>
          <w:szCs w:val="15"/>
          <w:color w:val="auto"/>
        </w:rPr>
        <w:t>FEMSA Cerveza and Grupo Modelo each dominate the Mexican beer market in separate regions of the country. FEMSA Cerveza has a dominant sales position in the northern and southern areas of Mexico while Grupo Modelo has a dominant sales position in central and western Mexico. We believe that this regional domination can be traced in part to consumer loyalty to the brand of beer that has historically been associated with a particular region. For example, FEMSA Cerveza's Carta Blanca brand was first produced in Monterrey, Nuevo Leon, in 1891. The strong regional identity in Monterrey and surrounding northeastern areas is reflected in the region's preference for Carta Blanca and other FEMSA Cerveza brands.</w:t>
      </w:r>
    </w:p>
    <w:p>
      <w:pPr>
        <w:spacing w:after="0" w:line="173" w:lineRule="exact"/>
        <w:rPr>
          <w:sz w:val="20"/>
          <w:szCs w:val="20"/>
          <w:color w:val="auto"/>
        </w:rPr>
      </w:pPr>
    </w:p>
    <w:p>
      <w:pPr>
        <w:sectPr>
          <w:pgSz w:w="11900" w:h="16838" w:orient="portrait"/>
          <w:cols w:equalWidth="0" w:num="2">
            <w:col w:w="1140" w:space="440"/>
            <w:col w:w="8659"/>
          </w:cols>
          <w:pgMar w:left="220" w:top="1128" w:right="1440" w:bottom="1440" w:gutter="0" w:footer="0" w:header="0"/>
        </w:sectPr>
      </w:pPr>
    </w:p>
    <w:p>
      <w:pPr>
        <w:ind w:left="1760" w:right="3239"/>
        <w:spacing w:after="0" w:line="255" w:lineRule="auto"/>
        <w:rPr>
          <w:sz w:val="20"/>
          <w:szCs w:val="20"/>
          <w:color w:val="auto"/>
        </w:rPr>
      </w:pPr>
      <w:r>
        <w:rPr>
          <w:rFonts w:ascii="Courier New" w:cs="Courier New" w:eastAsia="Courier New" w:hAnsi="Courier New"/>
          <w:sz w:val="14"/>
          <w:szCs w:val="14"/>
          <w:color w:val="auto"/>
        </w:rPr>
        <w:t>We also believe that regional market strength is a function of the proximity of the breweries to the markets they serve. Transportation costs restrict the most efficient distribution of beer to a geographic area of approximately 300 to 500 kilometers surrounding a brewery. Generally, FEMSA Cerveza commands a majority of the beer sales in regions that are nearest to its largest breweries. FEMSA Cerveza's largest breweries are in Orizaba, Veracruz, and in Monterrey, Nuevo Leon. Grupo Modelo's largest breweries are located in Mexico City, Oaxaca and Zacatecas. Grupo Modelo's recent completion of the brewery in Zacatecas may improve its ability to market its products in north central Mexico.</w:t>
      </w:r>
    </w:p>
    <w:p>
      <w:pPr>
        <w:spacing w:after="0" w:line="164" w:lineRule="exact"/>
        <w:rPr>
          <w:sz w:val="20"/>
          <w:szCs w:val="20"/>
          <w:color w:val="auto"/>
        </w:rPr>
      </w:pPr>
    </w:p>
    <w:p>
      <w:pPr>
        <w:ind w:left="1760" w:right="3319"/>
        <w:spacing w:after="0" w:line="255" w:lineRule="auto"/>
        <w:rPr>
          <w:sz w:val="20"/>
          <w:szCs w:val="20"/>
          <w:color w:val="auto"/>
        </w:rPr>
      </w:pPr>
      <w:r>
        <w:rPr>
          <w:rFonts w:ascii="Courier New" w:cs="Courier New" w:eastAsia="Courier New" w:hAnsi="Courier New"/>
          <w:sz w:val="14"/>
          <w:szCs w:val="14"/>
          <w:color w:val="auto"/>
        </w:rPr>
        <w:t>The northern region of Mexico has traditionally enjoyed a higher per capita income level, attributable in part to its rapid industrialization within the last 50 years and to its commercial proximity to the United States. In addition, per capita beer consumption is also greater in this region due to its warmer climate and a more ingrained beer culture.</w:t>
      </w:r>
    </w:p>
    <w:p>
      <w:pPr>
        <w:sectPr>
          <w:pgSz w:w="11900" w:h="16838" w:orient="portrait"/>
          <w:cols w:equalWidth="0" w:num="1">
            <w:col w:w="10239"/>
          </w:cols>
          <w:pgMar w:left="220" w:top="112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w w:val="95"/>
              </w:rPr>
              <w:t>Mexican Regional</w:t>
            </w:r>
          </w:p>
        </w:tc>
        <w:tc>
          <w:tcPr>
            <w:tcW w:w="244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w w:val="97"/>
              </w:rPr>
              <w:t>Demographic Statistics</w:t>
            </w: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27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20" w:type="dxa"/>
            <w:vAlign w:val="bottom"/>
            <w:gridSpan w:val="2"/>
          </w:tcPr>
          <w:p>
            <w:pPr>
              <w:jc w:val="center"/>
              <w:ind w:left="327"/>
              <w:spacing w:after="0"/>
              <w:rPr>
                <w:sz w:val="20"/>
                <w:szCs w:val="20"/>
                <w:color w:val="auto"/>
              </w:rPr>
            </w:pPr>
            <w:r>
              <w:rPr>
                <w:rFonts w:ascii="Courier New" w:cs="Courier New" w:eastAsia="Courier New" w:hAnsi="Courier New"/>
                <w:sz w:val="15"/>
                <w:szCs w:val="15"/>
                <w:color w:val="auto"/>
                <w:w w:val="96"/>
              </w:rPr>
              <w:t>Per Capita GDP</w:t>
            </w:r>
          </w:p>
        </w:tc>
      </w:tr>
      <w:tr>
        <w:trPr>
          <w:trHeight w:val="168"/>
        </w:trPr>
        <w:tc>
          <w:tcPr>
            <w:tcW w:w="2760" w:type="dxa"/>
            <w:vAlign w:val="bottom"/>
          </w:tcPr>
          <w:p>
            <w:pPr>
              <w:spacing w:after="0"/>
              <w:rPr>
                <w:sz w:val="14"/>
                <w:szCs w:val="14"/>
                <w:color w:val="auto"/>
              </w:rPr>
            </w:pP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Percent of</w:t>
            </w:r>
          </w:p>
        </w:tc>
        <w:tc>
          <w:tcPr>
            <w:tcW w:w="1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7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Per Capita</w:t>
            </w:r>
          </w:p>
        </w:tc>
        <w:tc>
          <w:tcPr>
            <w:tcW w:w="840" w:type="dxa"/>
            <w:vAlign w:val="bottom"/>
          </w:tcPr>
          <w:p>
            <w:pPr>
              <w:spacing w:after="0"/>
              <w:rPr>
                <w:sz w:val="14"/>
                <w:szCs w:val="14"/>
                <w:color w:val="auto"/>
              </w:rPr>
            </w:pPr>
          </w:p>
        </w:tc>
        <w:tc>
          <w:tcPr>
            <w:tcW w:w="78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4"/>
              </w:rPr>
              <w:t>2002</w:t>
            </w:r>
          </w:p>
        </w:tc>
      </w:tr>
      <w:tr>
        <w:trPr>
          <w:trHeight w:val="168"/>
        </w:trPr>
        <w:tc>
          <w:tcPr>
            <w:tcW w:w="2760" w:type="dxa"/>
            <w:vAlign w:val="bottom"/>
          </w:tcPr>
          <w:p>
            <w:pPr>
              <w:spacing w:after="0"/>
              <w:rPr>
                <w:sz w:val="14"/>
                <w:szCs w:val="14"/>
                <w:color w:val="auto"/>
              </w:rPr>
            </w:pPr>
          </w:p>
        </w:tc>
        <w:tc>
          <w:tcPr>
            <w:tcW w:w="14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2002</w:t>
            </w:r>
          </w:p>
        </w:tc>
        <w:tc>
          <w:tcPr>
            <w:tcW w:w="1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7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2002 Beer</w:t>
            </w:r>
          </w:p>
        </w:tc>
        <w:tc>
          <w:tcPr>
            <w:tcW w:w="16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2760" w:type="dxa"/>
            <w:vAlign w:val="bottom"/>
          </w:tcPr>
          <w:p>
            <w:pPr>
              <w:spacing w:after="0"/>
              <w:rPr>
                <w:sz w:val="14"/>
                <w:szCs w:val="14"/>
                <w:color w:val="auto"/>
              </w:rPr>
            </w:pP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Total</w:t>
            </w:r>
          </w:p>
        </w:tc>
        <w:tc>
          <w:tcPr>
            <w:tcW w:w="1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Percent of</w:t>
            </w:r>
          </w:p>
        </w:tc>
        <w:tc>
          <w:tcPr>
            <w:tcW w:w="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Total</w:t>
            </w:r>
          </w:p>
        </w:tc>
        <w:tc>
          <w:tcPr>
            <w:tcW w:w="1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Consumption(1)</w:t>
            </w:r>
          </w:p>
        </w:tc>
        <w:tc>
          <w:tcPr>
            <w:tcW w:w="1620" w:type="dxa"/>
            <w:vAlign w:val="bottom"/>
            <w:gridSpan w:val="2"/>
          </w:tcPr>
          <w:p>
            <w:pPr>
              <w:jc w:val="center"/>
              <w:ind w:left="307"/>
              <w:spacing w:after="0" w:line="168" w:lineRule="exact"/>
              <w:rPr>
                <w:sz w:val="20"/>
                <w:szCs w:val="20"/>
                <w:color w:val="auto"/>
              </w:rPr>
            </w:pPr>
            <w:r>
              <w:rPr>
                <w:rFonts w:ascii="Courier New" w:cs="Courier New" w:eastAsia="Courier New" w:hAnsi="Courier New"/>
                <w:sz w:val="15"/>
                <w:szCs w:val="15"/>
                <w:color w:val="auto"/>
                <w:w w:val="97"/>
              </w:rPr>
              <w:t>(Thousands</w:t>
            </w:r>
          </w:p>
        </w:tc>
      </w:tr>
      <w:tr>
        <w:trPr>
          <w:trHeight w:val="168"/>
        </w:trPr>
        <w:tc>
          <w:tcPr>
            <w:tcW w:w="2760" w:type="dxa"/>
            <w:vAlign w:val="bottom"/>
          </w:tcPr>
          <w:p>
            <w:pPr>
              <w:spacing w:after="0"/>
              <w:rPr>
                <w:sz w:val="14"/>
                <w:szCs w:val="14"/>
                <w:color w:val="auto"/>
              </w:rPr>
            </w:pP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Population(1)</w:t>
            </w:r>
          </w:p>
        </w:tc>
        <w:tc>
          <w:tcPr>
            <w:tcW w:w="2200" w:type="dxa"/>
            <w:vAlign w:val="bottom"/>
            <w:gridSpan w:val="2"/>
          </w:tcPr>
          <w:p>
            <w:pPr>
              <w:ind w:left="800"/>
              <w:spacing w:after="0" w:line="168" w:lineRule="exact"/>
              <w:rPr>
                <w:sz w:val="20"/>
                <w:szCs w:val="20"/>
                <w:color w:val="auto"/>
              </w:rPr>
            </w:pPr>
            <w:r>
              <w:rPr>
                <w:rFonts w:ascii="Courier New" w:cs="Courier New" w:eastAsia="Courier New" w:hAnsi="Courier New"/>
                <w:sz w:val="15"/>
                <w:szCs w:val="15"/>
                <w:color w:val="auto"/>
              </w:rPr>
              <w:t>2002 GDP(1)</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(Liters)</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of</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Pesos)</w:t>
            </w:r>
          </w:p>
        </w:tc>
      </w:tr>
      <w:tr>
        <w:trPr>
          <w:trHeight w:val="336"/>
        </w:trPr>
        <w:tc>
          <w:tcPr>
            <w:tcW w:w="2760" w:type="dxa"/>
            <w:vAlign w:val="bottom"/>
          </w:tcPr>
          <w:p>
            <w:pPr>
              <w:spacing w:after="0"/>
              <w:rPr>
                <w:sz w:val="20"/>
                <w:szCs w:val="20"/>
                <w:color w:val="auto"/>
              </w:rPr>
            </w:pPr>
            <w:r>
              <w:rPr>
                <w:rFonts w:ascii="Courier New" w:cs="Courier New" w:eastAsia="Courier New" w:hAnsi="Courier New"/>
                <w:sz w:val="15"/>
                <w:szCs w:val="15"/>
                <w:color w:val="auto"/>
              </w:rPr>
              <w:t>Region</w:t>
            </w:r>
          </w:p>
        </w:tc>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Northern....................</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26.3%</w:t>
            </w:r>
          </w:p>
        </w:tc>
        <w:tc>
          <w:tcPr>
            <w:tcW w:w="1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31.4%</w:t>
            </w:r>
          </w:p>
        </w:tc>
        <w:tc>
          <w:tcPr>
            <w:tcW w:w="740" w:type="dxa"/>
            <w:vAlign w:val="bottom"/>
          </w:tcPr>
          <w:p>
            <w:pPr>
              <w:spacing w:after="0"/>
              <w:rPr>
                <w:sz w:val="14"/>
                <w:szCs w:val="14"/>
                <w:color w:val="auto"/>
              </w:rPr>
            </w:pPr>
          </w:p>
        </w:tc>
        <w:tc>
          <w:tcPr>
            <w:tcW w:w="17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78.0</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Ps.</w:t>
            </w: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65.9</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Southern....................</w:t>
            </w:r>
          </w:p>
        </w:tc>
        <w:tc>
          <w:tcPr>
            <w:tcW w:w="14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22.6</w:t>
            </w:r>
          </w:p>
        </w:tc>
        <w:tc>
          <w:tcPr>
            <w:tcW w:w="14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15.3</w:t>
            </w:r>
          </w:p>
        </w:tc>
        <w:tc>
          <w:tcPr>
            <w:tcW w:w="740" w:type="dxa"/>
            <w:vAlign w:val="bottom"/>
          </w:tcPr>
          <w:p>
            <w:pPr>
              <w:spacing w:after="0"/>
              <w:rPr>
                <w:sz w:val="14"/>
                <w:szCs w:val="14"/>
                <w:color w:val="auto"/>
              </w:rPr>
            </w:pPr>
          </w:p>
        </w:tc>
        <w:tc>
          <w:tcPr>
            <w:tcW w:w="17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45.0</w:t>
            </w:r>
          </w:p>
        </w:tc>
        <w:tc>
          <w:tcPr>
            <w:tcW w:w="84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37.5</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Central.....................</w:t>
            </w:r>
          </w:p>
        </w:tc>
        <w:tc>
          <w:tcPr>
            <w:tcW w:w="14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51.1</w:t>
            </w:r>
          </w:p>
        </w:tc>
        <w:tc>
          <w:tcPr>
            <w:tcW w:w="14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53.3</w:t>
            </w:r>
          </w:p>
        </w:tc>
        <w:tc>
          <w:tcPr>
            <w:tcW w:w="740" w:type="dxa"/>
            <w:vAlign w:val="bottom"/>
          </w:tcPr>
          <w:p>
            <w:pPr>
              <w:spacing w:after="0"/>
              <w:rPr>
                <w:sz w:val="14"/>
                <w:szCs w:val="14"/>
                <w:color w:val="auto"/>
              </w:rPr>
            </w:pPr>
          </w:p>
        </w:tc>
        <w:tc>
          <w:tcPr>
            <w:tcW w:w="17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39.1</w:t>
            </w:r>
          </w:p>
        </w:tc>
        <w:tc>
          <w:tcPr>
            <w:tcW w:w="84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57.7</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Country Total...............</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100.0%</w:t>
            </w:r>
          </w:p>
        </w:tc>
        <w:tc>
          <w:tcPr>
            <w:tcW w:w="1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c>
          <w:tcPr>
            <w:tcW w:w="740" w:type="dxa"/>
            <w:vAlign w:val="bottom"/>
          </w:tcPr>
          <w:p>
            <w:pPr>
              <w:spacing w:after="0"/>
              <w:rPr>
                <w:sz w:val="14"/>
                <w:szCs w:val="14"/>
                <w:color w:val="auto"/>
              </w:rPr>
            </w:pPr>
          </w:p>
        </w:tc>
        <w:tc>
          <w:tcPr>
            <w:tcW w:w="17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50.7</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Ps.</w:t>
            </w: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55.3</w:t>
            </w:r>
          </w:p>
        </w:tc>
      </w:tr>
      <w:tr>
        <w:trPr>
          <w:trHeight w:val="168"/>
        </w:trPr>
        <w:tc>
          <w:tcPr>
            <w:tcW w:w="2760" w:type="dxa"/>
            <w:vAlign w:val="bottom"/>
          </w:tcPr>
          <w:p>
            <w:pPr>
              <w:spacing w:after="0"/>
              <w:rPr>
                <w:sz w:val="14"/>
                <w:szCs w:val="14"/>
                <w:color w:val="auto"/>
              </w:rPr>
            </w:pP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17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Sources:</w:t>
        <w:tab/>
        <w:t>Mexican Institute of Statistics and FEMSA Cerveza's estimates.</w:t>
      </w:r>
    </w:p>
    <w:p>
      <w:pPr>
        <w:ind w:left="440" w:hanging="430"/>
        <w:spacing w:after="0" w:line="237" w:lineRule="auto"/>
        <w:tabs>
          <w:tab w:leader="none" w:pos="44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Estimated.</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40" w:type="dxa"/>
            <w:vAlign w:val="bottom"/>
          </w:tcPr>
          <w:p>
            <w:pPr>
              <w:spacing w:after="0"/>
              <w:rPr>
                <w:sz w:val="20"/>
                <w:szCs w:val="20"/>
                <w:color w:val="auto"/>
              </w:rPr>
            </w:pPr>
            <w:r>
              <w:rPr>
                <w:rFonts w:ascii="Courier New" w:cs="Courier New" w:eastAsia="Courier New" w:hAnsi="Courier New"/>
                <w:sz w:val="15"/>
                <w:szCs w:val="15"/>
                <w:color w:val="auto"/>
              </w:rPr>
              <w:t>Government</w:t>
            </w:r>
          </w:p>
        </w:tc>
        <w:tc>
          <w:tcPr>
            <w:tcW w:w="462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6"/>
              </w:rPr>
              <w:t>The Mexican federal government effects regulation</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of beer</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regulation</w:t>
            </w:r>
          </w:p>
        </w:tc>
        <w:tc>
          <w:tcPr>
            <w:tcW w:w="462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w w:val="98"/>
              </w:rPr>
              <w:t>consumption in Mexico primarily through taxation</w:t>
            </w:r>
          </w:p>
        </w:tc>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while local</w:t>
            </w:r>
          </w:p>
        </w:tc>
      </w:tr>
      <w:tr>
        <w:trPr>
          <w:trHeight w:val="168"/>
        </w:trPr>
        <w:tc>
          <w:tcPr>
            <w:tcW w:w="1240" w:type="dxa"/>
            <w:vAlign w:val="bottom"/>
          </w:tcPr>
          <w:p>
            <w:pPr>
              <w:spacing w:after="0"/>
              <w:rPr>
                <w:sz w:val="14"/>
                <w:szCs w:val="14"/>
                <w:color w:val="auto"/>
              </w:rPr>
            </w:pPr>
          </w:p>
        </w:tc>
        <w:tc>
          <w:tcPr>
            <w:tcW w:w="462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w w:val="96"/>
              </w:rPr>
              <w:t>governments in Mexico effect regulation primarily</w:t>
            </w:r>
          </w:p>
        </w:tc>
        <w:tc>
          <w:tcPr>
            <w:tcW w:w="9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through</w:t>
            </w:r>
          </w:p>
        </w:tc>
      </w:tr>
      <w:tr>
        <w:trPr>
          <w:trHeight w:val="168"/>
        </w:trPr>
        <w:tc>
          <w:tcPr>
            <w:tcW w:w="1240" w:type="dxa"/>
            <w:vAlign w:val="bottom"/>
          </w:tcPr>
          <w:p>
            <w:pPr>
              <w:spacing w:after="0"/>
              <w:rPr>
                <w:sz w:val="14"/>
                <w:szCs w:val="14"/>
                <w:color w:val="auto"/>
              </w:rPr>
            </w:pPr>
          </w:p>
        </w:tc>
        <w:tc>
          <w:tcPr>
            <w:tcW w:w="462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w w:val="96"/>
              </w:rPr>
              <w:t>the issuance of licenses that authorize retailers</w:t>
            </w:r>
          </w:p>
        </w:tc>
        <w:tc>
          <w:tcPr>
            <w:tcW w:w="9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to sell</w:t>
            </w:r>
          </w:p>
        </w:tc>
      </w:tr>
      <w:tr>
        <w:trPr>
          <w:trHeight w:val="168"/>
        </w:trPr>
        <w:tc>
          <w:tcPr>
            <w:tcW w:w="1240" w:type="dxa"/>
            <w:vAlign w:val="bottom"/>
          </w:tcPr>
          <w:p>
            <w:pPr>
              <w:spacing w:after="0"/>
              <w:rPr>
                <w:sz w:val="14"/>
                <w:szCs w:val="14"/>
                <w:color w:val="auto"/>
              </w:rPr>
            </w:pPr>
          </w:p>
        </w:tc>
        <w:tc>
          <w:tcPr>
            <w:tcW w:w="21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98"/>
              </w:rPr>
              <w:t>alcoholic beverages.</w:t>
            </w:r>
          </w:p>
        </w:tc>
        <w:tc>
          <w:tcPr>
            <w:tcW w:w="24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36"/>
        </w:trPr>
        <w:tc>
          <w:tcPr>
            <w:tcW w:w="1240" w:type="dxa"/>
            <w:vAlign w:val="bottom"/>
          </w:tcPr>
          <w:p>
            <w:pPr>
              <w:spacing w:after="0"/>
              <w:rPr>
                <w:sz w:val="24"/>
                <w:szCs w:val="24"/>
                <w:color w:val="auto"/>
              </w:rPr>
            </w:pPr>
          </w:p>
        </w:tc>
        <w:tc>
          <w:tcPr>
            <w:tcW w:w="462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8"/>
              </w:rPr>
              <w:t>Federal taxes on beer currently represent 43.75%</w:t>
            </w:r>
          </w:p>
        </w:tc>
        <w:tc>
          <w:tcPr>
            <w:tcW w:w="980" w:type="dxa"/>
            <w:vAlign w:val="bottom"/>
          </w:tcPr>
          <w:p>
            <w:pPr>
              <w:spacing w:after="0"/>
              <w:rPr>
                <w:sz w:val="20"/>
                <w:szCs w:val="20"/>
                <w:color w:val="auto"/>
              </w:rPr>
            </w:pPr>
            <w:r>
              <w:rPr>
                <w:rFonts w:ascii="Courier New" w:cs="Courier New" w:eastAsia="Courier New" w:hAnsi="Courier New"/>
                <w:sz w:val="15"/>
                <w:szCs w:val="15"/>
                <w:color w:val="auto"/>
              </w:rPr>
              <w:t>of the</w:t>
            </w:r>
          </w:p>
        </w:tc>
      </w:tr>
      <w:tr>
        <w:trPr>
          <w:trHeight w:val="168"/>
        </w:trPr>
        <w:tc>
          <w:tcPr>
            <w:tcW w:w="1240" w:type="dxa"/>
            <w:vAlign w:val="bottom"/>
          </w:tcPr>
          <w:p>
            <w:pPr>
              <w:spacing w:after="0"/>
              <w:rPr>
                <w:sz w:val="14"/>
                <w:szCs w:val="14"/>
                <w:color w:val="auto"/>
              </w:rPr>
            </w:pPr>
          </w:p>
        </w:tc>
        <w:tc>
          <w:tcPr>
            <w:tcW w:w="5600" w:type="dxa"/>
            <w:vAlign w:val="bottom"/>
            <w:gridSpan w:val="3"/>
          </w:tcPr>
          <w:p>
            <w:pPr>
              <w:ind w:left="340"/>
              <w:spacing w:after="0" w:line="168" w:lineRule="exact"/>
              <w:rPr>
                <w:sz w:val="20"/>
                <w:szCs w:val="20"/>
                <w:color w:val="auto"/>
              </w:rPr>
            </w:pPr>
            <w:r>
              <w:rPr>
                <w:rFonts w:ascii="Courier New" w:cs="Courier New" w:eastAsia="Courier New" w:hAnsi="Courier New"/>
                <w:sz w:val="15"/>
                <w:szCs w:val="15"/>
                <w:color w:val="auto"/>
                <w:w w:val="97"/>
              </w:rPr>
              <w:t>total retail price of beer to the consumer and include a 25%</w:t>
            </w:r>
          </w:p>
        </w:tc>
      </w:tr>
      <w:tr>
        <w:trPr>
          <w:trHeight w:val="168"/>
        </w:trPr>
        <w:tc>
          <w:tcPr>
            <w:tcW w:w="1240" w:type="dxa"/>
            <w:vAlign w:val="bottom"/>
          </w:tcPr>
          <w:p>
            <w:pPr>
              <w:spacing w:after="0"/>
              <w:rPr>
                <w:sz w:val="14"/>
                <w:szCs w:val="14"/>
                <w:color w:val="auto"/>
              </w:rPr>
            </w:pPr>
          </w:p>
        </w:tc>
        <w:tc>
          <w:tcPr>
            <w:tcW w:w="21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98"/>
              </w:rPr>
              <w:t>excise tax and a 15%</w:t>
            </w:r>
          </w:p>
        </w:tc>
        <w:tc>
          <w:tcPr>
            <w:tcW w:w="2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value-added tax. Beer excise</w:t>
            </w:r>
          </w:p>
        </w:tc>
        <w:tc>
          <w:tcPr>
            <w:tcW w:w="9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tax has</w:t>
            </w:r>
          </w:p>
        </w:tc>
      </w:tr>
      <w:tr>
        <w:trPr>
          <w:trHeight w:val="168"/>
        </w:trPr>
        <w:tc>
          <w:tcPr>
            <w:tcW w:w="1240" w:type="dxa"/>
            <w:vAlign w:val="bottom"/>
          </w:tcPr>
          <w:p>
            <w:pPr>
              <w:spacing w:after="0"/>
              <w:rPr>
                <w:sz w:val="14"/>
                <w:szCs w:val="14"/>
                <w:color w:val="auto"/>
              </w:rPr>
            </w:pPr>
          </w:p>
        </w:tc>
        <w:tc>
          <w:tcPr>
            <w:tcW w:w="21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98"/>
              </w:rPr>
              <w:t>remained constant at</w:t>
            </w:r>
          </w:p>
        </w:tc>
        <w:tc>
          <w:tcPr>
            <w:tcW w:w="2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25% since January 1998. The</w:t>
            </w:r>
          </w:p>
        </w:tc>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tax</w:t>
            </w:r>
          </w:p>
        </w:tc>
      </w:tr>
      <w:tr>
        <w:trPr>
          <w:trHeight w:val="168"/>
        </w:trPr>
        <w:tc>
          <w:tcPr>
            <w:tcW w:w="1240" w:type="dxa"/>
            <w:vAlign w:val="bottom"/>
          </w:tcPr>
          <w:p>
            <w:pPr>
              <w:spacing w:after="0"/>
              <w:rPr>
                <w:sz w:val="14"/>
                <w:szCs w:val="14"/>
                <w:color w:val="auto"/>
              </w:rPr>
            </w:pPr>
          </w:p>
        </w:tc>
        <w:tc>
          <w:tcPr>
            <w:tcW w:w="462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w w:val="98"/>
              </w:rPr>
              <w:t>component of retail beer prices is significantly</w:t>
            </w:r>
          </w:p>
        </w:tc>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higher in</w:t>
            </w:r>
          </w:p>
        </w:tc>
      </w:tr>
      <w:tr>
        <w:trPr>
          <w:trHeight w:val="168"/>
        </w:trPr>
        <w:tc>
          <w:tcPr>
            <w:tcW w:w="1240" w:type="dxa"/>
            <w:vAlign w:val="bottom"/>
          </w:tcPr>
          <w:p>
            <w:pPr>
              <w:spacing w:after="0"/>
              <w:rPr>
                <w:sz w:val="14"/>
                <w:szCs w:val="14"/>
                <w:color w:val="auto"/>
              </w:rPr>
            </w:pPr>
          </w:p>
        </w:tc>
        <w:tc>
          <w:tcPr>
            <w:tcW w:w="462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w w:val="98"/>
              </w:rPr>
              <w:t>Mexico than in the United States, where taxes on</w:t>
            </w:r>
          </w:p>
        </w:tc>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average</w:t>
            </w:r>
          </w:p>
        </w:tc>
      </w:tr>
      <w:tr>
        <w:trPr>
          <w:trHeight w:val="168"/>
        </w:trPr>
        <w:tc>
          <w:tcPr>
            <w:tcW w:w="1240" w:type="dxa"/>
            <w:vAlign w:val="bottom"/>
          </w:tcPr>
          <w:p>
            <w:pPr>
              <w:spacing w:after="0"/>
              <w:rPr>
                <w:sz w:val="14"/>
                <w:szCs w:val="14"/>
                <w:color w:val="auto"/>
              </w:rPr>
            </w:pPr>
          </w:p>
        </w:tc>
        <w:tc>
          <w:tcPr>
            <w:tcW w:w="462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w w:val="96"/>
              </w:rPr>
              <w:t>represent approximately 18.3% of the retail price</w:t>
            </w:r>
          </w:p>
        </w:tc>
        <w:tc>
          <w:tcPr>
            <w:tcW w:w="9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to the</w:t>
            </w:r>
          </w:p>
        </w:tc>
      </w:tr>
      <w:tr>
        <w:trPr>
          <w:trHeight w:val="168"/>
        </w:trPr>
        <w:tc>
          <w:tcPr>
            <w:tcW w:w="1240" w:type="dxa"/>
            <w:vAlign w:val="bottom"/>
          </w:tcPr>
          <w:p>
            <w:pPr>
              <w:spacing w:after="0"/>
              <w:rPr>
                <w:sz w:val="14"/>
                <w:szCs w:val="14"/>
                <w:color w:val="auto"/>
              </w:rPr>
            </w:pPr>
          </w:p>
        </w:tc>
        <w:tc>
          <w:tcPr>
            <w:tcW w:w="21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consumer.</w:t>
            </w:r>
          </w:p>
        </w:tc>
        <w:tc>
          <w:tcPr>
            <w:tcW w:w="24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505"/>
        </w:trPr>
        <w:tc>
          <w:tcPr>
            <w:tcW w:w="12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480" w:type="dxa"/>
            <w:vAlign w:val="bottom"/>
          </w:tcPr>
          <w:p>
            <w:pPr>
              <w:ind w:left="40"/>
              <w:spacing w:after="0"/>
              <w:rPr>
                <w:sz w:val="20"/>
                <w:szCs w:val="20"/>
                <w:color w:val="auto"/>
              </w:rPr>
            </w:pPr>
            <w:r>
              <w:rPr>
                <w:rFonts w:ascii="Courier New" w:cs="Courier New" w:eastAsia="Courier New" w:hAnsi="Courier New"/>
                <w:sz w:val="15"/>
                <w:szCs w:val="15"/>
                <w:color w:val="auto"/>
              </w:rPr>
              <w:t>27</w:t>
            </w:r>
          </w:p>
        </w:tc>
        <w:tc>
          <w:tcPr>
            <w:tcW w:w="980" w:type="dxa"/>
            <w:vAlign w:val="bottom"/>
          </w:tcPr>
          <w:p>
            <w:pPr>
              <w:spacing w:after="0"/>
              <w:rPr>
                <w:sz w:val="24"/>
                <w:szCs w:val="24"/>
                <w:color w:val="auto"/>
              </w:rPr>
            </w:pPr>
          </w:p>
        </w:tc>
      </w:tr>
    </w:tbl>
    <w:p>
      <w:pPr>
        <w:sectPr>
          <w:pgSz w:w="11900" w:h="16838" w:orient="portrait"/>
          <w:cols w:equalWidth="0" w:num="1">
            <w:col w:w="10239"/>
          </w:cols>
          <w:pgMar w:left="220" w:top="1128" w:right="1440" w:bottom="1440" w:gutter="0" w:footer="0" w:header="0"/>
          <w:type w:val="continuous"/>
        </w:sectPr>
      </w:pPr>
    </w:p>
    <w:bookmarkStart w:id="33" w:name="page34"/>
    <w:bookmarkEnd w:id="33"/>
    <w:p>
      <w:pPr>
        <w:ind w:left="1580" w:right="3399"/>
        <w:spacing w:after="0" w:line="255" w:lineRule="auto"/>
        <w:rPr>
          <w:sz w:val="20"/>
          <w:szCs w:val="20"/>
          <w:color w:val="auto"/>
        </w:rPr>
      </w:pPr>
      <w:r>
        <w:rPr>
          <w:rFonts w:ascii="Courier New" w:cs="Courier New" w:eastAsia="Courier New" w:hAnsi="Courier New"/>
          <w:sz w:val="14"/>
          <w:szCs w:val="14"/>
          <w:color w:val="auto"/>
        </w:rPr>
        <w:t>The number of retail outlets authorized to sell beer is controlled by local jurisdictions, which issue licenses authorizing the sale of alcoholic beverages. Other regulations regarding beer consumption in Mexico vary according to local jurisdiction and include limitations on the hours during which restaurants, bars and other retail outlets are allowed to sell beer and other alcoholic beverages. FEMSA Cerveza has developed efforts that address these limitations at various levels, promoting better education of responsible consumption of beer with government and civil authorities. For instance, as part of its ongoing community activities, FEMSA Cerveza has been a very active sponsor of a nationwide designated driver program.</w:t>
      </w:r>
    </w:p>
    <w:p>
      <w:pPr>
        <w:spacing w:after="0" w:line="164" w:lineRule="exact"/>
        <w:rPr>
          <w:sz w:val="20"/>
          <w:szCs w:val="20"/>
          <w:color w:val="auto"/>
        </w:rPr>
      </w:pPr>
    </w:p>
    <w:p>
      <w:pPr>
        <w:ind w:left="1580" w:right="3399"/>
        <w:spacing w:after="0" w:line="236" w:lineRule="auto"/>
        <w:rPr>
          <w:sz w:val="20"/>
          <w:szCs w:val="20"/>
          <w:color w:val="auto"/>
        </w:rPr>
      </w:pPr>
      <w:r>
        <w:rPr>
          <w:rFonts w:ascii="Courier New" w:cs="Courier New" w:eastAsia="Courier New" w:hAnsi="Courier New"/>
          <w:sz w:val="15"/>
          <w:szCs w:val="15"/>
          <w:color w:val="auto"/>
        </w:rPr>
        <w:t>Since July 1984, Mexican federal regulation has required that all forms of beer packaging carry a warning advising that excessive consumption of beer is hazardous to one's health. In addition, the Ley General de Salud (the "Mexican General Health Law"), requires that all beers sold in Mexico maintain a sanitation registration with the Secretaria de Salud (the "Ministry of Health").</w:t>
      </w:r>
    </w:p>
    <w:p>
      <w:pPr>
        <w:sectPr>
          <w:pgSz w:w="11900" w:h="16838" w:orient="portrait"/>
          <w:cols w:equalWidth="0" w:num="1">
            <w:col w:w="10239"/>
          </w:cols>
          <w:pgMar w:left="220" w:top="624" w:right="1440" w:bottom="1440" w:gutter="0" w:footer="0" w:header="0"/>
        </w:sectPr>
      </w:pPr>
    </w:p>
    <w:p>
      <w:pPr>
        <w:spacing w:after="0" w:line="344" w:lineRule="exact"/>
        <w:rPr>
          <w:sz w:val="20"/>
          <w:szCs w:val="20"/>
          <w:color w:val="auto"/>
        </w:rPr>
      </w:pPr>
    </w:p>
    <w:p>
      <w:pPr>
        <w:spacing w:after="0" w:line="258" w:lineRule="auto"/>
        <w:rPr>
          <w:sz w:val="20"/>
          <w:szCs w:val="20"/>
          <w:color w:val="auto"/>
        </w:rPr>
      </w:pPr>
      <w:r>
        <w:rPr>
          <w:rFonts w:ascii="Courier New" w:cs="Courier New" w:eastAsia="Courier New" w:hAnsi="Courier New"/>
          <w:sz w:val="14"/>
          <w:szCs w:val="14"/>
          <w:color w:val="auto"/>
        </w:rPr>
        <w:t>Demographics of beer drinking population</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We estimate that annual per capita beer consumption for the total Mexican population remained stable at approximately 51 liters in 2002. The legal drinking age in Mexico is 18. However, at least 34% of the Mexican population is under the age of 18 and, therefore, is not considered to be part of the beer drinking population. We consider the population segment of men between the ages of 18 and 45 to be FEMSA Cerveza's primary market. Based on historical trends and what management perceives as the continued social acceptance of beer consumption, FEMSA Cerveza believes that general population growth will result in an increase in the number of beer consumers in Mexico.</w:t>
      </w:r>
    </w:p>
    <w:p>
      <w:pPr>
        <w:spacing w:after="0" w:line="164" w:lineRule="exact"/>
        <w:rPr>
          <w:sz w:val="20"/>
          <w:szCs w:val="20"/>
          <w:color w:val="auto"/>
        </w:rPr>
      </w:pPr>
    </w:p>
    <w:p>
      <w:pPr>
        <w:sectPr>
          <w:pgSz w:w="11900" w:h="16838" w:orient="portrait"/>
          <w:cols w:equalWidth="0" w:num="2">
            <w:col w:w="1320" w:space="260"/>
            <w:col w:w="8659"/>
          </w:cols>
          <w:pgMar w:left="220" w:top="624" w:right="1440" w:bottom="1440" w:gutter="0" w:footer="0" w:header="0"/>
          <w:type w:val="continuous"/>
        </w:sectPr>
      </w:pPr>
    </w:p>
    <w:p>
      <w:pPr>
        <w:ind w:left="1580" w:right="3399"/>
        <w:spacing w:after="0" w:line="255" w:lineRule="auto"/>
        <w:rPr>
          <w:sz w:val="20"/>
          <w:szCs w:val="20"/>
          <w:color w:val="auto"/>
        </w:rPr>
      </w:pPr>
      <w:r>
        <w:rPr>
          <w:rFonts w:ascii="Courier New" w:cs="Courier New" w:eastAsia="Courier New" w:hAnsi="Courier New"/>
          <w:sz w:val="14"/>
          <w:szCs w:val="14"/>
          <w:color w:val="auto"/>
        </w:rPr>
        <w:t>Based on historical trends as measured by the Mexican Institute of Statistics, we expect the Mexican population to grow at an average annual rate of approximately 1.3% per year over the period 2002 to 2007. We estimate that, over the next ten years, approximately one million additional people per year will become potential beer consumers due to the natural aging of the Mexican population.</w:t>
      </w:r>
    </w:p>
    <w:p>
      <w:pPr>
        <w:spacing w:after="0" w:line="166" w:lineRule="exact"/>
        <w:rPr>
          <w:sz w:val="20"/>
          <w:szCs w:val="20"/>
          <w:color w:val="auto"/>
        </w:rPr>
      </w:pPr>
    </w:p>
    <w:p>
      <w:pPr>
        <w:ind w:left="1580" w:right="3499"/>
        <w:spacing w:after="0" w:line="255" w:lineRule="auto"/>
        <w:rPr>
          <w:sz w:val="20"/>
          <w:szCs w:val="20"/>
          <w:color w:val="auto"/>
        </w:rPr>
      </w:pPr>
      <w:r>
        <w:rPr>
          <w:rFonts w:ascii="Courier New" w:cs="Courier New" w:eastAsia="Courier New" w:hAnsi="Courier New"/>
          <w:sz w:val="14"/>
          <w:szCs w:val="14"/>
          <w:color w:val="auto"/>
        </w:rPr>
        <w:t>In 2002, Mexico's annual per capita beer consumption was approximately 51 liters compared to approximately 81 liters in the United States. Generally speaking, countries with higher per capita beer consumption have relatively higher per capita income. Per capita income in Mexico in 2002 was equivalent to approximately US$6,371 compared to a per capita income of approximately US$36,347 in the United States. FEMSA Cerveza identifies approximately 60% of its consumers as blue collar, 29% as white collar and the remaining 11% as students, unemployed, retirees or other.</w:t>
      </w:r>
    </w:p>
    <w:p>
      <w:pPr>
        <w:sectPr>
          <w:pgSz w:w="11900" w:h="16838" w:orient="portrait"/>
          <w:cols w:equalWidth="0" w:num="1">
            <w:col w:w="10239"/>
          </w:cols>
          <w:pgMar w:left="220" w:top="624" w:right="1440" w:bottom="1440" w:gutter="0" w:footer="0" w:header="0"/>
          <w:type w:val="continuous"/>
        </w:sectPr>
      </w:pP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Macroeconomic</w:t>
      </w:r>
    </w:p>
    <w:p>
      <w:pPr>
        <w:spacing w:after="0" w:line="237" w:lineRule="auto"/>
        <w:rPr>
          <w:sz w:val="20"/>
          <w:szCs w:val="20"/>
          <w:color w:val="auto"/>
        </w:rPr>
      </w:pPr>
      <w:r>
        <w:rPr>
          <w:rFonts w:ascii="Courier New" w:cs="Courier New" w:eastAsia="Courier New" w:hAnsi="Courier New"/>
          <w:sz w:val="15"/>
          <w:szCs w:val="15"/>
          <w:color w:val="auto"/>
        </w:rPr>
        <w:t>influences</w:t>
      </w:r>
    </w:p>
    <w:p>
      <w:pPr>
        <w:spacing w:after="0" w:line="238" w:lineRule="auto"/>
        <w:rPr>
          <w:sz w:val="20"/>
          <w:szCs w:val="20"/>
          <w:color w:val="auto"/>
        </w:rPr>
      </w:pPr>
      <w:r>
        <w:rPr>
          <w:rFonts w:ascii="Courier New" w:cs="Courier New" w:eastAsia="Courier New" w:hAnsi="Courier New"/>
          <w:sz w:val="15"/>
          <w:szCs w:val="15"/>
          <w:color w:val="auto"/>
        </w:rPr>
        <w:t>affecting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beer consumption</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We believe that consumption activity in the Mexican beer market is heavily influenced by the general level of economic activity in Mexico, the country's gross wage base, changes in real disposable income and employment levels. As a result, the beer industry reacts sharply to economic change. The industry generally experiences high volume growth in periods of economic strength and slower volume growth or volume contraction in periods of economic weakness. Domestic beer sales declined in 1982, 1983 and 1995. These sales decreases correspond to periods in which the Mexican economy experienced severe disruptions. Similarly, the economic weakness observed in 2001 and 2002 corresponds to a reduction in domestic beer sales in 2002.</w:t>
      </w:r>
    </w:p>
    <w:p>
      <w:pPr>
        <w:spacing w:after="0" w:line="200" w:lineRule="exact"/>
        <w:rPr>
          <w:sz w:val="20"/>
          <w:szCs w:val="20"/>
          <w:color w:val="auto"/>
        </w:rPr>
      </w:pPr>
    </w:p>
    <w:p>
      <w:pPr>
        <w:sectPr>
          <w:pgSz w:w="11900" w:h="16838" w:orient="portrait"/>
          <w:cols w:equalWidth="0" w:num="2">
            <w:col w:w="1400" w:space="360"/>
            <w:col w:w="8479"/>
          </w:cols>
          <w:pgMar w:left="220" w:top="624" w:right="1440" w:bottom="1440" w:gutter="0" w:footer="0" w:header="0"/>
          <w:type w:val="continuous"/>
        </w:sectPr>
      </w:pPr>
    </w:p>
    <w:p>
      <w:pPr>
        <w:spacing w:after="0" w:line="1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39"/>
          </w:cols>
          <w:pgMar w:left="220" w:top="624" w:right="1440" w:bottom="1440" w:gutter="0" w:footer="0" w:header="0"/>
          <w:type w:val="continuous"/>
        </w:sectPr>
      </w:pPr>
    </w:p>
    <w:bookmarkStart w:id="34" w:name="page35"/>
    <w:bookmarkEnd w:id="34"/>
    <w:p>
      <w:pPr>
        <w:ind w:left="440"/>
        <w:spacing w:after="0"/>
        <w:rPr>
          <w:sz w:val="20"/>
          <w:szCs w:val="20"/>
          <w:color w:val="auto"/>
        </w:rPr>
      </w:pPr>
      <w:r>
        <w:rPr>
          <w:rFonts w:ascii="Courier New" w:cs="Courier New" w:eastAsia="Courier New" w:hAnsi="Courier New"/>
          <w:sz w:val="15"/>
          <w:szCs w:val="15"/>
          <w:color w:val="auto"/>
        </w:rPr>
        <w:t>Annual Price Increases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2002, FEMSA Cerveza implemented a selective price increase for its products across different regions of the country. The rollout began in February and was completed by mid-March. Management's objective was to keep real price levels stable. Since actual inflation for the year was lower than expected, the price increase represented a real increase of approximately 90 basis points. For the entire Mexican beer industry, however, the real retail price of beer increased by only 40 basis points in 2002, as shown below.</w:t>
      </w:r>
    </w:p>
    <w:p>
      <w:pPr>
        <w:spacing w:after="0" w:line="338" w:lineRule="exact"/>
        <w:rPr>
          <w:sz w:val="20"/>
          <w:szCs w:val="20"/>
          <w:color w:val="auto"/>
        </w:rPr>
      </w:pPr>
    </w:p>
    <w:p>
      <w:pPr>
        <w:jc w:val="center"/>
        <w:ind w:right="5239"/>
        <w:spacing w:after="0"/>
        <w:rPr>
          <w:sz w:val="20"/>
          <w:szCs w:val="20"/>
          <w:color w:val="auto"/>
        </w:rPr>
      </w:pPr>
      <w:r>
        <w:rPr>
          <w:rFonts w:ascii="Courier New" w:cs="Courier New" w:eastAsia="Courier New" w:hAnsi="Courier New"/>
          <w:sz w:val="15"/>
          <w:szCs w:val="15"/>
          <w:color w:val="auto"/>
        </w:rPr>
        <w:t>Mexican Beer Industry</w:t>
      </w:r>
    </w:p>
    <w:p>
      <w:pPr>
        <w:jc w:val="center"/>
        <w:ind w:right="5159"/>
        <w:spacing w:after="0" w:line="237" w:lineRule="auto"/>
        <w:rPr>
          <w:sz w:val="20"/>
          <w:szCs w:val="20"/>
          <w:color w:val="auto"/>
        </w:rPr>
      </w:pPr>
      <w:r>
        <w:rPr>
          <w:rFonts w:ascii="Courier New" w:cs="Courier New" w:eastAsia="Courier New" w:hAnsi="Courier New"/>
          <w:sz w:val="15"/>
          <w:szCs w:val="15"/>
          <w:color w:val="auto"/>
        </w:rPr>
        <w:t>Cumulative Real Retail Beer Price Index: 1998-2002</w:t>
      </w:r>
    </w:p>
    <w:p>
      <w:pPr>
        <w:spacing w:after="0" w:line="167" w:lineRule="exact"/>
        <w:rPr>
          <w:sz w:val="20"/>
          <w:szCs w:val="20"/>
          <w:color w:val="auto"/>
        </w:rPr>
      </w:pPr>
    </w:p>
    <w:p>
      <w:pPr>
        <w:jc w:val="center"/>
        <w:ind w:right="5239"/>
        <w:spacing w:after="0"/>
        <w:rPr>
          <w:sz w:val="20"/>
          <w:szCs w:val="20"/>
          <w:color w:val="auto"/>
        </w:rPr>
      </w:pPr>
      <w:r>
        <w:rPr>
          <w:rFonts w:ascii="Courier New" w:cs="Courier New" w:eastAsia="Courier New" w:hAnsi="Courier New"/>
          <w:sz w:val="15"/>
          <w:szCs w:val="15"/>
          <w:color w:val="auto"/>
        </w:rPr>
        <w:t>(1998 = 100%)</w:t>
      </w:r>
    </w:p>
    <w:p>
      <w:pPr>
        <w:spacing w:after="0" w:line="5"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700" w:type="dxa"/>
            <w:vAlign w:val="bottom"/>
          </w:tcPr>
          <w:p>
            <w:pPr>
              <w:spacing w:after="0"/>
              <w:rPr>
                <w:sz w:val="14"/>
                <w:szCs w:val="14"/>
                <w:color w:val="auto"/>
              </w:rPr>
            </w:pPr>
          </w:p>
        </w:tc>
        <w:tc>
          <w:tcPr>
            <w:tcW w:w="2880" w:type="dxa"/>
            <w:vAlign w:val="bottom"/>
            <w:gridSpan w:val="3"/>
          </w:tcPr>
          <w:p>
            <w:pPr>
              <w:jc w:val="right"/>
              <w:ind w:right="527"/>
              <w:spacing w:after="0"/>
              <w:rPr>
                <w:sz w:val="20"/>
                <w:szCs w:val="20"/>
                <w:color w:val="auto"/>
              </w:rPr>
            </w:pPr>
            <w:r>
              <w:rPr>
                <w:rFonts w:ascii="Courier New" w:cs="Courier New" w:eastAsia="Courier New" w:hAnsi="Courier New"/>
                <w:sz w:val="15"/>
                <w:szCs w:val="15"/>
                <w:color w:val="auto"/>
              </w:rPr>
              <w:t>Year Ended December 31,</w:t>
            </w:r>
          </w:p>
        </w:tc>
        <w:tc>
          <w:tcPr>
            <w:tcW w:w="700" w:type="dxa"/>
            <w:vAlign w:val="bottom"/>
          </w:tcPr>
          <w:p>
            <w:pPr>
              <w:spacing w:after="0"/>
              <w:rPr>
                <w:sz w:val="14"/>
                <w:szCs w:val="14"/>
                <w:color w:val="auto"/>
              </w:rPr>
            </w:pPr>
          </w:p>
        </w:tc>
      </w:tr>
      <w:tr>
        <w:trPr>
          <w:trHeight w:val="168"/>
        </w:trPr>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2002</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2001</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2000</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1999</w:t>
            </w:r>
          </w:p>
        </w:tc>
        <w:tc>
          <w:tcPr>
            <w:tcW w:w="7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108.0</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107.6</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107.6</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102.6</w:t>
            </w:r>
          </w:p>
        </w:tc>
        <w:tc>
          <w:tcPr>
            <w:tcW w:w="7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88"/>
              </w:rPr>
              <w:t>100.0</w:t>
            </w:r>
          </w:p>
        </w:tc>
      </w:tr>
    </w:tbl>
    <w:p>
      <w:pPr>
        <w:spacing w:after="0" w:line="237" w:lineRule="auto"/>
        <w:rPr>
          <w:sz w:val="20"/>
          <w:szCs w:val="20"/>
          <w:color w:val="auto"/>
        </w:rPr>
      </w:pPr>
      <w:r>
        <w:rPr>
          <w:rFonts w:ascii="Courier New" w:cs="Courier New" w:eastAsia="Courier New" w:hAnsi="Courier New"/>
          <w:sz w:val="15"/>
          <w:szCs w:val="15"/>
          <w:color w:val="auto"/>
        </w:rPr>
        <w:t>====</w:t>
      </w:r>
    </w:p>
    <w:p>
      <w:pPr>
        <w:spacing w:after="0"/>
        <w:tabs>
          <w:tab w:leader="none" w:pos="780" w:val="left"/>
        </w:tabs>
        <w:rPr>
          <w:sz w:val="20"/>
          <w:szCs w:val="20"/>
          <w:color w:val="auto"/>
        </w:rPr>
      </w:pPr>
      <w:r>
        <w:rPr>
          <w:rFonts w:ascii="Courier New" w:cs="Courier New" w:eastAsia="Courier New" w:hAnsi="Courier New"/>
          <w:sz w:val="15"/>
          <w:szCs w:val="15"/>
          <w:color w:val="auto"/>
        </w:rPr>
        <w:t>Source:</w:t>
      </w:r>
      <w:r>
        <w:rPr>
          <w:sz w:val="20"/>
          <w:szCs w:val="20"/>
          <w:color w:val="auto"/>
        </w:rPr>
        <w:tab/>
      </w:r>
      <w:r>
        <w:rPr>
          <w:rFonts w:ascii="Courier New" w:cs="Courier New" w:eastAsia="Courier New" w:hAnsi="Courier New"/>
          <w:sz w:val="14"/>
          <w:szCs w:val="14"/>
          <w:color w:val="auto"/>
        </w:rPr>
        <w:t>Banco de Mexico</w:t>
      </w:r>
    </w:p>
    <w:p>
      <w:pPr>
        <w:spacing w:after="0" w:line="200" w:lineRule="exact"/>
        <w:rPr>
          <w:sz w:val="20"/>
          <w:szCs w:val="20"/>
          <w:color w:val="auto"/>
        </w:rPr>
      </w:pPr>
    </w:p>
    <w:p>
      <w:pPr>
        <w:spacing w:after="0" w:line="30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FEMSA Cerveza's Beer Sales Volume</w:t>
      </w:r>
    </w:p>
    <w:p>
      <w:pPr>
        <w:spacing w:after="0" w:line="173" w:lineRule="exact"/>
        <w:rPr>
          <w:sz w:val="20"/>
          <w:szCs w:val="20"/>
          <w:color w:val="auto"/>
        </w:rPr>
      </w:pPr>
    </w:p>
    <w:p>
      <w:pPr>
        <w:ind w:right="3679" w:firstLine="437"/>
        <w:spacing w:after="0" w:line="236" w:lineRule="auto"/>
        <w:rPr>
          <w:sz w:val="20"/>
          <w:szCs w:val="20"/>
          <w:color w:val="auto"/>
        </w:rPr>
      </w:pPr>
      <w:r>
        <w:rPr>
          <w:rFonts w:ascii="Courier New" w:cs="Courier New" w:eastAsia="Courier New" w:hAnsi="Courier New"/>
          <w:sz w:val="15"/>
          <w:szCs w:val="15"/>
          <w:color w:val="auto"/>
        </w:rPr>
        <w:t>FEMSA Cerveza's aggregate beer sales volume totaled 23.811 million hectoliters in 2002, a decrease of 0.2% from total sales volume of 23.861 million hectoliters in 2001. In 2002, FEMSA Cerveza's domestic sales volume decreased by 0.7% to 21.856 million hectoliters and export sales volume increased by 6.1% to 1.955 million hectoliters.</w:t>
      </w:r>
    </w:p>
    <w:p>
      <w:pPr>
        <w:spacing w:after="0" w:line="200" w:lineRule="exact"/>
        <w:rPr>
          <w:sz w:val="20"/>
          <w:szCs w:val="20"/>
          <w:color w:val="auto"/>
        </w:rPr>
      </w:pPr>
    </w:p>
    <w:p>
      <w:pPr>
        <w:spacing w:after="0" w:line="304"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2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500" w:type="dxa"/>
            <w:vAlign w:val="bottom"/>
            <w:gridSpan w:val="3"/>
          </w:tcPr>
          <w:p>
            <w:pPr>
              <w:jc w:val="right"/>
              <w:ind w:right="327"/>
              <w:spacing w:after="0"/>
              <w:rPr>
                <w:sz w:val="20"/>
                <w:szCs w:val="20"/>
                <w:color w:val="auto"/>
              </w:rPr>
            </w:pPr>
            <w:r>
              <w:rPr>
                <w:rFonts w:ascii="Courier New" w:cs="Courier New" w:eastAsia="Courier New" w:hAnsi="Courier New"/>
                <w:sz w:val="15"/>
                <w:szCs w:val="15"/>
                <w:color w:val="auto"/>
              </w:rPr>
              <w:t>FEMSA Cerveza Beer Sales Volumes</w:t>
            </w:r>
          </w:p>
        </w:tc>
        <w:tc>
          <w:tcPr>
            <w:tcW w:w="84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500" w:type="dxa"/>
            <w:vAlign w:val="bottom"/>
            <w:gridSpan w:val="3"/>
          </w:tcPr>
          <w:p>
            <w:pPr>
              <w:ind w:left="400"/>
              <w:spacing w:after="0" w:line="168" w:lineRule="exact"/>
              <w:rPr>
                <w:sz w:val="20"/>
                <w:szCs w:val="20"/>
                <w:color w:val="auto"/>
              </w:rPr>
            </w:pPr>
            <w:r>
              <w:rPr>
                <w:rFonts w:ascii="Courier New" w:cs="Courier New" w:eastAsia="Courier New" w:hAnsi="Courier New"/>
                <w:sz w:val="15"/>
                <w:szCs w:val="15"/>
                <w:color w:val="auto"/>
              </w:rPr>
              <w:t>(In Thousands of Hectoliters)</w:t>
            </w:r>
          </w:p>
        </w:tc>
        <w:tc>
          <w:tcPr>
            <w:tcW w:w="840" w:type="dxa"/>
            <w:vAlign w:val="bottom"/>
          </w:tcPr>
          <w:p>
            <w:pPr>
              <w:spacing w:after="0"/>
              <w:rPr>
                <w:sz w:val="14"/>
                <w:szCs w:val="14"/>
                <w:color w:val="auto"/>
              </w:rPr>
            </w:pPr>
          </w:p>
        </w:tc>
      </w:tr>
      <w:tr>
        <w:trPr>
          <w:trHeight w:val="336"/>
        </w:trPr>
        <w:tc>
          <w:tcPr>
            <w:tcW w:w="2980" w:type="dxa"/>
            <w:vAlign w:val="bottom"/>
          </w:tcPr>
          <w:p>
            <w:pPr>
              <w:spacing w:after="0"/>
              <w:rPr>
                <w:sz w:val="24"/>
                <w:szCs w:val="2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2002</w:t>
            </w:r>
          </w:p>
        </w:tc>
        <w:tc>
          <w:tcPr>
            <w:tcW w:w="1140" w:type="dxa"/>
            <w:vAlign w:val="bottom"/>
          </w:tcPr>
          <w:p>
            <w:pPr>
              <w:ind w:left="400"/>
              <w:spacing w:after="0"/>
              <w:rPr>
                <w:sz w:val="20"/>
                <w:szCs w:val="20"/>
                <w:color w:val="auto"/>
              </w:rPr>
            </w:pPr>
            <w:r>
              <w:rPr>
                <w:rFonts w:ascii="Courier New" w:cs="Courier New" w:eastAsia="Courier New" w:hAnsi="Courier New"/>
                <w:sz w:val="15"/>
                <w:szCs w:val="15"/>
                <w:color w:val="auto"/>
              </w:rPr>
              <w:t>2001</w:t>
            </w: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2000</w:t>
            </w: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1999</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1998</w:t>
            </w: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w w:val="99"/>
              </w:rPr>
              <w:t>Domestic Sales Volume............</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21,856</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22,018</w:t>
            </w:r>
          </w:p>
        </w:tc>
        <w:tc>
          <w:tcPr>
            <w:tcW w:w="11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21,868</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22,197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21,501</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Export Sales Volume..............</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1,955</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1,843</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1,728</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1,511</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1,322</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Total Sales Volume...............</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23,811</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23,861</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23,596</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23,708</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22,823</w:t>
            </w:r>
          </w:p>
        </w:tc>
      </w:tr>
    </w:tbl>
    <w:p>
      <w:pPr>
        <w:spacing w:after="0" w:line="34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FEMSA Cerveza's domestic sales volume recorded a five-year compounded average growth rate of 0.4% for the period 1998-2002. This compares with the negative 0.5% five-year compounded average growth rate of the Mexican GDP. Domestic net sales for the same period recorded a 3.1% compounded average growth rate. Domestic sales volume is closely correlated to Mexican GDP growth, and we believe this relationship has been reinforced by FEMSA Cerveza's deliberate effort to return the price level of beer in the period spanning from 1995 to 2001 to its historic level and to maintain such level in 2002. Currently, FEMSA Cerveza's strategy continues to focus on increasing consumption of its products while improving the real price of beer through revenue management strategies.</w:t>
      </w:r>
    </w:p>
    <w:p>
      <w:pPr>
        <w:spacing w:after="0" w:line="1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FEMSA Cerveza's Beer Presentations</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FEMSA Cerveza produces beer in returnable glass bottles and kegs and in non-returnable metal cans and glass bottles. The following table shows the percent of total sales volume by presentation for the year ended December 31, 2002:</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39"/>
          </w:cols>
          <w:pgMar w:left="220" w:top="617" w:right="1440"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70"/>
        </w:trPr>
        <w:tc>
          <w:tcPr>
            <w:tcW w:w="3780" w:type="dxa"/>
            <w:vAlign w:val="bottom"/>
          </w:tcPr>
          <w:p>
            <w:pPr>
              <w:spacing w:after="0"/>
              <w:rPr>
                <w:sz w:val="14"/>
                <w:szCs w:val="14"/>
                <w:color w:val="auto"/>
              </w:rPr>
            </w:pPr>
          </w:p>
        </w:tc>
        <w:tc>
          <w:tcPr>
            <w:tcW w:w="4280" w:type="dxa"/>
            <w:vAlign w:val="bottom"/>
          </w:tcPr>
          <w:p>
            <w:pPr>
              <w:jc w:val="right"/>
              <w:spacing w:after="0"/>
              <w:rPr>
                <w:sz w:val="20"/>
                <w:szCs w:val="20"/>
                <w:color w:val="auto"/>
              </w:rPr>
            </w:pPr>
            <w:r>
              <w:rPr>
                <w:rFonts w:ascii="Courier New" w:cs="Courier New" w:eastAsia="Courier New" w:hAnsi="Courier New"/>
                <w:sz w:val="15"/>
                <w:szCs w:val="15"/>
                <w:color w:val="auto"/>
                <w:w w:val="96"/>
              </w:rPr>
              <w:t>FEMSA Cerveza's Total Beer Volume by Presentation</w:t>
            </w:r>
          </w:p>
        </w:tc>
      </w:tr>
      <w:tr>
        <w:trPr>
          <w:trHeight w:val="168"/>
        </w:trPr>
        <w:tc>
          <w:tcPr>
            <w:tcW w:w="3780" w:type="dxa"/>
            <w:vAlign w:val="bottom"/>
          </w:tcPr>
          <w:p>
            <w:pPr>
              <w:spacing w:after="0"/>
              <w:rPr>
                <w:sz w:val="14"/>
                <w:szCs w:val="14"/>
                <w:color w:val="auto"/>
              </w:rPr>
            </w:pPr>
          </w:p>
        </w:tc>
        <w:tc>
          <w:tcPr>
            <w:tcW w:w="428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As of December 31, 2002</w:t>
            </w:r>
          </w:p>
        </w:tc>
      </w:tr>
      <w:tr>
        <w:trPr>
          <w:trHeight w:val="505"/>
        </w:trPr>
        <w:tc>
          <w:tcPr>
            <w:tcW w:w="3780" w:type="dxa"/>
            <w:vAlign w:val="bottom"/>
          </w:tcPr>
          <w:p>
            <w:pPr>
              <w:jc w:val="right"/>
              <w:ind w:right="2651"/>
              <w:spacing w:after="0"/>
              <w:rPr>
                <w:sz w:val="20"/>
                <w:szCs w:val="20"/>
                <w:color w:val="auto"/>
              </w:rPr>
            </w:pPr>
            <w:r>
              <w:rPr>
                <w:rFonts w:ascii="Courier New" w:cs="Courier New" w:eastAsia="Courier New" w:hAnsi="Courier New"/>
                <w:sz w:val="15"/>
                <w:szCs w:val="15"/>
                <w:color w:val="auto"/>
                <w:w w:val="96"/>
              </w:rPr>
              <w:t>Presentation</w:t>
            </w:r>
          </w:p>
        </w:tc>
        <w:tc>
          <w:tcPr>
            <w:tcW w:w="4280" w:type="dxa"/>
            <w:vAlign w:val="bottom"/>
          </w:tcPr>
          <w:p>
            <w:pPr>
              <w:spacing w:after="0"/>
              <w:rPr>
                <w:sz w:val="24"/>
                <w:szCs w:val="24"/>
                <w:color w:val="auto"/>
              </w:rPr>
            </w:pPr>
          </w:p>
        </w:tc>
      </w:tr>
      <w:tr>
        <w:trPr>
          <w:trHeight w:val="168"/>
        </w:trPr>
        <w:tc>
          <w:tcPr>
            <w:tcW w:w="3780" w:type="dxa"/>
            <w:vAlign w:val="bottom"/>
          </w:tcPr>
          <w:p>
            <w:pPr>
              <w:jc w:val="right"/>
              <w:spacing w:after="0"/>
              <w:rPr>
                <w:sz w:val="20"/>
                <w:szCs w:val="20"/>
                <w:color w:val="auto"/>
              </w:rPr>
            </w:pPr>
            <w:r>
              <w:rPr>
                <w:rFonts w:ascii="Courier New" w:cs="Courier New" w:eastAsia="Courier New" w:hAnsi="Courier New"/>
                <w:sz w:val="14"/>
                <w:szCs w:val="14"/>
                <w:color w:val="auto"/>
                <w:w w:val="74"/>
              </w:rPr>
              <w:t>Returnable Bottle--325 ml...................................</w:t>
            </w:r>
          </w:p>
        </w:tc>
        <w:tc>
          <w:tcPr>
            <w:tcW w:w="4280" w:type="dxa"/>
            <w:vAlign w:val="bottom"/>
          </w:tcPr>
          <w:p>
            <w:pPr>
              <w:jc w:val="right"/>
              <w:ind w:right="1767"/>
              <w:spacing w:after="0" w:line="168" w:lineRule="exact"/>
              <w:rPr>
                <w:sz w:val="20"/>
                <w:szCs w:val="20"/>
                <w:color w:val="auto"/>
              </w:rPr>
            </w:pPr>
            <w:r>
              <w:rPr>
                <w:rFonts w:ascii="Courier New" w:cs="Courier New" w:eastAsia="Courier New" w:hAnsi="Courier New"/>
                <w:sz w:val="15"/>
                <w:szCs w:val="15"/>
                <w:color w:val="auto"/>
              </w:rPr>
              <w:t>24.7%</w:t>
            </w:r>
          </w:p>
        </w:tc>
      </w:tr>
      <w:tr>
        <w:trPr>
          <w:trHeight w:val="168"/>
        </w:trPr>
        <w:tc>
          <w:tcPr>
            <w:tcW w:w="3780" w:type="dxa"/>
            <w:vAlign w:val="bottom"/>
          </w:tcPr>
          <w:p>
            <w:pPr>
              <w:jc w:val="right"/>
              <w:spacing w:after="0"/>
              <w:rPr>
                <w:sz w:val="20"/>
                <w:szCs w:val="20"/>
                <w:color w:val="auto"/>
              </w:rPr>
            </w:pPr>
            <w:r>
              <w:rPr>
                <w:rFonts w:ascii="Courier New" w:cs="Courier New" w:eastAsia="Courier New" w:hAnsi="Courier New"/>
                <w:sz w:val="14"/>
                <w:szCs w:val="14"/>
                <w:color w:val="auto"/>
                <w:w w:val="74"/>
              </w:rPr>
              <w:t>Returnable Bottle--1 liter..................................</w:t>
            </w:r>
          </w:p>
        </w:tc>
        <w:tc>
          <w:tcPr>
            <w:tcW w:w="4280" w:type="dxa"/>
            <w:vAlign w:val="bottom"/>
          </w:tcPr>
          <w:p>
            <w:pPr>
              <w:jc w:val="right"/>
              <w:ind w:right="1847"/>
              <w:spacing w:after="0" w:line="168" w:lineRule="exact"/>
              <w:rPr>
                <w:sz w:val="20"/>
                <w:szCs w:val="20"/>
                <w:color w:val="auto"/>
              </w:rPr>
            </w:pPr>
            <w:r>
              <w:rPr>
                <w:rFonts w:ascii="Courier New" w:cs="Courier New" w:eastAsia="Courier New" w:hAnsi="Courier New"/>
                <w:sz w:val="15"/>
                <w:szCs w:val="15"/>
                <w:color w:val="auto"/>
              </w:rPr>
              <w:t>38.4</w:t>
            </w:r>
          </w:p>
        </w:tc>
      </w:tr>
      <w:tr>
        <w:trPr>
          <w:trHeight w:val="168"/>
        </w:trPr>
        <w:tc>
          <w:tcPr>
            <w:tcW w:w="3780" w:type="dxa"/>
            <w:vAlign w:val="bottom"/>
          </w:tcPr>
          <w:p>
            <w:pPr>
              <w:jc w:val="right"/>
              <w:spacing w:after="0"/>
              <w:rPr>
                <w:sz w:val="20"/>
                <w:szCs w:val="20"/>
                <w:color w:val="auto"/>
              </w:rPr>
            </w:pPr>
            <w:r>
              <w:rPr>
                <w:rFonts w:ascii="Courier New" w:cs="Courier New" w:eastAsia="Courier New" w:hAnsi="Courier New"/>
                <w:sz w:val="14"/>
                <w:szCs w:val="14"/>
                <w:color w:val="auto"/>
                <w:w w:val="74"/>
              </w:rPr>
              <w:t>Returnable Bottle--190 ml...................................</w:t>
            </w:r>
          </w:p>
        </w:tc>
        <w:tc>
          <w:tcPr>
            <w:tcW w:w="4280" w:type="dxa"/>
            <w:vAlign w:val="bottom"/>
          </w:tcPr>
          <w:p>
            <w:pPr>
              <w:jc w:val="right"/>
              <w:ind w:right="1847"/>
              <w:spacing w:after="0" w:line="168" w:lineRule="exact"/>
              <w:rPr>
                <w:sz w:val="20"/>
                <w:szCs w:val="20"/>
                <w:color w:val="auto"/>
              </w:rPr>
            </w:pPr>
            <w:r>
              <w:rPr>
                <w:rFonts w:ascii="Courier New" w:cs="Courier New" w:eastAsia="Courier New" w:hAnsi="Courier New"/>
                <w:sz w:val="15"/>
                <w:szCs w:val="15"/>
                <w:color w:val="auto"/>
              </w:rPr>
              <w:t>5.1</w:t>
            </w:r>
          </w:p>
        </w:tc>
      </w:tr>
      <w:tr>
        <w:trPr>
          <w:trHeight w:val="168"/>
        </w:trPr>
        <w:tc>
          <w:tcPr>
            <w:tcW w:w="3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5"/>
              </w:rPr>
              <w:t>Subtotal Returnable Bottles............................</w:t>
            </w:r>
          </w:p>
        </w:tc>
        <w:tc>
          <w:tcPr>
            <w:tcW w:w="4280" w:type="dxa"/>
            <w:vAlign w:val="bottom"/>
          </w:tcPr>
          <w:p>
            <w:pPr>
              <w:jc w:val="right"/>
              <w:ind w:right="1847"/>
              <w:spacing w:after="0" w:line="168" w:lineRule="exact"/>
              <w:rPr>
                <w:sz w:val="20"/>
                <w:szCs w:val="20"/>
                <w:color w:val="auto"/>
              </w:rPr>
            </w:pPr>
            <w:r>
              <w:rPr>
                <w:rFonts w:ascii="Courier New" w:cs="Courier New" w:eastAsia="Courier New" w:hAnsi="Courier New"/>
                <w:sz w:val="15"/>
                <w:szCs w:val="15"/>
                <w:color w:val="auto"/>
              </w:rPr>
              <w:t>68.2</w:t>
            </w:r>
          </w:p>
        </w:tc>
      </w:tr>
      <w:tr>
        <w:trPr>
          <w:trHeight w:val="168"/>
        </w:trPr>
        <w:tc>
          <w:tcPr>
            <w:tcW w:w="3780" w:type="dxa"/>
            <w:vAlign w:val="bottom"/>
          </w:tcPr>
          <w:p>
            <w:pPr>
              <w:jc w:val="right"/>
              <w:spacing w:after="0"/>
              <w:rPr>
                <w:sz w:val="20"/>
                <w:szCs w:val="20"/>
                <w:color w:val="auto"/>
              </w:rPr>
            </w:pPr>
            <w:r>
              <w:rPr>
                <w:rFonts w:ascii="Courier New" w:cs="Courier New" w:eastAsia="Courier New" w:hAnsi="Courier New"/>
                <w:sz w:val="14"/>
                <w:szCs w:val="14"/>
                <w:color w:val="auto"/>
                <w:w w:val="74"/>
              </w:rPr>
              <w:t>Non-returnable Bottle--325 ml and 190 ml....................</w:t>
            </w:r>
          </w:p>
        </w:tc>
        <w:tc>
          <w:tcPr>
            <w:tcW w:w="4280" w:type="dxa"/>
            <w:vAlign w:val="bottom"/>
          </w:tcPr>
          <w:p>
            <w:pPr>
              <w:jc w:val="right"/>
              <w:ind w:right="1847"/>
              <w:spacing w:after="0" w:line="168" w:lineRule="exact"/>
              <w:rPr>
                <w:sz w:val="20"/>
                <w:szCs w:val="20"/>
                <w:color w:val="auto"/>
              </w:rPr>
            </w:pPr>
            <w:r>
              <w:rPr>
                <w:rFonts w:ascii="Courier New" w:cs="Courier New" w:eastAsia="Courier New" w:hAnsi="Courier New"/>
                <w:sz w:val="15"/>
                <w:szCs w:val="15"/>
                <w:color w:val="auto"/>
              </w:rPr>
              <w:t>7.6</w:t>
            </w:r>
          </w:p>
        </w:tc>
      </w:tr>
      <w:tr>
        <w:trPr>
          <w:trHeight w:val="168"/>
        </w:trPr>
        <w:tc>
          <w:tcPr>
            <w:tcW w:w="3780" w:type="dxa"/>
            <w:vAlign w:val="bottom"/>
          </w:tcPr>
          <w:p>
            <w:pPr>
              <w:jc w:val="right"/>
              <w:spacing w:after="0"/>
              <w:rPr>
                <w:sz w:val="20"/>
                <w:szCs w:val="20"/>
                <w:color w:val="auto"/>
              </w:rPr>
            </w:pPr>
            <w:r>
              <w:rPr>
                <w:rFonts w:ascii="Courier New" w:cs="Courier New" w:eastAsia="Courier New" w:hAnsi="Courier New"/>
                <w:sz w:val="14"/>
                <w:szCs w:val="14"/>
                <w:color w:val="auto"/>
                <w:w w:val="74"/>
              </w:rPr>
              <w:t>Cans........................................................</w:t>
            </w:r>
          </w:p>
        </w:tc>
        <w:tc>
          <w:tcPr>
            <w:tcW w:w="4280" w:type="dxa"/>
            <w:vAlign w:val="bottom"/>
          </w:tcPr>
          <w:p>
            <w:pPr>
              <w:jc w:val="right"/>
              <w:ind w:right="1847"/>
              <w:spacing w:after="0" w:line="168" w:lineRule="exact"/>
              <w:rPr>
                <w:sz w:val="20"/>
                <w:szCs w:val="20"/>
                <w:color w:val="auto"/>
              </w:rPr>
            </w:pPr>
            <w:r>
              <w:rPr>
                <w:rFonts w:ascii="Courier New" w:cs="Courier New" w:eastAsia="Courier New" w:hAnsi="Courier New"/>
                <w:sz w:val="15"/>
                <w:szCs w:val="15"/>
                <w:color w:val="auto"/>
              </w:rPr>
              <w:t>22.5</w:t>
            </w:r>
          </w:p>
        </w:tc>
      </w:tr>
      <w:tr>
        <w:trPr>
          <w:trHeight w:val="168"/>
        </w:trPr>
        <w:tc>
          <w:tcPr>
            <w:tcW w:w="3780" w:type="dxa"/>
            <w:vAlign w:val="bottom"/>
          </w:tcPr>
          <w:p>
            <w:pPr>
              <w:jc w:val="right"/>
              <w:spacing w:after="0"/>
              <w:rPr>
                <w:sz w:val="20"/>
                <w:szCs w:val="20"/>
                <w:color w:val="auto"/>
              </w:rPr>
            </w:pPr>
            <w:r>
              <w:rPr>
                <w:rFonts w:ascii="Courier New" w:cs="Courier New" w:eastAsia="Courier New" w:hAnsi="Courier New"/>
                <w:sz w:val="14"/>
                <w:szCs w:val="14"/>
                <w:color w:val="auto"/>
                <w:w w:val="74"/>
              </w:rPr>
              <w:t>Kegs........................................................</w:t>
            </w:r>
          </w:p>
        </w:tc>
        <w:tc>
          <w:tcPr>
            <w:tcW w:w="4280" w:type="dxa"/>
            <w:vAlign w:val="bottom"/>
          </w:tcPr>
          <w:p>
            <w:pPr>
              <w:jc w:val="right"/>
              <w:ind w:right="1847"/>
              <w:spacing w:after="0" w:line="168" w:lineRule="exact"/>
              <w:rPr>
                <w:sz w:val="20"/>
                <w:szCs w:val="20"/>
                <w:color w:val="auto"/>
              </w:rPr>
            </w:pPr>
            <w:r>
              <w:rPr>
                <w:rFonts w:ascii="Courier New" w:cs="Courier New" w:eastAsia="Courier New" w:hAnsi="Courier New"/>
                <w:sz w:val="15"/>
                <w:szCs w:val="15"/>
                <w:color w:val="auto"/>
              </w:rPr>
              <w:t>1.7</w:t>
            </w:r>
          </w:p>
        </w:tc>
      </w:tr>
      <w:tr>
        <w:trPr>
          <w:trHeight w:val="168"/>
        </w:trPr>
        <w:tc>
          <w:tcPr>
            <w:tcW w:w="3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5"/>
              </w:rPr>
              <w:t>Total..................................................</w:t>
            </w:r>
          </w:p>
        </w:tc>
        <w:tc>
          <w:tcPr>
            <w:tcW w:w="4280" w:type="dxa"/>
            <w:vAlign w:val="bottom"/>
          </w:tcPr>
          <w:p>
            <w:pPr>
              <w:jc w:val="right"/>
              <w:ind w:right="1767"/>
              <w:spacing w:after="0" w:line="168" w:lineRule="exact"/>
              <w:rPr>
                <w:sz w:val="20"/>
                <w:szCs w:val="20"/>
                <w:color w:val="auto"/>
              </w:rPr>
            </w:pPr>
            <w:r>
              <w:rPr>
                <w:rFonts w:ascii="Courier New" w:cs="Courier New" w:eastAsia="Courier New" w:hAnsi="Courier New"/>
                <w:sz w:val="15"/>
                <w:szCs w:val="15"/>
                <w:color w:val="auto"/>
              </w:rPr>
              <w:t>100.0%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rPr>
              <w:t>Returnable presentations</w:t>
            </w:r>
          </w:p>
        </w:tc>
        <w:tc>
          <w:tcPr>
            <w:tcW w:w="2100" w:type="dxa"/>
            <w:vAlign w:val="bottom"/>
          </w:tcPr>
          <w:p>
            <w:pPr>
              <w:ind w:left="660"/>
              <w:spacing w:after="0"/>
              <w:rPr>
                <w:sz w:val="20"/>
                <w:szCs w:val="20"/>
                <w:color w:val="auto"/>
              </w:rPr>
            </w:pPr>
            <w:r>
              <w:rPr>
                <w:rFonts w:ascii="Courier New" w:cs="Courier New" w:eastAsia="Courier New" w:hAnsi="Courier New"/>
                <w:sz w:val="15"/>
                <w:szCs w:val="15"/>
                <w:color w:val="auto"/>
                <w:w w:val="98"/>
              </w:rPr>
              <w:t>The most popular</w:t>
            </w:r>
          </w:p>
        </w:tc>
        <w:tc>
          <w:tcPr>
            <w:tcW w:w="5120" w:type="dxa"/>
            <w:vAlign w:val="bottom"/>
          </w:tcPr>
          <w:p>
            <w:pPr>
              <w:ind w:left="40"/>
              <w:spacing w:after="0"/>
              <w:rPr>
                <w:sz w:val="20"/>
                <w:szCs w:val="20"/>
                <w:color w:val="auto"/>
              </w:rPr>
            </w:pPr>
            <w:r>
              <w:rPr>
                <w:rFonts w:ascii="Courier New" w:cs="Courier New" w:eastAsia="Courier New" w:hAnsi="Courier New"/>
                <w:sz w:val="15"/>
                <w:szCs w:val="15"/>
                <w:color w:val="auto"/>
              </w:rPr>
              <w:t>form of packaging in the Mexican beer market is the</w:t>
            </w:r>
          </w:p>
        </w:tc>
      </w:tr>
      <w:tr>
        <w:trPr>
          <w:trHeight w:val="168"/>
        </w:trPr>
        <w:tc>
          <w:tcPr>
            <w:tcW w:w="2940" w:type="dxa"/>
            <w:vAlign w:val="bottom"/>
          </w:tcPr>
          <w:p>
            <w:pPr>
              <w:spacing w:after="0"/>
              <w:rPr>
                <w:sz w:val="14"/>
                <w:szCs w:val="14"/>
                <w:color w:val="auto"/>
              </w:rPr>
            </w:pPr>
          </w:p>
        </w:tc>
        <w:tc>
          <w:tcPr>
            <w:tcW w:w="7220" w:type="dxa"/>
            <w:vAlign w:val="bottom"/>
            <w:gridSpan w:val="2"/>
          </w:tcPr>
          <w:p>
            <w:pPr>
              <w:ind w:left="660"/>
              <w:spacing w:after="0" w:line="168" w:lineRule="exact"/>
              <w:rPr>
                <w:sz w:val="20"/>
                <w:szCs w:val="20"/>
                <w:color w:val="auto"/>
              </w:rPr>
            </w:pPr>
            <w:r>
              <w:rPr>
                <w:rFonts w:ascii="Courier New" w:cs="Courier New" w:eastAsia="Courier New" w:hAnsi="Courier New"/>
                <w:sz w:val="15"/>
                <w:szCs w:val="15"/>
                <w:color w:val="auto"/>
              </w:rPr>
              <w:t>returnable bottle.  FEMSA Cerveza believes that the popularity of the</w:t>
            </w:r>
          </w:p>
        </w:tc>
      </w:tr>
      <w:tr>
        <w:trPr>
          <w:trHeight w:val="168"/>
        </w:trPr>
        <w:tc>
          <w:tcPr>
            <w:tcW w:w="2940" w:type="dxa"/>
            <w:vAlign w:val="bottom"/>
          </w:tcPr>
          <w:p>
            <w:pPr>
              <w:spacing w:after="0"/>
              <w:rPr>
                <w:sz w:val="14"/>
                <w:szCs w:val="14"/>
                <w:color w:val="auto"/>
              </w:rPr>
            </w:pPr>
          </w:p>
        </w:tc>
        <w:tc>
          <w:tcPr>
            <w:tcW w:w="7220" w:type="dxa"/>
            <w:vAlign w:val="bottom"/>
            <w:gridSpan w:val="2"/>
          </w:tcPr>
          <w:p>
            <w:pPr>
              <w:ind w:left="660"/>
              <w:spacing w:after="0" w:line="168" w:lineRule="exact"/>
              <w:rPr>
                <w:sz w:val="20"/>
                <w:szCs w:val="20"/>
                <w:color w:val="auto"/>
              </w:rPr>
            </w:pPr>
            <w:r>
              <w:rPr>
                <w:rFonts w:ascii="Courier New" w:cs="Courier New" w:eastAsia="Courier New" w:hAnsi="Courier New"/>
                <w:sz w:val="15"/>
                <w:szCs w:val="15"/>
                <w:color w:val="auto"/>
              </w:rPr>
              <w:t>returnable bottle is attributable to its lower price to the consumer.</w:t>
            </w:r>
          </w:p>
        </w:tc>
      </w:tr>
      <w:tr>
        <w:trPr>
          <w:trHeight w:val="168"/>
        </w:trPr>
        <w:tc>
          <w:tcPr>
            <w:tcW w:w="2940" w:type="dxa"/>
            <w:vAlign w:val="bottom"/>
          </w:tcPr>
          <w:p>
            <w:pPr>
              <w:spacing w:after="0"/>
              <w:rPr>
                <w:sz w:val="14"/>
                <w:szCs w:val="14"/>
                <w:color w:val="auto"/>
              </w:rPr>
            </w:pPr>
          </w:p>
        </w:tc>
        <w:tc>
          <w:tcPr>
            <w:tcW w:w="210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w w:val="98"/>
              </w:rPr>
              <w:t>While returnable</w:t>
            </w:r>
          </w:p>
        </w:tc>
        <w:tc>
          <w:tcPr>
            <w:tcW w:w="5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bottles generally cost approximately twice as much to</w:t>
            </w:r>
          </w:p>
        </w:tc>
      </w:tr>
      <w:tr>
        <w:trPr>
          <w:trHeight w:val="168"/>
        </w:trPr>
        <w:tc>
          <w:tcPr>
            <w:tcW w:w="2940" w:type="dxa"/>
            <w:vAlign w:val="bottom"/>
          </w:tcPr>
          <w:p>
            <w:pPr>
              <w:spacing w:after="0"/>
              <w:rPr>
                <w:sz w:val="14"/>
                <w:szCs w:val="14"/>
                <w:color w:val="auto"/>
              </w:rPr>
            </w:pPr>
          </w:p>
        </w:tc>
        <w:tc>
          <w:tcPr>
            <w:tcW w:w="7220" w:type="dxa"/>
            <w:vAlign w:val="bottom"/>
            <w:gridSpan w:val="2"/>
          </w:tcPr>
          <w:p>
            <w:pPr>
              <w:ind w:left="660"/>
              <w:spacing w:after="0" w:line="168" w:lineRule="exact"/>
              <w:rPr>
                <w:sz w:val="20"/>
                <w:szCs w:val="20"/>
                <w:color w:val="auto"/>
              </w:rPr>
            </w:pPr>
            <w:r>
              <w:rPr>
                <w:rFonts w:ascii="Courier New" w:cs="Courier New" w:eastAsia="Courier New" w:hAnsi="Courier New"/>
                <w:sz w:val="15"/>
                <w:szCs w:val="15"/>
                <w:color w:val="auto"/>
                <w:w w:val="96"/>
              </w:rPr>
              <w:t>produce as non-returnable bottles, returnable bottles may be reused as many</w:t>
            </w:r>
          </w:p>
        </w:tc>
      </w:tr>
      <w:tr>
        <w:trPr>
          <w:trHeight w:val="168"/>
        </w:trPr>
        <w:tc>
          <w:tcPr>
            <w:tcW w:w="2940" w:type="dxa"/>
            <w:vAlign w:val="bottom"/>
          </w:tcPr>
          <w:p>
            <w:pPr>
              <w:spacing w:after="0"/>
              <w:rPr>
                <w:sz w:val="14"/>
                <w:szCs w:val="14"/>
                <w:color w:val="auto"/>
              </w:rPr>
            </w:pPr>
          </w:p>
        </w:tc>
        <w:tc>
          <w:tcPr>
            <w:tcW w:w="7220" w:type="dxa"/>
            <w:vAlign w:val="bottom"/>
            <w:gridSpan w:val="2"/>
          </w:tcPr>
          <w:p>
            <w:pPr>
              <w:ind w:left="660"/>
              <w:spacing w:after="0" w:line="168" w:lineRule="exact"/>
              <w:rPr>
                <w:sz w:val="20"/>
                <w:szCs w:val="20"/>
                <w:color w:val="auto"/>
              </w:rPr>
            </w:pPr>
            <w:r>
              <w:rPr>
                <w:rFonts w:ascii="Courier New" w:cs="Courier New" w:eastAsia="Courier New" w:hAnsi="Courier New"/>
                <w:sz w:val="15"/>
                <w:szCs w:val="15"/>
                <w:color w:val="auto"/>
                <w:w w:val="96"/>
              </w:rPr>
              <w:t>as 30 times before being recycled.  As a result, beer producers are able to</w:t>
            </w:r>
          </w:p>
        </w:tc>
      </w:tr>
      <w:tr>
        <w:trPr>
          <w:trHeight w:val="168"/>
        </w:trPr>
        <w:tc>
          <w:tcPr>
            <w:tcW w:w="2940" w:type="dxa"/>
            <w:vAlign w:val="bottom"/>
          </w:tcPr>
          <w:p>
            <w:pPr>
              <w:spacing w:after="0"/>
              <w:rPr>
                <w:sz w:val="14"/>
                <w:szCs w:val="14"/>
                <w:color w:val="auto"/>
              </w:rPr>
            </w:pPr>
          </w:p>
        </w:tc>
        <w:tc>
          <w:tcPr>
            <w:tcW w:w="7220" w:type="dxa"/>
            <w:vAlign w:val="bottom"/>
            <w:gridSpan w:val="2"/>
          </w:tcPr>
          <w:p>
            <w:pPr>
              <w:ind w:left="660"/>
              <w:spacing w:after="0" w:line="168" w:lineRule="exact"/>
              <w:rPr>
                <w:sz w:val="20"/>
                <w:szCs w:val="20"/>
                <w:color w:val="auto"/>
              </w:rPr>
            </w:pPr>
            <w:r>
              <w:rPr>
                <w:rFonts w:ascii="Courier New" w:cs="Courier New" w:eastAsia="Courier New" w:hAnsi="Courier New"/>
                <w:sz w:val="15"/>
                <w:szCs w:val="15"/>
                <w:color w:val="auto"/>
              </w:rPr>
              <w:t>charge lower prices for beer in returnable bottles.</w:t>
            </w:r>
          </w:p>
        </w:tc>
      </w:tr>
      <w:tr>
        <w:trPr>
          <w:trHeight w:val="336"/>
        </w:trPr>
        <w:tc>
          <w:tcPr>
            <w:tcW w:w="2940" w:type="dxa"/>
            <w:vAlign w:val="bottom"/>
          </w:tcPr>
          <w:p>
            <w:pPr>
              <w:spacing w:after="0"/>
              <w:rPr>
                <w:sz w:val="20"/>
                <w:szCs w:val="20"/>
                <w:color w:val="auto"/>
              </w:rPr>
            </w:pPr>
            <w:r>
              <w:rPr>
                <w:rFonts w:ascii="Courier New" w:cs="Courier New" w:eastAsia="Courier New" w:hAnsi="Courier New"/>
                <w:sz w:val="15"/>
                <w:szCs w:val="15"/>
                <w:color w:val="auto"/>
              </w:rPr>
              <w:t>Non-returnable presentations</w:t>
            </w:r>
          </w:p>
        </w:tc>
        <w:tc>
          <w:tcPr>
            <w:tcW w:w="722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FEMSA Cerveza's domestic presentation mix is weighted slightly more to</w:t>
            </w:r>
          </w:p>
        </w:tc>
      </w:tr>
      <w:tr>
        <w:trPr>
          <w:trHeight w:val="168"/>
        </w:trPr>
        <w:tc>
          <w:tcPr>
            <w:tcW w:w="2940" w:type="dxa"/>
            <w:vAlign w:val="bottom"/>
          </w:tcPr>
          <w:p>
            <w:pPr>
              <w:spacing w:after="0"/>
              <w:rPr>
                <w:sz w:val="14"/>
                <w:szCs w:val="14"/>
                <w:color w:val="auto"/>
              </w:rPr>
            </w:pPr>
          </w:p>
        </w:tc>
        <w:tc>
          <w:tcPr>
            <w:tcW w:w="7220" w:type="dxa"/>
            <w:vAlign w:val="bottom"/>
            <w:gridSpan w:val="2"/>
          </w:tcPr>
          <w:p>
            <w:pPr>
              <w:ind w:left="660"/>
              <w:spacing w:after="0" w:line="168" w:lineRule="exact"/>
              <w:rPr>
                <w:sz w:val="20"/>
                <w:szCs w:val="20"/>
                <w:color w:val="auto"/>
              </w:rPr>
            </w:pPr>
            <w:r>
              <w:rPr>
                <w:rFonts w:ascii="Courier New" w:cs="Courier New" w:eastAsia="Courier New" w:hAnsi="Courier New"/>
                <w:sz w:val="15"/>
                <w:szCs w:val="15"/>
                <w:color w:val="auto"/>
                <w:w w:val="96"/>
              </w:rPr>
              <w:t>non-returnable presentations than the industry in general, reflecting FEMSA</w:t>
            </w:r>
          </w:p>
        </w:tc>
      </w:tr>
      <w:tr>
        <w:trPr>
          <w:trHeight w:val="168"/>
        </w:trPr>
        <w:tc>
          <w:tcPr>
            <w:tcW w:w="2940" w:type="dxa"/>
            <w:vAlign w:val="bottom"/>
          </w:tcPr>
          <w:p>
            <w:pPr>
              <w:spacing w:after="0"/>
              <w:rPr>
                <w:sz w:val="14"/>
                <w:szCs w:val="14"/>
                <w:color w:val="auto"/>
              </w:rPr>
            </w:pPr>
          </w:p>
        </w:tc>
        <w:tc>
          <w:tcPr>
            <w:tcW w:w="7220" w:type="dxa"/>
            <w:vAlign w:val="bottom"/>
            <w:gridSpan w:val="2"/>
          </w:tcPr>
          <w:p>
            <w:pPr>
              <w:ind w:left="660"/>
              <w:spacing w:after="0" w:line="168" w:lineRule="exact"/>
              <w:rPr>
                <w:sz w:val="20"/>
                <w:szCs w:val="20"/>
                <w:color w:val="auto"/>
              </w:rPr>
            </w:pPr>
            <w:r>
              <w:rPr>
                <w:rFonts w:ascii="Courier New" w:cs="Courier New" w:eastAsia="Courier New" w:hAnsi="Courier New"/>
                <w:sz w:val="15"/>
                <w:szCs w:val="15"/>
                <w:color w:val="auto"/>
              </w:rPr>
              <w:t>Cerveza's broader presentation portfolio.  Export volume is entirely</w:t>
            </w:r>
          </w:p>
        </w:tc>
      </w:tr>
      <w:tr>
        <w:trPr>
          <w:trHeight w:val="168"/>
        </w:trPr>
        <w:tc>
          <w:tcPr>
            <w:tcW w:w="2940" w:type="dxa"/>
            <w:vAlign w:val="bottom"/>
          </w:tcPr>
          <w:p>
            <w:pPr>
              <w:spacing w:after="0"/>
              <w:rPr>
                <w:sz w:val="14"/>
                <w:szCs w:val="14"/>
                <w:color w:val="auto"/>
              </w:rPr>
            </w:pPr>
          </w:p>
        </w:tc>
        <w:tc>
          <w:tcPr>
            <w:tcW w:w="7220" w:type="dxa"/>
            <w:vAlign w:val="bottom"/>
            <w:gridSpan w:val="2"/>
          </w:tcPr>
          <w:p>
            <w:pPr>
              <w:ind w:left="660"/>
              <w:spacing w:after="0" w:line="168" w:lineRule="exact"/>
              <w:rPr>
                <w:sz w:val="20"/>
                <w:szCs w:val="20"/>
                <w:color w:val="auto"/>
              </w:rPr>
            </w:pPr>
            <w:r>
              <w:rPr>
                <w:rFonts w:ascii="Courier New" w:cs="Courier New" w:eastAsia="Courier New" w:hAnsi="Courier New"/>
                <w:sz w:val="15"/>
                <w:szCs w:val="15"/>
                <w:color w:val="auto"/>
              </w:rPr>
              <w:t>packaged in non-returnable presentations, including glass and cans.</w:t>
            </w:r>
          </w:p>
        </w:tc>
      </w:tr>
      <w:tr>
        <w:trPr>
          <w:trHeight w:val="168"/>
        </w:trPr>
        <w:tc>
          <w:tcPr>
            <w:tcW w:w="2940" w:type="dxa"/>
            <w:vAlign w:val="bottom"/>
          </w:tcPr>
          <w:p>
            <w:pPr>
              <w:spacing w:after="0"/>
              <w:rPr>
                <w:sz w:val="14"/>
                <w:szCs w:val="14"/>
                <w:color w:val="auto"/>
              </w:rPr>
            </w:pPr>
          </w:p>
        </w:tc>
        <w:tc>
          <w:tcPr>
            <w:tcW w:w="210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w w:val="98"/>
              </w:rPr>
              <w:t>Because cans are</w:t>
            </w:r>
          </w:p>
        </w:tc>
        <w:tc>
          <w:tcPr>
            <w:tcW w:w="5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the most expensive presentation, followed by</w:t>
            </w:r>
          </w:p>
        </w:tc>
      </w:tr>
      <w:tr>
        <w:trPr>
          <w:trHeight w:val="168"/>
        </w:trPr>
        <w:tc>
          <w:tcPr>
            <w:tcW w:w="2940" w:type="dxa"/>
            <w:vAlign w:val="bottom"/>
          </w:tcPr>
          <w:p>
            <w:pPr>
              <w:spacing w:after="0"/>
              <w:rPr>
                <w:sz w:val="14"/>
                <w:szCs w:val="14"/>
                <w:color w:val="auto"/>
              </w:rPr>
            </w:pPr>
          </w:p>
        </w:tc>
        <w:tc>
          <w:tcPr>
            <w:tcW w:w="7220" w:type="dxa"/>
            <w:vAlign w:val="bottom"/>
            <w:gridSpan w:val="2"/>
          </w:tcPr>
          <w:p>
            <w:pPr>
              <w:ind w:left="660"/>
              <w:spacing w:after="0" w:line="168" w:lineRule="exact"/>
              <w:rPr>
                <w:sz w:val="20"/>
                <w:szCs w:val="20"/>
                <w:color w:val="auto"/>
              </w:rPr>
            </w:pPr>
            <w:r>
              <w:rPr>
                <w:rFonts w:ascii="Courier New" w:cs="Courier New" w:eastAsia="Courier New" w:hAnsi="Courier New"/>
                <w:sz w:val="15"/>
                <w:szCs w:val="15"/>
                <w:color w:val="auto"/>
                <w:w w:val="96"/>
              </w:rPr>
              <w:t>non-returnable bottles, we believe that demand for presentations in cans is</w:t>
            </w:r>
          </w:p>
        </w:tc>
      </w:tr>
      <w:tr>
        <w:trPr>
          <w:trHeight w:val="168"/>
        </w:trPr>
        <w:tc>
          <w:tcPr>
            <w:tcW w:w="2940" w:type="dxa"/>
            <w:vAlign w:val="bottom"/>
          </w:tcPr>
          <w:p>
            <w:pPr>
              <w:spacing w:after="0"/>
              <w:rPr>
                <w:sz w:val="14"/>
                <w:szCs w:val="14"/>
                <w:color w:val="auto"/>
              </w:rPr>
            </w:pPr>
          </w:p>
        </w:tc>
        <w:tc>
          <w:tcPr>
            <w:tcW w:w="210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w w:val="98"/>
              </w:rPr>
              <w:t>highly sensitive</w:t>
            </w:r>
          </w:p>
        </w:tc>
        <w:tc>
          <w:tcPr>
            <w:tcW w:w="5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to economic factors.  During periods when the Mexican</w:t>
            </w:r>
          </w:p>
        </w:tc>
      </w:tr>
      <w:tr>
        <w:trPr>
          <w:trHeight w:val="168"/>
        </w:trPr>
        <w:tc>
          <w:tcPr>
            <w:tcW w:w="2940" w:type="dxa"/>
            <w:vAlign w:val="bottom"/>
          </w:tcPr>
          <w:p>
            <w:pPr>
              <w:spacing w:after="0"/>
              <w:rPr>
                <w:sz w:val="14"/>
                <w:szCs w:val="14"/>
                <w:color w:val="auto"/>
              </w:rPr>
            </w:pPr>
          </w:p>
        </w:tc>
        <w:tc>
          <w:tcPr>
            <w:tcW w:w="210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w w:val="98"/>
              </w:rPr>
              <w:t>economy is weak,</w:t>
            </w:r>
          </w:p>
        </w:tc>
        <w:tc>
          <w:tcPr>
            <w:tcW w:w="5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non-returnable bottle volumes generally increase at the</w:t>
            </w:r>
          </w:p>
        </w:tc>
      </w:tr>
      <w:tr>
        <w:trPr>
          <w:trHeight w:val="168"/>
        </w:trPr>
        <w:tc>
          <w:tcPr>
            <w:tcW w:w="2940" w:type="dxa"/>
            <w:vAlign w:val="bottom"/>
          </w:tcPr>
          <w:p>
            <w:pPr>
              <w:spacing w:after="0"/>
              <w:rPr>
                <w:sz w:val="14"/>
                <w:szCs w:val="14"/>
                <w:color w:val="auto"/>
              </w:rPr>
            </w:pPr>
          </w:p>
        </w:tc>
        <w:tc>
          <w:tcPr>
            <w:tcW w:w="210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w w:val="98"/>
              </w:rPr>
              <w:t>expense of metal</w:t>
            </w:r>
          </w:p>
        </w:tc>
        <w:tc>
          <w:tcPr>
            <w:tcW w:w="5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can volumes.</w:t>
            </w:r>
          </w:p>
        </w:tc>
      </w:tr>
      <w:tr>
        <w:trPr>
          <w:trHeight w:val="673"/>
        </w:trPr>
        <w:tc>
          <w:tcPr>
            <w:tcW w:w="2940" w:type="dxa"/>
            <w:vAlign w:val="bottom"/>
          </w:tcPr>
          <w:p>
            <w:pPr>
              <w:spacing w:after="0"/>
              <w:rPr>
                <w:sz w:val="24"/>
                <w:szCs w:val="24"/>
                <w:color w:val="auto"/>
              </w:rPr>
            </w:pPr>
          </w:p>
        </w:tc>
        <w:tc>
          <w:tcPr>
            <w:tcW w:w="2100" w:type="dxa"/>
            <w:vAlign w:val="bottom"/>
          </w:tcPr>
          <w:p>
            <w:pPr>
              <w:ind w:left="480"/>
              <w:spacing w:after="0"/>
              <w:rPr>
                <w:sz w:val="20"/>
                <w:szCs w:val="20"/>
                <w:color w:val="auto"/>
              </w:rPr>
            </w:pPr>
            <w:r>
              <w:rPr>
                <w:rFonts w:ascii="Courier New" w:cs="Courier New" w:eastAsia="Courier New" w:hAnsi="Courier New"/>
                <w:sz w:val="15"/>
                <w:szCs w:val="15"/>
                <w:color w:val="auto"/>
              </w:rPr>
              <w:t>30</w:t>
            </w:r>
          </w:p>
        </w:tc>
        <w:tc>
          <w:tcPr>
            <w:tcW w:w="5120" w:type="dxa"/>
            <w:vAlign w:val="bottom"/>
          </w:tcPr>
          <w:p>
            <w:pPr>
              <w:spacing w:after="0"/>
              <w:rPr>
                <w:sz w:val="24"/>
                <w:szCs w:val="24"/>
                <w:color w:val="auto"/>
              </w:rPr>
            </w:pPr>
          </w:p>
        </w:tc>
      </w:tr>
    </w:tbl>
    <w:p>
      <w:pPr>
        <w:sectPr>
          <w:pgSz w:w="11900" w:h="16838" w:orient="portrait"/>
          <w:cols w:equalWidth="0" w:num="1">
            <w:col w:w="10239"/>
          </w:cols>
          <w:pgMar w:left="220" w:top="953" w:right="1440" w:bottom="1440" w:gutter="0" w:footer="0" w:header="0"/>
        </w:sectPr>
      </w:pPr>
    </w:p>
    <w:bookmarkStart w:id="36" w:name="page37"/>
    <w:bookmarkEnd w:id="36"/>
    <w:p>
      <w:pPr>
        <w:ind w:left="440"/>
        <w:spacing w:after="0"/>
        <w:rPr>
          <w:sz w:val="20"/>
          <w:szCs w:val="20"/>
          <w:color w:val="auto"/>
        </w:rPr>
      </w:pPr>
      <w:r>
        <w:rPr>
          <w:rFonts w:ascii="Courier New" w:cs="Courier New" w:eastAsia="Courier New" w:hAnsi="Courier New"/>
          <w:sz w:val="15"/>
          <w:szCs w:val="15"/>
          <w:color w:val="auto"/>
        </w:rPr>
        <w:t>Relative Pricing in the Mexican Market</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Returnable bottles and kegs are the least expensive beer presentation on a per-milliliter basis. Cans have historically been priced approximately 40% higher than returnable bottles, and non-returnable bottles are generally priced approximately 30% higher than returnable bottles. The consumer preference for presentations in cans has varied considerably over the past 20 years, rising in periods of economic prosperity and declining in periods of economic austerity, reflecting the price differential between these forms of packaging.</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2002, FEMSA Cerveza reduced slightly the relative price of its non-returnable presentations as compared to the 325 milliliters returnable glass presentation. The relative price of the can presentation and the non-returnable glass presentation as compared to the 325 milliliters returnable glass presentation was 1.37 and 1.27, respectively, as of December 31, 2002. As of the date of this Annual Report, FEMSA Cerveza had not made significant changes to its pricing schedule as compared to 2002.</w:t>
      </w:r>
    </w:p>
    <w:p>
      <w:pPr>
        <w:spacing w:after="0" w:line="200" w:lineRule="exact"/>
        <w:rPr>
          <w:sz w:val="20"/>
          <w:szCs w:val="20"/>
          <w:color w:val="auto"/>
        </w:rPr>
      </w:pPr>
    </w:p>
    <w:p>
      <w:pPr>
        <w:spacing w:after="0" w:line="306" w:lineRule="exact"/>
        <w:rPr>
          <w:sz w:val="20"/>
          <w:szCs w:val="20"/>
          <w:color w:val="auto"/>
        </w:rPr>
      </w:pPr>
    </w:p>
    <w:p>
      <w:pPr>
        <w:jc w:val="right"/>
        <w:ind w:right="2359"/>
        <w:spacing w:after="0"/>
        <w:rPr>
          <w:sz w:val="20"/>
          <w:szCs w:val="20"/>
          <w:color w:val="auto"/>
        </w:rPr>
      </w:pPr>
      <w:r>
        <w:rPr>
          <w:rFonts w:ascii="Courier New" w:cs="Courier New" w:eastAsia="Courier New" w:hAnsi="Courier New"/>
          <w:sz w:val="15"/>
          <w:szCs w:val="15"/>
          <w:color w:val="auto"/>
        </w:rPr>
        <w:t>Domestic Beer Relative Pricing by Presentation</w:t>
      </w:r>
    </w:p>
    <w:tbl>
      <w:tblPr>
        <w:tblLayout w:type="fixed"/>
        <w:tblInd w:w="1680" w:type="dxa"/>
        <w:tblCellMar>
          <w:top w:w="0" w:type="dxa"/>
          <w:left w:w="0" w:type="dxa"/>
          <w:bottom w:w="0" w:type="dxa"/>
          <w:right w:w="0" w:type="dxa"/>
        </w:tblCellMar>
      </w:tblPr>
      <w:tr>
        <w:trPr>
          <w:trHeight w:val="168"/>
        </w:trPr>
        <w:tc>
          <w:tcPr>
            <w:tcW w:w="6720" w:type="dxa"/>
            <w:vAlign w:val="bottom"/>
            <w:gridSpan w:val="2"/>
          </w:tcPr>
          <w:p>
            <w:pPr>
              <w:ind w:left="3220"/>
              <w:spacing w:after="0" w:line="168" w:lineRule="exact"/>
              <w:rPr>
                <w:sz w:val="20"/>
                <w:szCs w:val="20"/>
                <w:color w:val="auto"/>
              </w:rPr>
            </w:pPr>
            <w:r>
              <w:rPr>
                <w:rFonts w:ascii="Courier New" w:cs="Courier New" w:eastAsia="Courier New" w:hAnsi="Courier New"/>
                <w:sz w:val="15"/>
                <w:szCs w:val="15"/>
                <w:color w:val="auto"/>
              </w:rPr>
              <w:t>As of December 31, 2002</w:t>
            </w:r>
          </w:p>
        </w:tc>
      </w:tr>
      <w:tr>
        <w:trPr>
          <w:trHeight w:val="336"/>
        </w:trPr>
        <w:tc>
          <w:tcPr>
            <w:tcW w:w="5160" w:type="dxa"/>
            <w:vAlign w:val="bottom"/>
          </w:tcPr>
          <w:p>
            <w:pPr>
              <w:spacing w:after="0"/>
              <w:rPr>
                <w:sz w:val="20"/>
                <w:szCs w:val="20"/>
                <w:color w:val="auto"/>
              </w:rPr>
            </w:pPr>
            <w:r>
              <w:rPr>
                <w:rFonts w:ascii="Courier New" w:cs="Courier New" w:eastAsia="Courier New" w:hAnsi="Courier New"/>
                <w:sz w:val="15"/>
                <w:szCs w:val="15"/>
                <w:color w:val="auto"/>
              </w:rPr>
              <w:t>Presentation</w:t>
            </w:r>
          </w:p>
        </w:tc>
        <w:tc>
          <w:tcPr>
            <w:tcW w:w="1560" w:type="dxa"/>
            <w:vAlign w:val="bottom"/>
          </w:tcPr>
          <w:p>
            <w:pPr>
              <w:spacing w:after="0"/>
              <w:rPr>
                <w:sz w:val="20"/>
                <w:szCs w:val="20"/>
                <w:color w:val="auto"/>
              </w:rPr>
            </w:pPr>
            <w:r>
              <w:rPr>
                <w:rFonts w:ascii="Courier New" w:cs="Courier New" w:eastAsia="Courier New" w:hAnsi="Courier New"/>
                <w:sz w:val="15"/>
                <w:szCs w:val="15"/>
                <w:color w:val="auto"/>
                <w:w w:val="95"/>
              </w:rPr>
              <w:t>Relative Prices(1)</w:t>
            </w:r>
          </w:p>
        </w:tc>
      </w:tr>
      <w:tr>
        <w:trPr>
          <w:trHeight w:val="168"/>
        </w:trPr>
        <w:tc>
          <w:tcPr>
            <w:tcW w:w="51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5160" w:type="dxa"/>
            <w:vAlign w:val="bottom"/>
          </w:tcPr>
          <w:p>
            <w:pPr>
              <w:spacing w:after="0"/>
              <w:rPr>
                <w:sz w:val="20"/>
                <w:szCs w:val="20"/>
                <w:color w:val="auto"/>
              </w:rPr>
            </w:pPr>
            <w:r>
              <w:rPr>
                <w:rFonts w:ascii="Courier New" w:cs="Courier New" w:eastAsia="Courier New" w:hAnsi="Courier New"/>
                <w:sz w:val="15"/>
                <w:szCs w:val="15"/>
                <w:color w:val="auto"/>
                <w:w w:val="92"/>
              </w:rPr>
              <w:t>Returnable Bottle--325 ml.....................................</w:t>
            </w:r>
          </w:p>
        </w:tc>
        <w:tc>
          <w:tcPr>
            <w:tcW w:w="1560" w:type="dxa"/>
            <w:vAlign w:val="bottom"/>
          </w:tcPr>
          <w:p>
            <w:pPr>
              <w:jc w:val="center"/>
              <w:spacing w:after="0"/>
              <w:rPr>
                <w:sz w:val="20"/>
                <w:szCs w:val="20"/>
                <w:color w:val="auto"/>
              </w:rPr>
            </w:pPr>
            <w:r>
              <w:rPr>
                <w:rFonts w:ascii="Courier New" w:cs="Courier New" w:eastAsia="Courier New" w:hAnsi="Courier New"/>
                <w:sz w:val="15"/>
                <w:szCs w:val="15"/>
                <w:color w:val="auto"/>
                <w:w w:val="99"/>
              </w:rPr>
              <w:t>1.00</w:t>
            </w:r>
          </w:p>
        </w:tc>
      </w:tr>
      <w:tr>
        <w:trPr>
          <w:trHeight w:val="168"/>
        </w:trPr>
        <w:tc>
          <w:tcPr>
            <w:tcW w:w="5160" w:type="dxa"/>
            <w:vAlign w:val="bottom"/>
          </w:tcPr>
          <w:p>
            <w:pPr>
              <w:spacing w:after="0" w:line="168" w:lineRule="exact"/>
              <w:rPr>
                <w:sz w:val="20"/>
                <w:szCs w:val="20"/>
                <w:color w:val="auto"/>
              </w:rPr>
            </w:pPr>
            <w:r>
              <w:rPr>
                <w:rFonts w:ascii="Courier New" w:cs="Courier New" w:eastAsia="Courier New" w:hAnsi="Courier New"/>
                <w:sz w:val="15"/>
                <w:szCs w:val="15"/>
                <w:color w:val="auto"/>
                <w:w w:val="92"/>
              </w:rPr>
              <w:t>Returnable Bottle--1 liter....................................</w:t>
            </w:r>
          </w:p>
        </w:tc>
        <w:tc>
          <w:tcPr>
            <w:tcW w:w="15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0.88</w:t>
            </w:r>
          </w:p>
        </w:tc>
      </w:tr>
      <w:tr>
        <w:trPr>
          <w:trHeight w:val="168"/>
        </w:trPr>
        <w:tc>
          <w:tcPr>
            <w:tcW w:w="5160" w:type="dxa"/>
            <w:vAlign w:val="bottom"/>
          </w:tcPr>
          <w:p>
            <w:pPr>
              <w:spacing w:after="0" w:line="168" w:lineRule="exact"/>
              <w:rPr>
                <w:sz w:val="20"/>
                <w:szCs w:val="20"/>
                <w:color w:val="auto"/>
              </w:rPr>
            </w:pPr>
            <w:r>
              <w:rPr>
                <w:rFonts w:ascii="Courier New" w:cs="Courier New" w:eastAsia="Courier New" w:hAnsi="Courier New"/>
                <w:sz w:val="15"/>
                <w:szCs w:val="15"/>
                <w:color w:val="auto"/>
                <w:w w:val="92"/>
              </w:rPr>
              <w:t>Returnable Bottle--190 ml.....................................</w:t>
            </w:r>
          </w:p>
        </w:tc>
        <w:tc>
          <w:tcPr>
            <w:tcW w:w="15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1.13</w:t>
            </w:r>
          </w:p>
        </w:tc>
      </w:tr>
      <w:tr>
        <w:trPr>
          <w:trHeight w:val="168"/>
        </w:trPr>
        <w:tc>
          <w:tcPr>
            <w:tcW w:w="5160" w:type="dxa"/>
            <w:vAlign w:val="bottom"/>
          </w:tcPr>
          <w:p>
            <w:pPr>
              <w:spacing w:after="0" w:line="168" w:lineRule="exact"/>
              <w:rPr>
                <w:sz w:val="20"/>
                <w:szCs w:val="20"/>
                <w:color w:val="auto"/>
              </w:rPr>
            </w:pPr>
            <w:r>
              <w:rPr>
                <w:rFonts w:ascii="Courier New" w:cs="Courier New" w:eastAsia="Courier New" w:hAnsi="Courier New"/>
                <w:sz w:val="15"/>
                <w:szCs w:val="15"/>
                <w:color w:val="auto"/>
                <w:w w:val="92"/>
              </w:rPr>
              <w:t>Non-Returnable Bottle--325 ml and 190 ml......................</w:t>
            </w:r>
          </w:p>
        </w:tc>
        <w:tc>
          <w:tcPr>
            <w:tcW w:w="15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1.27</w:t>
            </w:r>
          </w:p>
        </w:tc>
      </w:tr>
      <w:tr>
        <w:trPr>
          <w:trHeight w:val="168"/>
        </w:trPr>
        <w:tc>
          <w:tcPr>
            <w:tcW w:w="5160" w:type="dxa"/>
            <w:vAlign w:val="bottom"/>
          </w:tcPr>
          <w:p>
            <w:pPr>
              <w:spacing w:after="0" w:line="168" w:lineRule="exact"/>
              <w:rPr>
                <w:sz w:val="20"/>
                <w:szCs w:val="20"/>
                <w:color w:val="auto"/>
              </w:rPr>
            </w:pPr>
            <w:r>
              <w:rPr>
                <w:rFonts w:ascii="Courier New" w:cs="Courier New" w:eastAsia="Courier New" w:hAnsi="Courier New"/>
                <w:sz w:val="15"/>
                <w:szCs w:val="15"/>
                <w:color w:val="auto"/>
                <w:w w:val="92"/>
              </w:rPr>
              <w:t>Cans..........................................................</w:t>
            </w:r>
          </w:p>
        </w:tc>
        <w:tc>
          <w:tcPr>
            <w:tcW w:w="15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1.37</w:t>
            </w:r>
          </w:p>
        </w:tc>
      </w:tr>
      <w:tr>
        <w:trPr>
          <w:trHeight w:val="168"/>
        </w:trPr>
        <w:tc>
          <w:tcPr>
            <w:tcW w:w="5160" w:type="dxa"/>
            <w:vAlign w:val="bottom"/>
          </w:tcPr>
          <w:p>
            <w:pPr>
              <w:spacing w:after="0" w:line="168" w:lineRule="exact"/>
              <w:rPr>
                <w:sz w:val="20"/>
                <w:szCs w:val="20"/>
                <w:color w:val="auto"/>
              </w:rPr>
            </w:pPr>
            <w:r>
              <w:rPr>
                <w:rFonts w:ascii="Courier New" w:cs="Courier New" w:eastAsia="Courier New" w:hAnsi="Courier New"/>
                <w:sz w:val="15"/>
                <w:szCs w:val="15"/>
                <w:color w:val="auto"/>
                <w:w w:val="92"/>
              </w:rPr>
              <w:t>Kegs..........................................................</w:t>
            </w:r>
          </w:p>
        </w:tc>
        <w:tc>
          <w:tcPr>
            <w:tcW w:w="15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0.99</w:t>
            </w:r>
          </w:p>
        </w:tc>
      </w:tr>
    </w:tbl>
    <w:p>
      <w:pPr>
        <w:spacing w:after="0" w:line="341" w:lineRule="exact"/>
        <w:rPr>
          <w:sz w:val="20"/>
          <w:szCs w:val="20"/>
          <w:color w:val="auto"/>
        </w:rPr>
      </w:pPr>
    </w:p>
    <w:p>
      <w:pPr>
        <w:ind w:left="2200" w:right="3319" w:hanging="441"/>
        <w:spacing w:after="0" w:line="236" w:lineRule="auto"/>
        <w:tabs>
          <w:tab w:leader="none" w:pos="220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Relative prices are based on information provided by FEMSA Cerveza with respect to its products and reflect wholesale prices excluding taxes. The 325 ml. returnable bottle was used as the reference price for calculating relative prices.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Exports</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FEMSA Cerveza's export strategy focuses on the United States market, concentrating efforts on the markets in the Sun Belt States bordering Mexico. We believe that the Sun Belt States are FEMSA Cerveza's greatest potential market outside of Mexico.</w:t>
      </w:r>
    </w:p>
    <w:p>
      <w:pPr>
        <w:spacing w:after="0" w:line="175"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Total export sales volume of 1.955 million hectoliters represented 8.2% of FEMSA Cerveza's total beer sales volume in 2002 and accounted for 6.2% of FEMSA Cerveza's total revenues. The following table highlights FEMSA Cerveza's export volumes and total revenues: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40" w:type="dxa"/>
            <w:vAlign w:val="bottom"/>
          </w:tcPr>
          <w:p>
            <w:pPr>
              <w:spacing w:after="0"/>
              <w:rPr>
                <w:sz w:val="14"/>
                <w:szCs w:val="14"/>
                <w:color w:val="auto"/>
              </w:rPr>
            </w:pPr>
          </w:p>
        </w:tc>
        <w:tc>
          <w:tcPr>
            <w:tcW w:w="26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6"/>
              </w:rPr>
              <w:t>FEMSA Cerveza Export Summary</w:t>
            </w: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505"/>
        </w:trPr>
        <w:tc>
          <w:tcPr>
            <w:tcW w:w="3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180" w:type="dxa"/>
            <w:vAlign w:val="bottom"/>
            <w:gridSpan w:val="3"/>
          </w:tcPr>
          <w:p>
            <w:pPr>
              <w:jc w:val="right"/>
              <w:ind w:right="527"/>
              <w:spacing w:after="0"/>
              <w:rPr>
                <w:sz w:val="20"/>
                <w:szCs w:val="20"/>
                <w:color w:val="auto"/>
              </w:rPr>
            </w:pPr>
            <w:r>
              <w:rPr>
                <w:rFonts w:ascii="Courier New" w:cs="Courier New" w:eastAsia="Courier New" w:hAnsi="Courier New"/>
                <w:sz w:val="15"/>
                <w:szCs w:val="15"/>
                <w:color w:val="auto"/>
              </w:rPr>
              <w:t>Year Ended December 31,</w:t>
            </w:r>
          </w:p>
        </w:tc>
        <w:tc>
          <w:tcPr>
            <w:tcW w:w="800" w:type="dxa"/>
            <w:vAlign w:val="bottom"/>
          </w:tcPr>
          <w:p>
            <w:pPr>
              <w:spacing w:after="0"/>
              <w:rPr>
                <w:sz w:val="24"/>
                <w:szCs w:val="24"/>
                <w:color w:val="auto"/>
              </w:rPr>
            </w:pPr>
          </w:p>
        </w:tc>
      </w:tr>
      <w:tr>
        <w:trPr>
          <w:trHeight w:val="168"/>
        </w:trPr>
        <w:tc>
          <w:tcPr>
            <w:tcW w:w="3240" w:type="dxa"/>
            <w:vAlign w:val="bottom"/>
          </w:tcPr>
          <w:p>
            <w:pPr>
              <w:spacing w:after="0"/>
              <w:rPr>
                <w:sz w:val="14"/>
                <w:szCs w:val="14"/>
                <w:color w:val="auto"/>
              </w:rPr>
            </w:pPr>
          </w:p>
        </w:tc>
        <w:tc>
          <w:tcPr>
            <w:tcW w:w="15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2002</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2001</w:t>
            </w: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2000</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1999</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1998</w:t>
            </w:r>
          </w:p>
        </w:tc>
      </w:tr>
      <w:tr>
        <w:trPr>
          <w:trHeight w:val="336"/>
        </w:trPr>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w w:val="85"/>
              </w:rPr>
              <w:t>Export Sales Volume(1)....................</w:t>
            </w:r>
          </w:p>
        </w:tc>
        <w:tc>
          <w:tcPr>
            <w:tcW w:w="1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1,955</w:t>
            </w: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1,843</w:t>
            </w:r>
          </w:p>
        </w:tc>
        <w:tc>
          <w:tcPr>
            <w:tcW w:w="10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1,728</w:t>
            </w: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1,511</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1,322</w:t>
            </w:r>
          </w:p>
        </w:tc>
      </w:tr>
      <w:tr>
        <w:trPr>
          <w:trHeight w:val="168"/>
        </w:trPr>
        <w:tc>
          <w:tcPr>
            <w:tcW w:w="3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Volume Growth........................</w:t>
            </w:r>
          </w:p>
        </w:tc>
        <w:tc>
          <w:tcPr>
            <w:tcW w:w="15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6.1%</w:t>
            </w: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6.6%</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14.4%</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14.3%</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w:t>
            </w:r>
          </w:p>
        </w:tc>
      </w:tr>
      <w:tr>
        <w:trPr>
          <w:trHeight w:val="168"/>
        </w:trPr>
        <w:tc>
          <w:tcPr>
            <w:tcW w:w="3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5"/>
              </w:rPr>
              <w:t>Percent of Total Sales Volume.............</w:t>
            </w:r>
          </w:p>
        </w:tc>
        <w:tc>
          <w:tcPr>
            <w:tcW w:w="15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8.2%</w:t>
            </w: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7.7%</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7.3%</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6.4%</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w:t>
            </w:r>
          </w:p>
        </w:tc>
      </w:tr>
    </w:tbl>
    <w:p>
      <w:pPr>
        <w:spacing w:after="0" w:line="335" w:lineRule="exact"/>
        <w:rPr>
          <w:sz w:val="20"/>
          <w:szCs w:val="20"/>
          <w:color w:val="auto"/>
        </w:rPr>
      </w:pPr>
    </w:p>
    <w:p>
      <w:pPr>
        <w:ind w:left="180" w:hanging="170"/>
        <w:spacing w:after="0"/>
        <w:tabs>
          <w:tab w:leader="none" w:pos="1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Export Revenues</w:t>
      </w:r>
    </w:p>
    <w:tbl>
      <w:tblPr>
        <w:tblLayout w:type="fixed"/>
        <w:tblInd w:w="0" w:type="dxa"/>
        <w:tblCellMar>
          <w:top w:w="0" w:type="dxa"/>
          <w:left w:w="0" w:type="dxa"/>
          <w:bottom w:w="0" w:type="dxa"/>
          <w:right w:w="0" w:type="dxa"/>
        </w:tblCellMar>
      </w:tblPr>
      <w:tr>
        <w:trPr>
          <w:trHeight w:val="169"/>
        </w:trPr>
        <w:tc>
          <w:tcPr>
            <w:tcW w:w="1460" w:type="dxa"/>
            <w:vAlign w:val="bottom"/>
          </w:tcPr>
          <w:p>
            <w:pPr>
              <w:ind w:left="440"/>
              <w:spacing w:after="0" w:line="169" w:lineRule="exact"/>
              <w:rPr>
                <w:sz w:val="20"/>
                <w:szCs w:val="20"/>
                <w:color w:val="auto"/>
              </w:rPr>
            </w:pPr>
            <w:r>
              <w:rPr>
                <w:rFonts w:ascii="Courier New" w:cs="Courier New" w:eastAsia="Courier New" w:hAnsi="Courier New"/>
                <w:sz w:val="15"/>
                <w:szCs w:val="15"/>
                <w:color w:val="auto"/>
              </w:rPr>
              <w:t>Millions of</w:t>
            </w:r>
          </w:p>
        </w:tc>
        <w:tc>
          <w:tcPr>
            <w:tcW w:w="2220" w:type="dxa"/>
            <w:vAlign w:val="bottom"/>
          </w:tcPr>
          <w:p>
            <w:pPr>
              <w:jc w:val="right"/>
              <w:ind w:right="7"/>
              <w:spacing w:after="0" w:line="169" w:lineRule="exact"/>
              <w:rPr>
                <w:sz w:val="20"/>
                <w:szCs w:val="20"/>
                <w:color w:val="auto"/>
              </w:rPr>
            </w:pPr>
            <w:r>
              <w:rPr>
                <w:rFonts w:ascii="Courier New" w:cs="Courier New" w:eastAsia="Courier New" w:hAnsi="Courier New"/>
                <w:sz w:val="15"/>
                <w:szCs w:val="15"/>
                <w:color w:val="auto"/>
                <w:w w:val="98"/>
              </w:rPr>
              <w:t>Pesos(2)................</w:t>
            </w:r>
          </w:p>
        </w:tc>
        <w:tc>
          <w:tcPr>
            <w:tcW w:w="1000" w:type="dxa"/>
            <w:vAlign w:val="bottom"/>
          </w:tcPr>
          <w:p>
            <w:pPr>
              <w:jc w:val="right"/>
              <w:ind w:right="227"/>
              <w:spacing w:after="0" w:line="169" w:lineRule="exact"/>
              <w:rPr>
                <w:sz w:val="20"/>
                <w:szCs w:val="20"/>
                <w:color w:val="auto"/>
              </w:rPr>
            </w:pPr>
            <w:r>
              <w:rPr>
                <w:rFonts w:ascii="Courier New" w:cs="Courier New" w:eastAsia="Courier New" w:hAnsi="Courier New"/>
                <w:sz w:val="15"/>
                <w:szCs w:val="15"/>
                <w:color w:val="auto"/>
              </w:rPr>
              <w:t>1,275.9</w:t>
            </w:r>
          </w:p>
        </w:tc>
        <w:tc>
          <w:tcPr>
            <w:tcW w:w="1100" w:type="dxa"/>
            <w:vAlign w:val="bottom"/>
          </w:tcPr>
          <w:p>
            <w:pPr>
              <w:jc w:val="right"/>
              <w:ind w:right="187"/>
              <w:spacing w:after="0" w:line="169" w:lineRule="exact"/>
              <w:rPr>
                <w:sz w:val="20"/>
                <w:szCs w:val="20"/>
                <w:color w:val="auto"/>
              </w:rPr>
            </w:pPr>
            <w:r>
              <w:rPr>
                <w:rFonts w:ascii="Courier New" w:cs="Courier New" w:eastAsia="Courier New" w:hAnsi="Courier New"/>
                <w:sz w:val="15"/>
                <w:szCs w:val="15"/>
                <w:color w:val="auto"/>
              </w:rPr>
              <w:t>1,230.0</w:t>
            </w:r>
          </w:p>
        </w:tc>
        <w:tc>
          <w:tcPr>
            <w:tcW w:w="1060" w:type="dxa"/>
            <w:vAlign w:val="bottom"/>
          </w:tcPr>
          <w:p>
            <w:pPr>
              <w:jc w:val="right"/>
              <w:ind w:right="207"/>
              <w:spacing w:after="0" w:line="169" w:lineRule="exact"/>
              <w:rPr>
                <w:sz w:val="20"/>
                <w:szCs w:val="20"/>
                <w:color w:val="auto"/>
              </w:rPr>
            </w:pPr>
            <w:r>
              <w:rPr>
                <w:rFonts w:ascii="Courier New" w:cs="Courier New" w:eastAsia="Courier New" w:hAnsi="Courier New"/>
                <w:sz w:val="15"/>
                <w:szCs w:val="15"/>
                <w:color w:val="auto"/>
              </w:rPr>
              <w:t>1,243.8</w:t>
            </w:r>
          </w:p>
        </w:tc>
        <w:tc>
          <w:tcPr>
            <w:tcW w:w="1040" w:type="dxa"/>
            <w:vAlign w:val="bottom"/>
          </w:tcPr>
          <w:p>
            <w:pPr>
              <w:jc w:val="right"/>
              <w:ind w:right="187"/>
              <w:spacing w:after="0" w:line="169" w:lineRule="exact"/>
              <w:rPr>
                <w:sz w:val="20"/>
                <w:szCs w:val="20"/>
                <w:color w:val="auto"/>
              </w:rPr>
            </w:pPr>
            <w:r>
              <w:rPr>
                <w:rFonts w:ascii="Courier New" w:cs="Courier New" w:eastAsia="Courier New" w:hAnsi="Courier New"/>
                <w:sz w:val="15"/>
                <w:szCs w:val="15"/>
                <w:color w:val="auto"/>
              </w:rPr>
              <w:t>1,198.0</w:t>
            </w:r>
          </w:p>
        </w:tc>
        <w:tc>
          <w:tcPr>
            <w:tcW w:w="880" w:type="dxa"/>
            <w:vAlign w:val="bottom"/>
          </w:tcPr>
          <w:p>
            <w:pPr>
              <w:jc w:val="right"/>
              <w:ind w:right="27"/>
              <w:spacing w:after="0" w:line="169" w:lineRule="exact"/>
              <w:rPr>
                <w:sz w:val="20"/>
                <w:szCs w:val="20"/>
                <w:color w:val="auto"/>
              </w:rPr>
            </w:pPr>
            <w:r>
              <w:rPr>
                <w:rFonts w:ascii="Courier New" w:cs="Courier New" w:eastAsia="Courier New" w:hAnsi="Courier New"/>
                <w:sz w:val="15"/>
                <w:szCs w:val="15"/>
                <w:color w:val="auto"/>
              </w:rPr>
              <w:t>1,188.3</w:t>
            </w:r>
          </w:p>
        </w:tc>
      </w:tr>
      <w:tr>
        <w:trPr>
          <w:trHeight w:val="168"/>
        </w:trPr>
        <w:tc>
          <w:tcPr>
            <w:tcW w:w="36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Millions of U.S. Dollars(3).........</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127.4</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122.8</w:t>
            </w: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114.5</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100.6</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88.0</w:t>
            </w:r>
          </w:p>
        </w:tc>
      </w:tr>
      <w:tr>
        <w:trPr>
          <w:trHeight w:val="168"/>
        </w:trPr>
        <w:tc>
          <w:tcPr>
            <w:tcW w:w="36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Revenue Growth (US$)................</w:t>
            </w:r>
          </w:p>
        </w:tc>
        <w:tc>
          <w:tcPr>
            <w:tcW w:w="10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3.7%</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7.3%</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13.8%</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14.3%</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6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Percent of Total Sales...................</w:t>
            </w:r>
          </w:p>
        </w:tc>
        <w:tc>
          <w:tcPr>
            <w:tcW w:w="10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6.2%</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5.9%</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6.4%</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6.4%</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w:t>
            </w:r>
          </w:p>
        </w:tc>
      </w:tr>
    </w:tbl>
    <w:p>
      <w:pPr>
        <w:ind w:left="180" w:hanging="170"/>
        <w:spacing w:after="0" w:line="237" w:lineRule="auto"/>
        <w:tabs>
          <w:tab w:leader="none" w:pos="1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Source:  FEMSA Cerveza.</w:t>
      </w:r>
    </w:p>
    <w:p>
      <w:pPr>
        <w:spacing w:after="0" w:line="335" w:lineRule="exact"/>
        <w:rPr>
          <w:sz w:val="20"/>
          <w:szCs w:val="20"/>
          <w:color w:val="auto"/>
        </w:rPr>
      </w:pPr>
    </w:p>
    <w:p>
      <w:pPr>
        <w:ind w:left="440" w:hanging="430"/>
        <w:spacing w:after="0"/>
        <w:tabs>
          <w:tab w:leader="none" w:pos="44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Thousands of hectoliters.</w:t>
      </w:r>
    </w:p>
    <w:p>
      <w:pPr>
        <w:ind w:left="360" w:hanging="350"/>
        <w:spacing w:after="0" w:line="237" w:lineRule="auto"/>
        <w:tabs>
          <w:tab w:leader="none" w:pos="36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Constant Pesos as of December 31, 2002.</w:t>
      </w:r>
    </w:p>
    <w:p>
      <w:pPr>
        <w:ind w:left="440" w:hanging="430"/>
        <w:spacing w:after="0" w:line="237" w:lineRule="auto"/>
        <w:tabs>
          <w:tab w:leader="none" w:pos="44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Export revenues are invoiced and collected in U.S. Dollars.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39"/>
          </w:cols>
          <w:pgMar w:left="220" w:top="617" w:right="1440" w:bottom="1440" w:gutter="0" w:footer="0" w:header="0"/>
        </w:sectPr>
      </w:pPr>
    </w:p>
    <w:bookmarkStart w:id="37" w:name="page38"/>
    <w:bookmarkEnd w:id="37"/>
    <w:p>
      <w:pPr>
        <w:ind w:right="3239" w:firstLine="437"/>
        <w:spacing w:after="0" w:line="256" w:lineRule="auto"/>
        <w:rPr>
          <w:sz w:val="20"/>
          <w:szCs w:val="20"/>
          <w:color w:val="auto"/>
        </w:rPr>
      </w:pPr>
      <w:r>
        <w:rPr>
          <w:rFonts w:ascii="Courier New" w:cs="Courier New" w:eastAsia="Courier New" w:hAnsi="Courier New"/>
          <w:sz w:val="14"/>
          <w:szCs w:val="14"/>
          <w:color w:val="auto"/>
        </w:rPr>
        <w:t>FEMSA Cerveza currently exports its products to more than 67 countries. The principal export markets for FEMSA Cerveza are North America, Europe, Asia and Latin America. In 2002, export sales volume to these areas accounted for 92.2%, 2.9%, 2.8% and 2.1%, respectively, of FEMSA Cerveza's total export sales volume.</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FEMSA Cerveza's affiliate, Labatt USA, is the importer of FEMSA Cerveza's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brands in the United States. Labatt USA manufactures and distributes Rolling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Rock and is also the U.S. importer of Labatt's Canadian brands and of European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brands such as Lowenbrau, Stella Artois, Boddingtons, Leffe and Carlsberg.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United States subsidiary of FEMSA Cerveza has obtained an injunction to prevent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integration of Beck's into the beer distribution portfolio of Labatt USA.</w:t>
      </w:r>
    </w:p>
    <w:p>
      <w:pPr>
        <w:spacing w:after="0" w:line="237" w:lineRule="auto"/>
        <w:rPr>
          <w:sz w:val="20"/>
          <w:szCs w:val="20"/>
          <w:color w:val="auto"/>
        </w:rPr>
      </w:pPr>
      <w:r>
        <w:rPr>
          <w:rFonts w:ascii="Courier New" w:cs="Courier New" w:eastAsia="Courier New" w:hAnsi="Courier New"/>
          <w:sz w:val="15"/>
          <w:szCs w:val="15"/>
          <w:color w:val="auto"/>
        </w:rPr>
        <w:t>See "Item 3. Key Information--Risk Factors" and "Item 8. Financial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Information--Legal Proceedings--Labatt USA Litigation." Sales of FEMSA Cerveza's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brands contributed 34.1% of Labatt USA's volume in 2002, representing 8.1%</w:t>
      </w:r>
    </w:p>
    <w:p>
      <w:pPr>
        <w:spacing w:after="0" w:line="237" w:lineRule="auto"/>
        <w:rPr>
          <w:sz w:val="20"/>
          <w:szCs w:val="20"/>
          <w:color w:val="auto"/>
        </w:rPr>
      </w:pPr>
      <w:r>
        <w:rPr>
          <w:rFonts w:ascii="Courier New" w:cs="Courier New" w:eastAsia="Courier New" w:hAnsi="Courier New"/>
          <w:sz w:val="15"/>
          <w:szCs w:val="15"/>
          <w:color w:val="auto"/>
        </w:rPr>
        <w:t>volume growth from 2001 levels.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On April 9, 2003, FEMSA and Interbrew jointly announced that Labatt USA would introduce Bass Ale into its portfolio of brands for a twelve to eighteen month trial period beginning July 1, 2003. This temporary arrangement gives Labatt USA distribution and marketing responsibility for Bass Ale in the United States, and also gives Labatt USA a twelve to eighteen month period to establish the best development plan for the brand in the United States. During the period of the agreement, Labatt USA and its shareholders, Interbrew and FEMSA Cerveza, will continue to assess the desirability of a longer-term arrangement for Labatt USA to serve as the United States distributor of Bass Ale. This agreement also allows the existing core brands of the Labatt USA portfolio to benefit from incremental marketing support and sales resources.</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August 2002, FEMSA Cerveza began licensing the production and distribution of its Sol brand to Holsten-Brauerei AG ("Holsten"), a Hamburg-based brewer. This venture enables FEMSA Cerveza to leverage Holsten's extensive knowledge of the German beer market and offer a fresher product to a wider audience, while still complying with the exact quality specifications of the Mexican brew. In 2002, Holsten distributed the existing inventory of Sol for commercialization in Germany and began brewing and distributing the brand in 2003.</w:t>
      </w:r>
    </w:p>
    <w:p>
      <w:pPr>
        <w:spacing w:after="0" w:line="177"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FEMSA Cerveza's principal export brands are Tecate, XX Lager, Dos Equis (Amber) and Sol. These brands collectively accounted for 95% of FEMSA Cerveza's export sales volume for the year ended December 31, 2002.</w:t>
      </w:r>
    </w:p>
    <w:p>
      <w:pPr>
        <w:spacing w:after="0" w:line="335"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5520" w:type="dxa"/>
            <w:vAlign w:val="bottom"/>
            <w:gridSpan w:val="2"/>
          </w:tcPr>
          <w:p>
            <w:pPr>
              <w:ind w:left="2100"/>
              <w:spacing w:after="0"/>
              <w:rPr>
                <w:sz w:val="20"/>
                <w:szCs w:val="20"/>
                <w:color w:val="auto"/>
              </w:rPr>
            </w:pPr>
            <w:r>
              <w:rPr>
                <w:rFonts w:ascii="Courier New" w:cs="Courier New" w:eastAsia="Courier New" w:hAnsi="Courier New"/>
                <w:sz w:val="15"/>
                <w:szCs w:val="15"/>
                <w:color w:val="auto"/>
                <w:w w:val="96"/>
              </w:rPr>
              <w:t>FEMSA Cerveza's Principal Export Brands</w:t>
            </w:r>
          </w:p>
        </w:tc>
      </w:tr>
      <w:tr>
        <w:trPr>
          <w:trHeight w:val="168"/>
        </w:trPr>
        <w:tc>
          <w:tcPr>
            <w:tcW w:w="5520" w:type="dxa"/>
            <w:vAlign w:val="bottom"/>
            <w:gridSpan w:val="2"/>
          </w:tcPr>
          <w:p>
            <w:pPr>
              <w:ind w:left="2540"/>
              <w:spacing w:after="0" w:line="168" w:lineRule="exact"/>
              <w:rPr>
                <w:sz w:val="20"/>
                <w:szCs w:val="20"/>
                <w:color w:val="auto"/>
              </w:rPr>
            </w:pPr>
            <w:r>
              <w:rPr>
                <w:rFonts w:ascii="Courier New" w:cs="Courier New" w:eastAsia="Courier New" w:hAnsi="Courier New"/>
                <w:sz w:val="15"/>
                <w:szCs w:val="15"/>
                <w:color w:val="auto"/>
              </w:rPr>
              <w:t>Year ended December 31, 2002</w:t>
            </w:r>
          </w:p>
        </w:tc>
      </w:tr>
      <w:tr>
        <w:trPr>
          <w:trHeight w:val="336"/>
        </w:trPr>
        <w:tc>
          <w:tcPr>
            <w:tcW w:w="44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5"/>
              </w:rPr>
              <w:t>Percent of</w:t>
            </w:r>
          </w:p>
        </w:tc>
      </w:tr>
      <w:tr>
        <w:trPr>
          <w:trHeight w:val="168"/>
        </w:trPr>
        <w:tc>
          <w:tcPr>
            <w:tcW w:w="4460" w:type="dxa"/>
            <w:vAlign w:val="bottom"/>
          </w:tcPr>
          <w:p>
            <w:pPr>
              <w:spacing w:after="0"/>
              <w:rPr>
                <w:sz w:val="14"/>
                <w:szCs w:val="14"/>
                <w:color w:val="auto"/>
              </w:rPr>
            </w:pPr>
          </w:p>
        </w:tc>
        <w:tc>
          <w:tcPr>
            <w:tcW w:w="1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Total Export</w:t>
            </w:r>
          </w:p>
        </w:tc>
      </w:tr>
      <w:tr>
        <w:trPr>
          <w:trHeight w:val="168"/>
        </w:trPr>
        <w:tc>
          <w:tcPr>
            <w:tcW w:w="4460" w:type="dxa"/>
            <w:vAlign w:val="bottom"/>
          </w:tcPr>
          <w:p>
            <w:pPr>
              <w:spacing w:after="0" w:line="168" w:lineRule="exact"/>
              <w:rPr>
                <w:sz w:val="20"/>
                <w:szCs w:val="20"/>
                <w:color w:val="auto"/>
              </w:rPr>
            </w:pPr>
            <w:r>
              <w:rPr>
                <w:rFonts w:ascii="Courier New" w:cs="Courier New" w:eastAsia="Courier New" w:hAnsi="Courier New"/>
                <w:sz w:val="15"/>
                <w:szCs w:val="15"/>
                <w:color w:val="auto"/>
              </w:rPr>
              <w:t>Brand</w:t>
            </w:r>
          </w:p>
        </w:tc>
        <w:tc>
          <w:tcPr>
            <w:tcW w:w="1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Volume</w:t>
            </w:r>
          </w:p>
        </w:tc>
      </w:tr>
      <w:tr>
        <w:trPr>
          <w:trHeight w:val="168"/>
        </w:trPr>
        <w:tc>
          <w:tcPr>
            <w:tcW w:w="446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Tecate.............................................</w:t>
            </w: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60.5%</w:t>
            </w:r>
          </w:p>
        </w:tc>
      </w:tr>
      <w:tr>
        <w:trPr>
          <w:trHeight w:val="168"/>
        </w:trPr>
        <w:tc>
          <w:tcPr>
            <w:tcW w:w="446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XX Lager and Dos Equis (Amber).....................</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22.7</w:t>
            </w:r>
          </w:p>
        </w:tc>
      </w:tr>
      <w:tr>
        <w:trPr>
          <w:trHeight w:val="168"/>
        </w:trPr>
        <w:tc>
          <w:tcPr>
            <w:tcW w:w="446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Sol................................................</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11.9</w:t>
            </w:r>
          </w:p>
        </w:tc>
      </w:tr>
      <w:tr>
        <w:trPr>
          <w:trHeight w:val="168"/>
        </w:trPr>
        <w:tc>
          <w:tcPr>
            <w:tcW w:w="446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Bohemia............................................</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2.3</w:t>
            </w:r>
          </w:p>
        </w:tc>
      </w:tr>
      <w:tr>
        <w:trPr>
          <w:trHeight w:val="168"/>
        </w:trPr>
        <w:tc>
          <w:tcPr>
            <w:tcW w:w="446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Carta Blanca.......................................</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2.6</w:t>
            </w:r>
          </w:p>
        </w:tc>
      </w:tr>
      <w:tr>
        <w:trPr>
          <w:trHeight w:val="336"/>
        </w:trPr>
        <w:tc>
          <w:tcPr>
            <w:tcW w:w="4460" w:type="dxa"/>
            <w:vAlign w:val="bottom"/>
          </w:tcPr>
          <w:p>
            <w:pPr>
              <w:spacing w:after="0"/>
              <w:rPr>
                <w:sz w:val="20"/>
                <w:szCs w:val="20"/>
                <w:color w:val="auto"/>
              </w:rPr>
            </w:pPr>
            <w:r>
              <w:rPr>
                <w:rFonts w:ascii="Courier New" w:cs="Courier New" w:eastAsia="Courier New" w:hAnsi="Courier New"/>
                <w:sz w:val="15"/>
                <w:szCs w:val="15"/>
                <w:color w:val="auto"/>
                <w:w w:val="96"/>
              </w:rPr>
              <w:t>Total..............................................</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100.0%</w:t>
            </w:r>
          </w:p>
        </w:tc>
      </w:tr>
    </w:tbl>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Primary</w:t>
      </w:r>
      <w:r>
        <w:rPr>
          <w:sz w:val="20"/>
          <w:szCs w:val="20"/>
          <w:color w:val="auto"/>
        </w:rPr>
        <w:tab/>
      </w:r>
      <w:r>
        <w:rPr>
          <w:rFonts w:ascii="Courier New" w:cs="Courier New" w:eastAsia="Courier New" w:hAnsi="Courier New"/>
          <w:sz w:val="14"/>
          <w:szCs w:val="14"/>
          <w:color w:val="auto"/>
        </w:rPr>
        <w:t>Distribution</w:t>
      </w:r>
    </w:p>
    <w:p>
      <w:pPr>
        <w:spacing w:after="0" w:line="173" w:lineRule="exact"/>
        <w:rPr>
          <w:sz w:val="20"/>
          <w:szCs w:val="20"/>
          <w:color w:val="auto"/>
        </w:rPr>
      </w:pPr>
    </w:p>
    <w:p>
      <w:pPr>
        <w:jc w:val="both"/>
        <w:ind w:right="3319" w:firstLine="437"/>
        <w:spacing w:after="0" w:line="256" w:lineRule="auto"/>
        <w:rPr>
          <w:sz w:val="20"/>
          <w:szCs w:val="20"/>
          <w:color w:val="auto"/>
        </w:rPr>
      </w:pPr>
      <w:r>
        <w:rPr>
          <w:rFonts w:ascii="Courier New" w:cs="Courier New" w:eastAsia="Courier New" w:hAnsi="Courier New"/>
          <w:sz w:val="14"/>
          <w:szCs w:val="14"/>
          <w:color w:val="auto"/>
        </w:rPr>
        <w:t>FEMSA Cerveza's primary distribution is from its production facilities to its distribution centers' warehouses. FEMSA Cerveza has historically utilized Logistica CCM's specialized freight services. As of January 1, 2003, Logistica CCM was merged into FEMSA Cerveza. This integration is expected to have a small positive effect on the operating margins of FEMSA Cerveza.</w:t>
      </w:r>
    </w:p>
    <w:p>
      <w:pPr>
        <w:spacing w:after="0" w:line="163" w:lineRule="exact"/>
        <w:rPr>
          <w:sz w:val="20"/>
          <w:szCs w:val="20"/>
          <w:color w:val="auto"/>
        </w:rPr>
      </w:pPr>
    </w:p>
    <w:p>
      <w:pPr>
        <w:ind w:right="3399" w:firstLine="437"/>
        <w:spacing w:after="0" w:line="237" w:lineRule="auto"/>
        <w:rPr>
          <w:sz w:val="20"/>
          <w:szCs w:val="20"/>
          <w:color w:val="auto"/>
        </w:rPr>
      </w:pPr>
      <w:r>
        <w:rPr>
          <w:rFonts w:ascii="Courier New" w:cs="Courier New" w:eastAsia="Courier New" w:hAnsi="Courier New"/>
          <w:sz w:val="15"/>
          <w:szCs w:val="15"/>
          <w:color w:val="auto"/>
        </w:rPr>
        <w:t>FEMSA Cerveza delivers to a combination of company-owned and third-party distributors. In 2002, approximately 70% of FEMSA Cerveza's domestic sales passed through 244 company-owned distribution centers. The remaining 30% was sold through 120 independent distributors operating under agreement with FEMSA Cerveza. In an effort to improve the efficiency and alignment of the distribution network, FEMSA Cerveza is adjusting its relationship with independent distributors by implementing franchise agreements and as a result, achieving economies of scale through alignment with FEMSA Cerveza's operating systems. A franchise agreement is offered only to those distributors that meet certain standards of operating capabilities, performance and alignment. FEMSA Cerveza will eventually acquire those distributors that do not meet these requirements. Through this initiative FEMSA Cerveza expects to increase its volume through company-owned distribution centers to approximately 80% in the next 2 years.</w:t>
      </w:r>
    </w:p>
    <w:p>
      <w:pPr>
        <w:spacing w:after="0" w:line="33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39"/>
          </w:cols>
          <w:pgMar w:left="220" w:top="624" w:right="1440" w:bottom="1440" w:gutter="0" w:footer="0" w:header="0"/>
        </w:sectPr>
      </w:pPr>
    </w:p>
    <w:bookmarkStart w:id="38" w:name="page39"/>
    <w:bookmarkEnd w:id="38"/>
    <w:p>
      <w:pPr>
        <w:ind w:left="440"/>
        <w:spacing w:after="0"/>
        <w:rPr>
          <w:sz w:val="20"/>
          <w:szCs w:val="20"/>
          <w:color w:val="auto"/>
        </w:rPr>
      </w:pPr>
      <w:r>
        <w:rPr>
          <w:rFonts w:ascii="Courier New" w:cs="Courier New" w:eastAsia="Courier New" w:hAnsi="Courier New"/>
          <w:sz w:val="15"/>
          <w:szCs w:val="15"/>
          <w:color w:val="auto"/>
        </w:rPr>
        <w:t>Retail Distribution</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main sales outlets for beer in Mexico are small, independently-owned "mom and pop" grocery stores, dedicated beer depositos, liquor stores and bars. Supermarkets account for only a small percentage of beer sales in Mexico. In addition, FEMSA Comercio operates a chain of more than 2,216 convenience stores under the trade name Oxxo which exclusively sell FEMSA Cerveza's brands. FEMSA Cerveza owns 644 retail outlets under the tradename Matador and SIX. These are operated by FEMSA Comercio. See "--FEMSA Comercio--SIX and Matador Stores." FEMSA Cerveza believes that its affiliation with FEMSA Comercio is an important element in its market penetration and pricing strategies. See "--FEMSA Comercio."</w:t>
      </w:r>
    </w:p>
    <w:p>
      <w:pPr>
        <w:spacing w:after="0" w:line="200" w:lineRule="exact"/>
        <w:rPr>
          <w:sz w:val="20"/>
          <w:szCs w:val="20"/>
          <w:color w:val="auto"/>
        </w:rPr>
      </w:pPr>
    </w:p>
    <w:p>
      <w:pPr>
        <w:spacing w:after="0" w:line="309" w:lineRule="exact"/>
        <w:rPr>
          <w:sz w:val="20"/>
          <w:szCs w:val="20"/>
          <w:color w:val="auto"/>
        </w:rPr>
      </w:pPr>
    </w:p>
    <w:p>
      <w:pPr>
        <w:jc w:val="right"/>
        <w:ind w:right="1659"/>
        <w:spacing w:after="0"/>
        <w:rPr>
          <w:sz w:val="20"/>
          <w:szCs w:val="20"/>
          <w:color w:val="auto"/>
        </w:rPr>
      </w:pPr>
      <w:r>
        <w:rPr>
          <w:rFonts w:ascii="Courier New" w:cs="Courier New" w:eastAsia="Courier New" w:hAnsi="Courier New"/>
          <w:sz w:val="15"/>
          <w:szCs w:val="15"/>
          <w:color w:val="auto"/>
        </w:rPr>
        <w:t>Distribution of FEMSA Cerveza Domestic Sales Volume By Outlet</w:t>
      </w:r>
    </w:p>
    <w:tbl>
      <w:tblPr>
        <w:tblLayout w:type="fixed"/>
        <w:tblInd w:w="1580" w:type="dxa"/>
        <w:tblCellMar>
          <w:top w:w="0" w:type="dxa"/>
          <w:left w:w="0" w:type="dxa"/>
          <w:bottom w:w="0" w:type="dxa"/>
          <w:right w:w="0" w:type="dxa"/>
        </w:tblCellMar>
      </w:tblPr>
      <w:tr>
        <w:trPr>
          <w:trHeight w:val="168"/>
        </w:trPr>
        <w:tc>
          <w:tcPr>
            <w:tcW w:w="3060" w:type="dxa"/>
            <w:vAlign w:val="bottom"/>
          </w:tcPr>
          <w:p>
            <w:pPr>
              <w:spacing w:after="0"/>
              <w:rPr>
                <w:sz w:val="14"/>
                <w:szCs w:val="14"/>
                <w:color w:val="auto"/>
              </w:rPr>
            </w:pPr>
          </w:p>
        </w:tc>
        <w:tc>
          <w:tcPr>
            <w:tcW w:w="3320" w:type="dxa"/>
            <w:vAlign w:val="bottom"/>
          </w:tcPr>
          <w:p>
            <w:pPr>
              <w:jc w:val="right"/>
              <w:ind w:right="791"/>
              <w:spacing w:after="0" w:line="168" w:lineRule="exact"/>
              <w:rPr>
                <w:sz w:val="20"/>
                <w:szCs w:val="20"/>
                <w:color w:val="auto"/>
              </w:rPr>
            </w:pPr>
            <w:r>
              <w:rPr>
                <w:rFonts w:ascii="Courier New" w:cs="Courier New" w:eastAsia="Courier New" w:hAnsi="Courier New"/>
                <w:sz w:val="15"/>
                <w:szCs w:val="15"/>
                <w:color w:val="auto"/>
                <w:w w:val="96"/>
              </w:rPr>
              <w:t>Year ended December 31, 2002</w:t>
            </w:r>
          </w:p>
        </w:tc>
      </w:tr>
      <w:tr>
        <w:trPr>
          <w:trHeight w:val="505"/>
        </w:trPr>
        <w:tc>
          <w:tcPr>
            <w:tcW w:w="3060" w:type="dxa"/>
            <w:vAlign w:val="bottom"/>
          </w:tcPr>
          <w:p>
            <w:pPr>
              <w:spacing w:after="0"/>
              <w:rPr>
                <w:sz w:val="20"/>
                <w:szCs w:val="20"/>
                <w:color w:val="auto"/>
              </w:rPr>
            </w:pPr>
            <w:r>
              <w:rPr>
                <w:rFonts w:ascii="Courier New" w:cs="Courier New" w:eastAsia="Courier New" w:hAnsi="Courier New"/>
                <w:sz w:val="15"/>
                <w:szCs w:val="15"/>
                <w:color w:val="auto"/>
              </w:rPr>
              <w:t>Points of Sale</w:t>
            </w:r>
          </w:p>
        </w:tc>
        <w:tc>
          <w:tcPr>
            <w:tcW w:w="3320" w:type="dxa"/>
            <w:vAlign w:val="bottom"/>
          </w:tcPr>
          <w:p>
            <w:pPr>
              <w:spacing w:after="0"/>
              <w:rPr>
                <w:sz w:val="24"/>
                <w:szCs w:val="24"/>
                <w:color w:val="auto"/>
              </w:rPr>
            </w:pPr>
          </w:p>
        </w:tc>
      </w:tr>
      <w:tr>
        <w:trPr>
          <w:trHeight w:val="168"/>
        </w:trPr>
        <w:tc>
          <w:tcPr>
            <w:tcW w:w="3060" w:type="dxa"/>
            <w:vAlign w:val="bottom"/>
          </w:tcPr>
          <w:p>
            <w:pPr>
              <w:jc w:val="right"/>
              <w:spacing w:after="0"/>
              <w:rPr>
                <w:sz w:val="20"/>
                <w:szCs w:val="20"/>
                <w:color w:val="auto"/>
              </w:rPr>
            </w:pPr>
            <w:r>
              <w:rPr>
                <w:rFonts w:ascii="Courier New" w:cs="Courier New" w:eastAsia="Courier New" w:hAnsi="Courier New"/>
                <w:sz w:val="12"/>
                <w:szCs w:val="12"/>
                <w:color w:val="auto"/>
                <w:w w:val="70"/>
              </w:rPr>
              <w:t>Small Grocery Stores........................................</w:t>
            </w:r>
          </w:p>
        </w:tc>
        <w:tc>
          <w:tcPr>
            <w:tcW w:w="3320" w:type="dxa"/>
            <w:vAlign w:val="bottom"/>
          </w:tcPr>
          <w:p>
            <w:pPr>
              <w:jc w:val="right"/>
              <w:ind w:right="191"/>
              <w:spacing w:after="0" w:line="168" w:lineRule="exact"/>
              <w:rPr>
                <w:sz w:val="20"/>
                <w:szCs w:val="20"/>
                <w:color w:val="auto"/>
              </w:rPr>
            </w:pPr>
            <w:r>
              <w:rPr>
                <w:rFonts w:ascii="Courier New" w:cs="Courier New" w:eastAsia="Courier New" w:hAnsi="Courier New"/>
                <w:sz w:val="15"/>
                <w:szCs w:val="15"/>
                <w:color w:val="auto"/>
              </w:rPr>
              <w:t>22.9%</w:t>
            </w:r>
          </w:p>
        </w:tc>
      </w:tr>
      <w:tr>
        <w:trPr>
          <w:trHeight w:val="168"/>
        </w:trPr>
        <w:tc>
          <w:tcPr>
            <w:tcW w:w="3060" w:type="dxa"/>
            <w:vAlign w:val="bottom"/>
          </w:tcPr>
          <w:p>
            <w:pPr>
              <w:jc w:val="right"/>
              <w:spacing w:after="0"/>
              <w:rPr>
                <w:sz w:val="20"/>
                <w:szCs w:val="20"/>
                <w:color w:val="auto"/>
              </w:rPr>
            </w:pPr>
            <w:r>
              <w:rPr>
                <w:rFonts w:ascii="Courier New" w:cs="Courier New" w:eastAsia="Courier New" w:hAnsi="Courier New"/>
                <w:sz w:val="12"/>
                <w:szCs w:val="12"/>
                <w:color w:val="auto"/>
                <w:w w:val="70"/>
              </w:rPr>
              <w:t>Beer and Liquor Stores......................................</w:t>
            </w:r>
          </w:p>
        </w:tc>
        <w:tc>
          <w:tcPr>
            <w:tcW w:w="3320" w:type="dxa"/>
            <w:vAlign w:val="bottom"/>
          </w:tcPr>
          <w:p>
            <w:pPr>
              <w:jc w:val="right"/>
              <w:ind w:right="271"/>
              <w:spacing w:after="0" w:line="168" w:lineRule="exact"/>
              <w:rPr>
                <w:sz w:val="20"/>
                <w:szCs w:val="20"/>
                <w:color w:val="auto"/>
              </w:rPr>
            </w:pPr>
            <w:r>
              <w:rPr>
                <w:rFonts w:ascii="Courier New" w:cs="Courier New" w:eastAsia="Courier New" w:hAnsi="Courier New"/>
                <w:sz w:val="15"/>
                <w:szCs w:val="15"/>
                <w:color w:val="auto"/>
              </w:rPr>
              <w:t>30.5</w:t>
            </w:r>
          </w:p>
        </w:tc>
      </w:tr>
      <w:tr>
        <w:trPr>
          <w:trHeight w:val="168"/>
        </w:trPr>
        <w:tc>
          <w:tcPr>
            <w:tcW w:w="3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Mini-markets and Convenience Stores</w:t>
            </w:r>
          </w:p>
        </w:tc>
        <w:tc>
          <w:tcPr>
            <w:tcW w:w="3320" w:type="dxa"/>
            <w:vAlign w:val="bottom"/>
          </w:tcPr>
          <w:p>
            <w:pPr>
              <w:jc w:val="right"/>
              <w:ind w:right="271"/>
              <w:spacing w:after="0" w:line="168" w:lineRule="exact"/>
              <w:rPr>
                <w:sz w:val="20"/>
                <w:szCs w:val="20"/>
                <w:color w:val="auto"/>
              </w:rPr>
            </w:pPr>
            <w:r>
              <w:rPr>
                <w:rFonts w:ascii="Courier New" w:cs="Courier New" w:eastAsia="Courier New" w:hAnsi="Courier New"/>
                <w:sz w:val="15"/>
                <w:szCs w:val="15"/>
                <w:color w:val="auto"/>
                <w:w w:val="99"/>
              </w:rPr>
              <w:t>.........................15.0</w:t>
            </w:r>
          </w:p>
        </w:tc>
      </w:tr>
      <w:tr>
        <w:trPr>
          <w:trHeight w:val="168"/>
        </w:trPr>
        <w:tc>
          <w:tcPr>
            <w:tcW w:w="3060" w:type="dxa"/>
            <w:vAlign w:val="bottom"/>
          </w:tcPr>
          <w:p>
            <w:pPr>
              <w:jc w:val="right"/>
              <w:spacing w:after="0"/>
              <w:rPr>
                <w:sz w:val="20"/>
                <w:szCs w:val="20"/>
                <w:color w:val="auto"/>
              </w:rPr>
            </w:pPr>
            <w:r>
              <w:rPr>
                <w:rFonts w:ascii="Courier New" w:cs="Courier New" w:eastAsia="Courier New" w:hAnsi="Courier New"/>
                <w:sz w:val="12"/>
                <w:szCs w:val="12"/>
                <w:color w:val="auto"/>
                <w:w w:val="70"/>
              </w:rPr>
              <w:t>Other Points of Sale........................................</w:t>
            </w:r>
          </w:p>
        </w:tc>
        <w:tc>
          <w:tcPr>
            <w:tcW w:w="3320" w:type="dxa"/>
            <w:vAlign w:val="bottom"/>
          </w:tcPr>
          <w:p>
            <w:pPr>
              <w:jc w:val="right"/>
              <w:ind w:right="271"/>
              <w:spacing w:after="0" w:line="168" w:lineRule="exact"/>
              <w:rPr>
                <w:sz w:val="20"/>
                <w:szCs w:val="20"/>
                <w:color w:val="auto"/>
              </w:rPr>
            </w:pPr>
            <w:r>
              <w:rPr>
                <w:rFonts w:ascii="Courier New" w:cs="Courier New" w:eastAsia="Courier New" w:hAnsi="Courier New"/>
                <w:sz w:val="15"/>
                <w:szCs w:val="15"/>
                <w:color w:val="auto"/>
              </w:rPr>
              <w:t>10.7</w:t>
            </w:r>
          </w:p>
        </w:tc>
      </w:tr>
      <w:tr>
        <w:trPr>
          <w:trHeight w:val="168"/>
        </w:trPr>
        <w:tc>
          <w:tcPr>
            <w:tcW w:w="3060" w:type="dxa"/>
            <w:vAlign w:val="bottom"/>
          </w:tcPr>
          <w:p>
            <w:pPr>
              <w:spacing w:after="0"/>
              <w:rPr>
                <w:sz w:val="14"/>
                <w:szCs w:val="14"/>
                <w:color w:val="auto"/>
              </w:rPr>
            </w:pPr>
          </w:p>
        </w:tc>
        <w:tc>
          <w:tcPr>
            <w:tcW w:w="3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60" w:type="dxa"/>
            <w:vAlign w:val="bottom"/>
          </w:tcPr>
          <w:p>
            <w:pPr>
              <w:jc w:val="right"/>
              <w:spacing w:after="0"/>
              <w:rPr>
                <w:sz w:val="20"/>
                <w:szCs w:val="20"/>
                <w:color w:val="auto"/>
              </w:rPr>
            </w:pPr>
            <w:r>
              <w:rPr>
                <w:rFonts w:ascii="Courier New" w:cs="Courier New" w:eastAsia="Courier New" w:hAnsi="Courier New"/>
                <w:sz w:val="12"/>
                <w:szCs w:val="12"/>
                <w:color w:val="auto"/>
                <w:w w:val="79"/>
              </w:rPr>
              <w:t>Subtotal.............................................</w:t>
            </w:r>
          </w:p>
        </w:tc>
        <w:tc>
          <w:tcPr>
            <w:tcW w:w="3320" w:type="dxa"/>
            <w:vAlign w:val="bottom"/>
          </w:tcPr>
          <w:p>
            <w:pPr>
              <w:jc w:val="right"/>
              <w:ind w:right="271"/>
              <w:spacing w:after="0" w:line="168" w:lineRule="exact"/>
              <w:rPr>
                <w:sz w:val="20"/>
                <w:szCs w:val="20"/>
                <w:color w:val="auto"/>
              </w:rPr>
            </w:pPr>
            <w:r>
              <w:rPr>
                <w:rFonts w:ascii="Courier New" w:cs="Courier New" w:eastAsia="Courier New" w:hAnsi="Courier New"/>
                <w:sz w:val="15"/>
                <w:szCs w:val="15"/>
                <w:color w:val="auto"/>
              </w:rPr>
              <w:t>79.1</w:t>
            </w:r>
          </w:p>
        </w:tc>
      </w:tr>
      <w:tr>
        <w:trPr>
          <w:trHeight w:val="336"/>
        </w:trPr>
        <w:tc>
          <w:tcPr>
            <w:tcW w:w="3060" w:type="dxa"/>
            <w:vAlign w:val="bottom"/>
          </w:tcPr>
          <w:p>
            <w:pPr>
              <w:spacing w:after="0"/>
              <w:rPr>
                <w:sz w:val="20"/>
                <w:szCs w:val="20"/>
                <w:color w:val="auto"/>
              </w:rPr>
            </w:pPr>
            <w:r>
              <w:rPr>
                <w:rFonts w:ascii="Courier New" w:cs="Courier New" w:eastAsia="Courier New" w:hAnsi="Courier New"/>
                <w:sz w:val="15"/>
                <w:szCs w:val="15"/>
                <w:color w:val="auto"/>
              </w:rPr>
              <w:t>Consumption Centers</w:t>
            </w:r>
          </w:p>
        </w:tc>
        <w:tc>
          <w:tcPr>
            <w:tcW w:w="3320" w:type="dxa"/>
            <w:vAlign w:val="bottom"/>
          </w:tcPr>
          <w:p>
            <w:pPr>
              <w:spacing w:after="0"/>
              <w:rPr>
                <w:sz w:val="24"/>
                <w:szCs w:val="24"/>
                <w:color w:val="auto"/>
              </w:rPr>
            </w:pPr>
          </w:p>
        </w:tc>
      </w:tr>
      <w:tr>
        <w:trPr>
          <w:trHeight w:val="168"/>
        </w:trPr>
        <w:tc>
          <w:tcPr>
            <w:tcW w:w="3060" w:type="dxa"/>
            <w:vAlign w:val="bottom"/>
          </w:tcPr>
          <w:p>
            <w:pPr>
              <w:jc w:val="right"/>
              <w:spacing w:after="0"/>
              <w:rPr>
                <w:sz w:val="20"/>
                <w:szCs w:val="20"/>
                <w:color w:val="auto"/>
              </w:rPr>
            </w:pPr>
            <w:r>
              <w:rPr>
                <w:rFonts w:ascii="Courier New" w:cs="Courier New" w:eastAsia="Courier New" w:hAnsi="Courier New"/>
                <w:sz w:val="12"/>
                <w:szCs w:val="12"/>
                <w:color w:val="auto"/>
                <w:w w:val="70"/>
              </w:rPr>
              <w:t>Bars........................................................</w:t>
            </w:r>
          </w:p>
        </w:tc>
        <w:tc>
          <w:tcPr>
            <w:tcW w:w="3320" w:type="dxa"/>
            <w:vAlign w:val="bottom"/>
          </w:tcPr>
          <w:p>
            <w:pPr>
              <w:jc w:val="right"/>
              <w:ind w:right="271"/>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060" w:type="dxa"/>
            <w:vAlign w:val="bottom"/>
          </w:tcPr>
          <w:p>
            <w:pPr>
              <w:jc w:val="right"/>
              <w:spacing w:after="0"/>
              <w:rPr>
                <w:sz w:val="20"/>
                <w:szCs w:val="20"/>
                <w:color w:val="auto"/>
              </w:rPr>
            </w:pPr>
            <w:r>
              <w:rPr>
                <w:rFonts w:ascii="Courier New" w:cs="Courier New" w:eastAsia="Courier New" w:hAnsi="Courier New"/>
                <w:sz w:val="12"/>
                <w:szCs w:val="12"/>
                <w:color w:val="auto"/>
                <w:w w:val="70"/>
              </w:rPr>
              <w:t>Restaurants.................................................</w:t>
            </w:r>
          </w:p>
        </w:tc>
        <w:tc>
          <w:tcPr>
            <w:tcW w:w="3320" w:type="dxa"/>
            <w:vAlign w:val="bottom"/>
          </w:tcPr>
          <w:p>
            <w:pPr>
              <w:jc w:val="right"/>
              <w:ind w:right="271"/>
              <w:spacing w:after="0" w:line="168" w:lineRule="exact"/>
              <w:rPr>
                <w:sz w:val="20"/>
                <w:szCs w:val="20"/>
                <w:color w:val="auto"/>
              </w:rPr>
            </w:pPr>
            <w:r>
              <w:rPr>
                <w:rFonts w:ascii="Courier New" w:cs="Courier New" w:eastAsia="Courier New" w:hAnsi="Courier New"/>
                <w:sz w:val="15"/>
                <w:szCs w:val="15"/>
                <w:color w:val="auto"/>
              </w:rPr>
              <w:t>4.9</w:t>
            </w:r>
          </w:p>
        </w:tc>
      </w:tr>
      <w:tr>
        <w:trPr>
          <w:trHeight w:val="168"/>
        </w:trPr>
        <w:tc>
          <w:tcPr>
            <w:tcW w:w="3060" w:type="dxa"/>
            <w:vAlign w:val="bottom"/>
          </w:tcPr>
          <w:p>
            <w:pPr>
              <w:jc w:val="right"/>
              <w:spacing w:after="0"/>
              <w:rPr>
                <w:sz w:val="20"/>
                <w:szCs w:val="20"/>
                <w:color w:val="auto"/>
              </w:rPr>
            </w:pPr>
            <w:r>
              <w:rPr>
                <w:rFonts w:ascii="Courier New" w:cs="Courier New" w:eastAsia="Courier New" w:hAnsi="Courier New"/>
                <w:sz w:val="12"/>
                <w:szCs w:val="12"/>
                <w:color w:val="auto"/>
                <w:w w:val="70"/>
              </w:rPr>
              <w:t>Nightclubs..................................................</w:t>
            </w:r>
          </w:p>
        </w:tc>
        <w:tc>
          <w:tcPr>
            <w:tcW w:w="3320" w:type="dxa"/>
            <w:vAlign w:val="bottom"/>
          </w:tcPr>
          <w:p>
            <w:pPr>
              <w:jc w:val="right"/>
              <w:ind w:right="271"/>
              <w:spacing w:after="0" w:line="168" w:lineRule="exact"/>
              <w:rPr>
                <w:sz w:val="20"/>
                <w:szCs w:val="20"/>
                <w:color w:val="auto"/>
              </w:rPr>
            </w:pPr>
            <w:r>
              <w:rPr>
                <w:rFonts w:ascii="Courier New" w:cs="Courier New" w:eastAsia="Courier New" w:hAnsi="Courier New"/>
                <w:sz w:val="15"/>
                <w:szCs w:val="15"/>
                <w:color w:val="auto"/>
              </w:rPr>
              <w:t>2.0</w:t>
            </w:r>
          </w:p>
        </w:tc>
      </w:tr>
      <w:tr>
        <w:trPr>
          <w:trHeight w:val="168"/>
        </w:trPr>
        <w:tc>
          <w:tcPr>
            <w:tcW w:w="3060" w:type="dxa"/>
            <w:vAlign w:val="bottom"/>
          </w:tcPr>
          <w:p>
            <w:pPr>
              <w:jc w:val="right"/>
              <w:spacing w:after="0"/>
              <w:rPr>
                <w:sz w:val="20"/>
                <w:szCs w:val="20"/>
                <w:color w:val="auto"/>
              </w:rPr>
            </w:pPr>
            <w:r>
              <w:rPr>
                <w:rFonts w:ascii="Courier New" w:cs="Courier New" w:eastAsia="Courier New" w:hAnsi="Courier New"/>
                <w:sz w:val="12"/>
                <w:szCs w:val="12"/>
                <w:color w:val="auto"/>
                <w:w w:val="70"/>
              </w:rPr>
              <w:t>Other Consumption Centers...................................</w:t>
            </w:r>
          </w:p>
        </w:tc>
        <w:tc>
          <w:tcPr>
            <w:tcW w:w="3320" w:type="dxa"/>
            <w:vAlign w:val="bottom"/>
          </w:tcPr>
          <w:p>
            <w:pPr>
              <w:jc w:val="right"/>
              <w:ind w:right="271"/>
              <w:spacing w:after="0" w:line="168" w:lineRule="exact"/>
              <w:rPr>
                <w:sz w:val="20"/>
                <w:szCs w:val="20"/>
                <w:color w:val="auto"/>
              </w:rPr>
            </w:pPr>
            <w:r>
              <w:rPr>
                <w:rFonts w:ascii="Courier New" w:cs="Courier New" w:eastAsia="Courier New" w:hAnsi="Courier New"/>
                <w:sz w:val="15"/>
                <w:szCs w:val="15"/>
                <w:color w:val="auto"/>
              </w:rPr>
              <w:t>4.0</w:t>
            </w:r>
          </w:p>
        </w:tc>
      </w:tr>
      <w:tr>
        <w:trPr>
          <w:trHeight w:val="168"/>
        </w:trPr>
        <w:tc>
          <w:tcPr>
            <w:tcW w:w="3060" w:type="dxa"/>
            <w:vAlign w:val="bottom"/>
          </w:tcPr>
          <w:p>
            <w:pPr>
              <w:spacing w:after="0"/>
              <w:rPr>
                <w:sz w:val="14"/>
                <w:szCs w:val="14"/>
                <w:color w:val="auto"/>
              </w:rPr>
            </w:pPr>
          </w:p>
        </w:tc>
        <w:tc>
          <w:tcPr>
            <w:tcW w:w="3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60" w:type="dxa"/>
            <w:vAlign w:val="bottom"/>
          </w:tcPr>
          <w:p>
            <w:pPr>
              <w:jc w:val="right"/>
              <w:spacing w:after="0"/>
              <w:rPr>
                <w:sz w:val="20"/>
                <w:szCs w:val="20"/>
                <w:color w:val="auto"/>
              </w:rPr>
            </w:pPr>
            <w:r>
              <w:rPr>
                <w:rFonts w:ascii="Courier New" w:cs="Courier New" w:eastAsia="Courier New" w:hAnsi="Courier New"/>
                <w:sz w:val="12"/>
                <w:szCs w:val="12"/>
                <w:color w:val="auto"/>
                <w:w w:val="79"/>
              </w:rPr>
              <w:t>Subtotal.............................................</w:t>
            </w:r>
          </w:p>
        </w:tc>
        <w:tc>
          <w:tcPr>
            <w:tcW w:w="3320" w:type="dxa"/>
            <w:vAlign w:val="bottom"/>
          </w:tcPr>
          <w:p>
            <w:pPr>
              <w:jc w:val="right"/>
              <w:ind w:right="271"/>
              <w:spacing w:after="0" w:line="168" w:lineRule="exact"/>
              <w:rPr>
                <w:sz w:val="20"/>
                <w:szCs w:val="20"/>
                <w:color w:val="auto"/>
              </w:rPr>
            </w:pPr>
            <w:r>
              <w:rPr>
                <w:rFonts w:ascii="Courier New" w:cs="Courier New" w:eastAsia="Courier New" w:hAnsi="Courier New"/>
                <w:sz w:val="15"/>
                <w:szCs w:val="15"/>
                <w:color w:val="auto"/>
              </w:rPr>
              <w:t>20.9</w:t>
            </w:r>
          </w:p>
        </w:tc>
      </w:tr>
      <w:tr>
        <w:trPr>
          <w:trHeight w:val="168"/>
        </w:trPr>
        <w:tc>
          <w:tcPr>
            <w:tcW w:w="3060" w:type="dxa"/>
            <w:vAlign w:val="bottom"/>
          </w:tcPr>
          <w:p>
            <w:pPr>
              <w:spacing w:after="0"/>
              <w:rPr>
                <w:sz w:val="14"/>
                <w:szCs w:val="14"/>
                <w:color w:val="auto"/>
              </w:rPr>
            </w:pPr>
          </w:p>
        </w:tc>
        <w:tc>
          <w:tcPr>
            <w:tcW w:w="3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60" w:type="dxa"/>
            <w:vAlign w:val="bottom"/>
          </w:tcPr>
          <w:p>
            <w:pPr>
              <w:jc w:val="right"/>
              <w:spacing w:after="0"/>
              <w:rPr>
                <w:sz w:val="20"/>
                <w:szCs w:val="20"/>
                <w:color w:val="auto"/>
              </w:rPr>
            </w:pPr>
            <w:r>
              <w:rPr>
                <w:rFonts w:ascii="Courier New" w:cs="Courier New" w:eastAsia="Courier New" w:hAnsi="Courier New"/>
                <w:sz w:val="12"/>
                <w:szCs w:val="12"/>
                <w:color w:val="auto"/>
                <w:w w:val="79"/>
              </w:rPr>
              <w:t>Total................................................</w:t>
            </w:r>
          </w:p>
        </w:tc>
        <w:tc>
          <w:tcPr>
            <w:tcW w:w="3320" w:type="dxa"/>
            <w:vAlign w:val="bottom"/>
          </w:tcPr>
          <w:p>
            <w:pPr>
              <w:jc w:val="right"/>
              <w:ind w:right="191"/>
              <w:spacing w:after="0" w:line="168" w:lineRule="exact"/>
              <w:rPr>
                <w:sz w:val="20"/>
                <w:szCs w:val="20"/>
                <w:color w:val="auto"/>
              </w:rPr>
            </w:pPr>
            <w:r>
              <w:rPr>
                <w:rFonts w:ascii="Courier New" w:cs="Courier New" w:eastAsia="Courier New" w:hAnsi="Courier New"/>
                <w:sz w:val="15"/>
                <w:szCs w:val="15"/>
                <w:color w:val="auto"/>
              </w:rPr>
              <w:t>100.0%</w:t>
            </w:r>
          </w:p>
        </w:tc>
      </w:tr>
    </w:tbl>
    <w:p>
      <w:pPr>
        <w:ind w:left="7000"/>
        <w:spacing w:after="0" w:line="237" w:lineRule="auto"/>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 2001, FEMSA Cerveza began implementing pre-sale processes. As of the date of this Annual Report, approximately 76% of our sales volume was sold through a pre-ordering system, which consists of systematic on-site visits to collect advance orders. One of the primary objectives of pre-sale is to separate sales from distribution to ensure more reliable market access and to enhance efficiency by reducing the number of secondary distribution routes in otherwise highly fragmented markets. Overall, in markets where pre-sale has been implemented, we have experienced a 95% reduction in unsold product and a net reduction in distribution personnel. Furthermore, pre-sale has enabled FEMSA Cerveza to collect customer and consumer information directly from the marketplace, which then becomes valuable in defining brand portfolios by channel. See "--Marketing Strategy."</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The Mexican retail market is fragmented and characterized by a preponderance of small outlets that are unable and unwilling to maintain meaningful inventory levels. Consequently, FEMSA Cerveza must make frequent product deliveries to its retailers. The existence of pre-sale systems facilitates systematic product delivery and helps discipline product inventory at the point of sale. FEMSA Cerveza served more than 265,000 retailers as of December 31, 2002 and its distribution network operates approximately 1,800 retail distribution routes. This is significantly lower than the number of routes in operation in 2001, and reflects the reconfiguration in distribution logistics as a result of the implementation of pre-sale in many of our key markets.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Enterprise Resource Planning</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Since 2001, FEMSA Cerveza has embarked in the implementation of an Enterprise Resource Planning or ERP system at various levels of the organization, with the ultimate objective of possessing an information and control platform that supports all commercial activities nationwide and correlates them with the administrative and business development decision-making process occurring in our central office. The ERP system has gone through a development phase in which the design, organization and configuration of various components of the system have been evaluated. In this phase, special care has been given to defining functions and procedures, which in some cases have spanned departmental divisions, in order to produce a cohesive set of operating processes. Some basic modules have been implemented successfully and according to schedule both at our central office and throughout the company. These modules assist finance, shared services, maintenance and equipment functions, among others. These ERP modules operate under the SAP(R) software platform.</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39"/>
          </w:cols>
          <w:pgMar w:left="220" w:top="617" w:right="1440" w:bottom="1440" w:gutter="0" w:footer="0" w:header="0"/>
        </w:sectPr>
      </w:pPr>
    </w:p>
    <w:bookmarkStart w:id="39" w:name="page40"/>
    <w:bookmarkEnd w:id="39"/>
    <w:p>
      <w:pPr>
        <w:ind w:right="3239" w:firstLine="437"/>
        <w:spacing w:after="0" w:line="236" w:lineRule="auto"/>
        <w:rPr>
          <w:sz w:val="20"/>
          <w:szCs w:val="20"/>
          <w:color w:val="auto"/>
        </w:rPr>
      </w:pPr>
      <w:r>
        <w:rPr>
          <w:rFonts w:ascii="Courier New" w:cs="Courier New" w:eastAsia="Courier New" w:hAnsi="Courier New"/>
          <w:sz w:val="15"/>
          <w:szCs w:val="15"/>
          <w:color w:val="auto"/>
        </w:rPr>
        <w:t>In 2002, FEMSA Cerveza focused on designing the commercial nodes of the ERP. These integrated packages, which will eventually support all aspects of sales and marketing at each one of FEMSA Cerveza's sales and distribution organizations, implement pioneering technology provided by I-S Beverage(R) for the administration and control of commercial activities. Additional attributes of these nodes include the application of data management solutions designed to create an intelligence base from market-gathered indicators that will aid in the strategic decision-making process.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Marketing Strategy</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principal marketing objectives of FEMSA Cerveza are:</w:t>
      </w:r>
    </w:p>
    <w:p>
      <w:pPr>
        <w:spacing w:after="0" w:line="173" w:lineRule="exact"/>
        <w:rPr>
          <w:sz w:val="20"/>
          <w:szCs w:val="20"/>
          <w:color w:val="auto"/>
        </w:rPr>
      </w:pPr>
    </w:p>
    <w:p>
      <w:pPr>
        <w:ind w:left="440" w:right="3139" w:hanging="430"/>
        <w:spacing w:after="0" w:line="235" w:lineRule="auto"/>
        <w:tabs>
          <w:tab w:leader="none" w:pos="178"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-ensuring coherence between point of sale marketing and sales activities by linking the promotional programs of each brand with its respective communication and advertising campaigns;</w:t>
      </w:r>
    </w:p>
    <w:p>
      <w:pPr>
        <w:spacing w:after="0" w:line="167"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exploiting channel marketing and market research functions;</w:t>
      </w:r>
    </w:p>
    <w:p>
      <w:pPr>
        <w:spacing w:after="0" w:line="172" w:lineRule="exact"/>
        <w:rPr>
          <w:rFonts w:ascii="Courier New" w:cs="Courier New" w:eastAsia="Courier New" w:hAnsi="Courier New"/>
          <w:sz w:val="15"/>
          <w:szCs w:val="15"/>
          <w:color w:val="auto"/>
        </w:rPr>
      </w:pPr>
    </w:p>
    <w:p>
      <w:pPr>
        <w:ind w:left="440" w:right="3059" w:hanging="430"/>
        <w:spacing w:after="0" w:line="234" w:lineRule="auto"/>
        <w:tabs>
          <w:tab w:leader="none" w:pos="178"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-defining and implementing differentiated strategies to promote the image of each brand; and</w:t>
      </w:r>
    </w:p>
    <w:p>
      <w:pPr>
        <w:spacing w:after="0" w:line="173" w:lineRule="exact"/>
        <w:rPr>
          <w:rFonts w:ascii="Courier New" w:cs="Courier New" w:eastAsia="Courier New" w:hAnsi="Courier New"/>
          <w:sz w:val="15"/>
          <w:szCs w:val="15"/>
          <w:color w:val="auto"/>
        </w:rPr>
      </w:pPr>
    </w:p>
    <w:p>
      <w:pPr>
        <w:ind w:left="440" w:right="3499" w:hanging="430"/>
        <w:spacing w:after="0" w:line="235" w:lineRule="auto"/>
        <w:tabs>
          <w:tab w:leader="none" w:pos="178"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-capturing new sales or consumption opportunities through innovative solutions in product and package offering, refrigeration, visibility and sponsorships.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Focus on Consumer: Brand Positioning and Market Segmentation</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FEMSA Cerveza's marketing strategy relies on a diverse brand and presentation portfolio to effectively serve all consumer and geographic segments of the Mexican beer market. FEMSA Cerveza's product portfolio consists of brands at different stages of market development. The strategy for each brand is dictated by its potential to either capture additional consumers or increase frequency of consumption in each market. The objective of FEMSA Cerveza's marketing is to position each of its four major brands as the principal brand in the respective region of dominance. The leading brands and their targeted domestic markets are Tecate in the northwest, Carta Blanca in the northeast, Sol in the central region and Superior in the south. FEMSA Cerveza believes that this strategy allows it to leverage the brand equity and market position of its flagship products in their respective territories. In addition, FEMSA Cerveza plans to use other brands in its portfolio to complement, and thereby strengthen, its regional offering and to assist in creating a richer pricing scheme.</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By defining brand positioning and the relevant promotional strategies to be executed by the sales team, FEMSA Cerveza's marketing efforts seek to establish connections between the consumer and FEMSA Cerveza's brands. The brand architecture and concept derived from brand positioning are founded on rigorous market research that evaluates, among other things, the brand's attributes from the consumer's perspective. Furthermore, periodic market research is conducted in several markets to monitor brand health attributes--such as brand awareness, recent trial, purchase intent, and first favorite--to help FEMSA Cerveza keep accurate track of the status of the image of each brand. The branding specialists also rely on this market-obtained data to better target products and promotions.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Focus on Retailer: Channel Marketing</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FEMSA Cerveza believes that defining channel strategies is just as important as defining brand positioning. Therefore, FEMSA Cerveza has established a channel marketing function within the marketing division whose objective is to understand the strategic relevance of the different channels across markets in order to define brand portfolios per channel. A channel refers to a category or sub-category of point of sale, such as supermarkets, beer depots, restaurants, etc. Channel marketing is responsible for:</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39"/>
          </w:cols>
          <w:pgMar w:left="220" w:top="624" w:right="1440" w:bottom="1440" w:gutter="0" w:footer="0" w:header="0"/>
        </w:sectPr>
      </w:pPr>
    </w:p>
    <w:bookmarkStart w:id="40" w:name="page41"/>
    <w:bookmarkEnd w:id="40"/>
    <w:p>
      <w:pPr>
        <w:ind w:left="180" w:hanging="170"/>
        <w:spacing w:after="0"/>
        <w:tabs>
          <w:tab w:leader="none" w:pos="18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establishing the optimal promotional programs for each channel;</w:t>
      </w:r>
    </w:p>
    <w:p>
      <w:pPr>
        <w:spacing w:after="0" w:line="172" w:lineRule="exact"/>
        <w:rPr>
          <w:rFonts w:ascii="Courier New" w:cs="Courier New" w:eastAsia="Courier New" w:hAnsi="Courier New"/>
          <w:sz w:val="15"/>
          <w:szCs w:val="15"/>
          <w:color w:val="auto"/>
        </w:rPr>
      </w:pPr>
    </w:p>
    <w:p>
      <w:pPr>
        <w:ind w:left="440" w:right="3239" w:hanging="430"/>
        <w:spacing w:after="0" w:line="234" w:lineRule="auto"/>
        <w:tabs>
          <w:tab w:leader="none" w:pos="178"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-identifying the most effective combination and position for merchandising material; and</w:t>
      </w:r>
    </w:p>
    <w:p>
      <w:pPr>
        <w:spacing w:after="0" w:line="166"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providing refrigeration equipment at the point of sale.</w:t>
      </w:r>
    </w:p>
    <w:p>
      <w:pPr>
        <w:spacing w:after="0" w:line="173" w:lineRule="exact"/>
        <w:rPr>
          <w:sz w:val="20"/>
          <w:szCs w:val="20"/>
          <w:color w:val="auto"/>
        </w:rPr>
      </w:pPr>
    </w:p>
    <w:p>
      <w:pPr>
        <w:ind w:right="3499" w:firstLine="437"/>
        <w:spacing w:after="0" w:line="261" w:lineRule="auto"/>
        <w:rPr>
          <w:sz w:val="20"/>
          <w:szCs w:val="20"/>
          <w:color w:val="auto"/>
        </w:rPr>
      </w:pPr>
      <w:r>
        <w:rPr>
          <w:rFonts w:ascii="Courier New" w:cs="Courier New" w:eastAsia="Courier New" w:hAnsi="Courier New"/>
          <w:sz w:val="14"/>
          <w:szCs w:val="14"/>
          <w:color w:val="auto"/>
        </w:rPr>
        <w:t>Channel marketing is also responsible for new channel development that could foster additional consumption opportunities for FEMSA Cerveza's brands.</w:t>
      </w:r>
    </w:p>
    <w:p>
      <w:pPr>
        <w:spacing w:after="0" w:line="160"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Channel marketing and coverage will be strengthened considerably with the use of electronic maps of certain cities. These maps superimpose crucial information--socioeconomic strata, micro market share, outlet location and channel characteristics--allowing sales managers and marketing strategists to implement differentiated tactics such as revenue management and portfolio segmentation. FEMSA Cerveza is in the initial development stages of this sales tool.</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Integrated Marketing</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With the objective of further aligning the brand and channel strategies with the sales teams, FEMSA Cerveza began implementing integrated marketing programs that combine the functions of the sales and marketing divisions. An integrated marketing program promotes a brand through simultaneous deployment of media communications, intense marketing efforts and sponsorship of events, increasing the effectiveness of the sales force by bridging the gap between the brand and the channel.</w:t>
      </w:r>
    </w:p>
    <w:p>
      <w:pPr>
        <w:spacing w:after="0" w:line="176"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Jointly, our brand and channel experts define an integrated brand strategy, which will be implemented in each type of market and in each designated channel by a specialized team responsible for designing the communication and marketing materials, including promotional programs that reflect the brand's strategy.</w:t>
      </w:r>
    </w:p>
    <w:p>
      <w:pPr>
        <w:spacing w:after="0" w:line="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FEMSA Cerveza utilizes the following forms of sales promotion: television, radio, billboards and point of sale material, as well as channel specific promotions, promotional material, refrigeration equipment and branded merchandise such as plastic furniture and neon signs to dress the point of sale. The implementation team is responsible for the delivery of the specific brand programs to the sales force, which is ultimately responsible for their market execution.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 and Package Innovation</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FEMSA Cerveza has established a working system that identifies, develops and ultimately launches product/package innovation alternatives to create incremental volume and/or incremental value for its business. This system has a structured set of components--functions and criteria--to help innovative ideas materialize into feasible rollouts in an optimal way. Currently, the product development initiatives at FEMSA Cerveza do not contemplate the introduction of new brands or the retirement of existing ones.</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Plants and Facilities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FEMSA Cerveza currently operates six breweries with an aggregate monthly production capacity of 2,687 thousand hectoliters, equivalent to approximately 32.2 million hectoliters of annual capacity. Each of FEMSA Cerveza's breweries has received ISO 9002 certification. A key consideration in the selection of a site for a brewery is its proximity to potential markets, as the cost of transportation is a critical component of the overall cost of beer to the consumer. FEMSA Cerveza's breweries are strategically located across the country and as a result serve FEMSA Cerveza's distribution system well. The newest brewery, located in Navojoa, Sonora, began production in late 1991.</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(Embedded Picture)</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39"/>
          </w:cols>
          <w:pgMar w:left="220" w:top="617" w:right="1440" w:bottom="1440" w:gutter="0" w:footer="0" w:header="0"/>
        </w:sectPr>
      </w:pPr>
    </w:p>
    <w:bookmarkStart w:id="41" w:name="page42"/>
    <w:bookmarkEnd w:id="41"/>
    <w:p>
      <w:pPr>
        <w:ind w:left="1840"/>
        <w:spacing w:after="0"/>
        <w:rPr>
          <w:sz w:val="20"/>
          <w:szCs w:val="20"/>
          <w:color w:val="auto"/>
        </w:rPr>
      </w:pPr>
      <w:r>
        <w:rPr>
          <w:rFonts w:ascii="Courier New" w:cs="Courier New" w:eastAsia="Courier New" w:hAnsi="Courier New"/>
          <w:sz w:val="15"/>
          <w:szCs w:val="15"/>
          <w:color w:val="auto"/>
        </w:rPr>
        <w:t>FEMSA Cerveza Facility Capacity Summary</w:t>
      </w:r>
    </w:p>
    <w:tbl>
      <w:tblPr>
        <w:tblLayout w:type="fixed"/>
        <w:tblInd w:w="0" w:type="dxa"/>
        <w:tblCellMar>
          <w:top w:w="0" w:type="dxa"/>
          <w:left w:w="0" w:type="dxa"/>
          <w:bottom w:w="0" w:type="dxa"/>
          <w:right w:w="0" w:type="dxa"/>
        </w:tblCellMar>
      </w:tblPr>
      <w:tr>
        <w:trPr>
          <w:trHeight w:val="168"/>
        </w:trPr>
        <w:tc>
          <w:tcPr>
            <w:tcW w:w="2280" w:type="dxa"/>
            <w:vAlign w:val="bottom"/>
          </w:tcPr>
          <w:p>
            <w:pPr>
              <w:spacing w:after="0"/>
              <w:rPr>
                <w:sz w:val="14"/>
                <w:szCs w:val="14"/>
                <w:color w:val="auto"/>
              </w:rPr>
            </w:pPr>
          </w:p>
        </w:tc>
        <w:tc>
          <w:tcPr>
            <w:tcW w:w="4560" w:type="dxa"/>
            <w:vAlign w:val="bottom"/>
          </w:tcPr>
          <w:p>
            <w:pPr>
              <w:jc w:val="right"/>
              <w:ind w:right="2027"/>
              <w:spacing w:after="0" w:line="168" w:lineRule="exact"/>
              <w:rPr>
                <w:sz w:val="20"/>
                <w:szCs w:val="20"/>
                <w:color w:val="auto"/>
              </w:rPr>
            </w:pPr>
            <w:r>
              <w:rPr>
                <w:rFonts w:ascii="Courier New" w:cs="Courier New" w:eastAsia="Courier New" w:hAnsi="Courier New"/>
                <w:sz w:val="15"/>
                <w:szCs w:val="15"/>
                <w:color w:val="auto"/>
                <w:w w:val="96"/>
              </w:rPr>
              <w:t>Year ended December 31, 2002</w:t>
            </w:r>
          </w:p>
        </w:tc>
        <w:tc>
          <w:tcPr>
            <w:tcW w:w="22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336"/>
        </w:trPr>
        <w:tc>
          <w:tcPr>
            <w:tcW w:w="2280" w:type="dxa"/>
            <w:vAlign w:val="bottom"/>
          </w:tcPr>
          <w:p>
            <w:pPr>
              <w:spacing w:after="0"/>
              <w:rPr>
                <w:sz w:val="24"/>
                <w:szCs w:val="24"/>
                <w:color w:val="auto"/>
              </w:rPr>
            </w:pPr>
          </w:p>
        </w:tc>
        <w:tc>
          <w:tcPr>
            <w:tcW w:w="4560" w:type="dxa"/>
            <w:vAlign w:val="bottom"/>
          </w:tcPr>
          <w:p>
            <w:pPr>
              <w:ind w:left="3420"/>
              <w:spacing w:after="0"/>
              <w:rPr>
                <w:sz w:val="20"/>
                <w:szCs w:val="20"/>
                <w:color w:val="auto"/>
              </w:rPr>
            </w:pPr>
            <w:r>
              <w:rPr>
                <w:rFonts w:ascii="Courier New" w:cs="Courier New" w:eastAsia="Courier New" w:hAnsi="Courier New"/>
                <w:sz w:val="15"/>
                <w:szCs w:val="15"/>
                <w:color w:val="auto"/>
              </w:rPr>
              <w:t>Average</w:t>
            </w:r>
          </w:p>
        </w:tc>
        <w:tc>
          <w:tcPr>
            <w:tcW w:w="2220" w:type="dxa"/>
            <w:vAlign w:val="bottom"/>
          </w:tcPr>
          <w:p>
            <w:pPr>
              <w:spacing w:after="0"/>
              <w:rPr>
                <w:sz w:val="24"/>
                <w:szCs w:val="24"/>
                <w:color w:val="auto"/>
              </w:rPr>
            </w:pP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w w:val="95"/>
              </w:rPr>
              <w:t>Average Capacity</w:t>
            </w:r>
          </w:p>
        </w:tc>
      </w:tr>
      <w:tr>
        <w:trPr>
          <w:trHeight w:val="168"/>
        </w:trPr>
        <w:tc>
          <w:tcPr>
            <w:tcW w:w="2280" w:type="dxa"/>
            <w:vAlign w:val="bottom"/>
          </w:tcPr>
          <w:p>
            <w:pPr>
              <w:spacing w:after="0"/>
              <w:rPr>
                <w:sz w:val="14"/>
                <w:szCs w:val="14"/>
                <w:color w:val="auto"/>
              </w:rPr>
            </w:pPr>
          </w:p>
        </w:tc>
        <w:tc>
          <w:tcPr>
            <w:tcW w:w="4560" w:type="dxa"/>
            <w:vAlign w:val="bottom"/>
          </w:tcPr>
          <w:p>
            <w:pPr>
              <w:ind w:left="3420"/>
              <w:spacing w:after="0" w:line="168" w:lineRule="exact"/>
              <w:rPr>
                <w:sz w:val="20"/>
                <w:szCs w:val="20"/>
                <w:color w:val="auto"/>
              </w:rPr>
            </w:pPr>
            <w:r>
              <w:rPr>
                <w:rFonts w:ascii="Courier New" w:cs="Courier New" w:eastAsia="Courier New" w:hAnsi="Courier New"/>
                <w:sz w:val="15"/>
                <w:szCs w:val="15"/>
                <w:color w:val="auto"/>
              </w:rPr>
              <w:t>Monthly(1)</w:t>
            </w:r>
          </w:p>
        </w:tc>
        <w:tc>
          <w:tcPr>
            <w:tcW w:w="22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Average Annualized</w:t>
            </w: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Utilization</w:t>
            </w:r>
          </w:p>
        </w:tc>
      </w:tr>
      <w:tr>
        <w:trPr>
          <w:trHeight w:val="168"/>
        </w:trPr>
        <w:tc>
          <w:tcPr>
            <w:tcW w:w="2280" w:type="dxa"/>
            <w:vAlign w:val="bottom"/>
          </w:tcPr>
          <w:p>
            <w:pPr>
              <w:spacing w:after="0"/>
              <w:rPr>
                <w:sz w:val="14"/>
                <w:szCs w:val="14"/>
                <w:color w:val="auto"/>
              </w:rPr>
            </w:pPr>
          </w:p>
        </w:tc>
        <w:tc>
          <w:tcPr>
            <w:tcW w:w="4560" w:type="dxa"/>
            <w:vAlign w:val="bottom"/>
          </w:tcPr>
          <w:p>
            <w:pPr>
              <w:ind w:left="3420"/>
              <w:spacing w:after="0" w:line="168" w:lineRule="exact"/>
              <w:rPr>
                <w:sz w:val="20"/>
                <w:szCs w:val="20"/>
                <w:color w:val="auto"/>
              </w:rPr>
            </w:pPr>
            <w:r>
              <w:rPr>
                <w:rFonts w:ascii="Courier New" w:cs="Courier New" w:eastAsia="Courier New" w:hAnsi="Courier New"/>
                <w:sz w:val="15"/>
                <w:szCs w:val="15"/>
                <w:color w:val="auto"/>
              </w:rPr>
              <w:t>----------</w:t>
            </w:r>
          </w:p>
        </w:tc>
        <w:tc>
          <w:tcPr>
            <w:tcW w:w="22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2280" w:type="dxa"/>
            <w:vAlign w:val="bottom"/>
          </w:tcPr>
          <w:p>
            <w:pPr>
              <w:spacing w:after="0"/>
              <w:rPr>
                <w:sz w:val="14"/>
                <w:szCs w:val="14"/>
                <w:color w:val="auto"/>
              </w:rPr>
            </w:pPr>
          </w:p>
        </w:tc>
        <w:tc>
          <w:tcPr>
            <w:tcW w:w="6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(in Thousands of Hectoliters)</w:t>
            </w:r>
          </w:p>
        </w:tc>
        <w:tc>
          <w:tcPr>
            <w:tcW w:w="1440" w:type="dxa"/>
            <w:vAlign w:val="bottom"/>
          </w:tcPr>
          <w:p>
            <w:pPr>
              <w:spacing w:after="0"/>
              <w:rPr>
                <w:sz w:val="14"/>
                <w:szCs w:val="14"/>
                <w:color w:val="auto"/>
              </w:rPr>
            </w:pPr>
          </w:p>
        </w:tc>
      </w:tr>
      <w:tr>
        <w:trPr>
          <w:trHeight w:val="336"/>
        </w:trPr>
        <w:tc>
          <w:tcPr>
            <w:tcW w:w="2280" w:type="dxa"/>
            <w:vAlign w:val="bottom"/>
          </w:tcPr>
          <w:p>
            <w:pPr>
              <w:jc w:val="right"/>
              <w:ind w:right="1609"/>
              <w:spacing w:after="0"/>
              <w:rPr>
                <w:sz w:val="20"/>
                <w:szCs w:val="20"/>
                <w:color w:val="auto"/>
              </w:rPr>
            </w:pPr>
            <w:r>
              <w:rPr>
                <w:rFonts w:ascii="Courier New" w:cs="Courier New" w:eastAsia="Courier New" w:hAnsi="Courier New"/>
                <w:sz w:val="15"/>
                <w:szCs w:val="15"/>
                <w:color w:val="auto"/>
                <w:w w:val="95"/>
              </w:rPr>
              <w:t>Brewery</w:t>
            </w:r>
          </w:p>
        </w:tc>
        <w:tc>
          <w:tcPr>
            <w:tcW w:w="45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68"/>
        </w:trPr>
        <w:tc>
          <w:tcPr>
            <w:tcW w:w="2280" w:type="dxa"/>
            <w:vAlign w:val="bottom"/>
          </w:tcPr>
          <w:p>
            <w:pPr>
              <w:jc w:val="right"/>
              <w:spacing w:after="0"/>
              <w:rPr>
                <w:sz w:val="20"/>
                <w:szCs w:val="20"/>
                <w:color w:val="auto"/>
              </w:rPr>
            </w:pPr>
            <w:r>
              <w:rPr>
                <w:rFonts w:ascii="Courier New" w:cs="Courier New" w:eastAsia="Courier New" w:hAnsi="Courier New"/>
                <w:sz w:val="9"/>
                <w:szCs w:val="9"/>
                <w:color w:val="auto"/>
                <w:w w:val="74"/>
              </w:rPr>
              <w:t>Orizaba.................................................</w:t>
            </w:r>
          </w:p>
        </w:tc>
        <w:tc>
          <w:tcPr>
            <w:tcW w:w="45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600</w:t>
            </w:r>
          </w:p>
        </w:tc>
        <w:tc>
          <w:tcPr>
            <w:tcW w:w="2220" w:type="dxa"/>
            <w:vAlign w:val="bottom"/>
          </w:tcPr>
          <w:p>
            <w:pPr>
              <w:jc w:val="right"/>
              <w:ind w:right="1107"/>
              <w:spacing w:after="0" w:line="168" w:lineRule="exact"/>
              <w:rPr>
                <w:sz w:val="20"/>
                <w:szCs w:val="20"/>
                <w:color w:val="auto"/>
              </w:rPr>
            </w:pPr>
            <w:r>
              <w:rPr>
                <w:rFonts w:ascii="Courier New" w:cs="Courier New" w:eastAsia="Courier New" w:hAnsi="Courier New"/>
                <w:sz w:val="15"/>
                <w:szCs w:val="15"/>
                <w:color w:val="auto"/>
              </w:rPr>
              <w:t>7,200</w:t>
            </w:r>
          </w:p>
        </w:tc>
        <w:tc>
          <w:tcPr>
            <w:tcW w:w="14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77.4%</w:t>
            </w:r>
          </w:p>
        </w:tc>
      </w:tr>
      <w:tr>
        <w:trPr>
          <w:trHeight w:val="168"/>
        </w:trPr>
        <w:tc>
          <w:tcPr>
            <w:tcW w:w="2280" w:type="dxa"/>
            <w:vAlign w:val="bottom"/>
          </w:tcPr>
          <w:p>
            <w:pPr>
              <w:jc w:val="right"/>
              <w:spacing w:after="0"/>
              <w:rPr>
                <w:sz w:val="20"/>
                <w:szCs w:val="20"/>
                <w:color w:val="auto"/>
              </w:rPr>
            </w:pPr>
            <w:r>
              <w:rPr>
                <w:rFonts w:ascii="Courier New" w:cs="Courier New" w:eastAsia="Courier New" w:hAnsi="Courier New"/>
                <w:sz w:val="9"/>
                <w:szCs w:val="9"/>
                <w:color w:val="auto"/>
                <w:w w:val="74"/>
              </w:rPr>
              <w:t>Monterrey...............................................</w:t>
            </w:r>
          </w:p>
        </w:tc>
        <w:tc>
          <w:tcPr>
            <w:tcW w:w="45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629</w:t>
            </w:r>
          </w:p>
        </w:tc>
        <w:tc>
          <w:tcPr>
            <w:tcW w:w="2220" w:type="dxa"/>
            <w:vAlign w:val="bottom"/>
          </w:tcPr>
          <w:p>
            <w:pPr>
              <w:jc w:val="right"/>
              <w:ind w:right="1107"/>
              <w:spacing w:after="0" w:line="168" w:lineRule="exact"/>
              <w:rPr>
                <w:sz w:val="20"/>
                <w:szCs w:val="20"/>
                <w:color w:val="auto"/>
              </w:rPr>
            </w:pPr>
            <w:r>
              <w:rPr>
                <w:rFonts w:ascii="Courier New" w:cs="Courier New" w:eastAsia="Courier New" w:hAnsi="Courier New"/>
                <w:sz w:val="15"/>
                <w:szCs w:val="15"/>
                <w:color w:val="auto"/>
              </w:rPr>
              <w:t>7,550</w:t>
            </w:r>
          </w:p>
        </w:tc>
        <w:tc>
          <w:tcPr>
            <w:tcW w:w="14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81.2</w:t>
            </w:r>
          </w:p>
        </w:tc>
      </w:tr>
      <w:tr>
        <w:trPr>
          <w:trHeight w:val="168"/>
        </w:trPr>
        <w:tc>
          <w:tcPr>
            <w:tcW w:w="2280" w:type="dxa"/>
            <w:vAlign w:val="bottom"/>
          </w:tcPr>
          <w:p>
            <w:pPr>
              <w:jc w:val="right"/>
              <w:spacing w:after="0"/>
              <w:rPr>
                <w:sz w:val="20"/>
                <w:szCs w:val="20"/>
                <w:color w:val="auto"/>
              </w:rPr>
            </w:pPr>
            <w:r>
              <w:rPr>
                <w:rFonts w:ascii="Courier New" w:cs="Courier New" w:eastAsia="Courier New" w:hAnsi="Courier New"/>
                <w:sz w:val="9"/>
                <w:szCs w:val="9"/>
                <w:color w:val="auto"/>
                <w:w w:val="74"/>
              </w:rPr>
              <w:t>Toluca..................................................</w:t>
            </w:r>
          </w:p>
        </w:tc>
        <w:tc>
          <w:tcPr>
            <w:tcW w:w="45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450</w:t>
            </w:r>
          </w:p>
        </w:tc>
        <w:tc>
          <w:tcPr>
            <w:tcW w:w="2220" w:type="dxa"/>
            <w:vAlign w:val="bottom"/>
          </w:tcPr>
          <w:p>
            <w:pPr>
              <w:jc w:val="right"/>
              <w:ind w:right="1107"/>
              <w:spacing w:after="0" w:line="168" w:lineRule="exact"/>
              <w:rPr>
                <w:sz w:val="20"/>
                <w:szCs w:val="20"/>
                <w:color w:val="auto"/>
              </w:rPr>
            </w:pPr>
            <w:r>
              <w:rPr>
                <w:rFonts w:ascii="Courier New" w:cs="Courier New" w:eastAsia="Courier New" w:hAnsi="Courier New"/>
                <w:sz w:val="15"/>
                <w:szCs w:val="15"/>
                <w:color w:val="auto"/>
              </w:rPr>
              <w:t>5,400</w:t>
            </w:r>
          </w:p>
        </w:tc>
        <w:tc>
          <w:tcPr>
            <w:tcW w:w="14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69.4</w:t>
            </w:r>
          </w:p>
        </w:tc>
      </w:tr>
      <w:tr>
        <w:trPr>
          <w:trHeight w:val="168"/>
        </w:trPr>
        <w:tc>
          <w:tcPr>
            <w:tcW w:w="2280" w:type="dxa"/>
            <w:vAlign w:val="bottom"/>
          </w:tcPr>
          <w:p>
            <w:pPr>
              <w:jc w:val="right"/>
              <w:spacing w:after="0"/>
              <w:rPr>
                <w:sz w:val="20"/>
                <w:szCs w:val="20"/>
                <w:color w:val="auto"/>
              </w:rPr>
            </w:pPr>
            <w:r>
              <w:rPr>
                <w:rFonts w:ascii="Courier New" w:cs="Courier New" w:eastAsia="Courier New" w:hAnsi="Courier New"/>
                <w:sz w:val="9"/>
                <w:szCs w:val="9"/>
                <w:color w:val="auto"/>
                <w:w w:val="74"/>
              </w:rPr>
              <w:t>Navojoa.................................................</w:t>
            </w:r>
          </w:p>
        </w:tc>
        <w:tc>
          <w:tcPr>
            <w:tcW w:w="45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350</w:t>
            </w:r>
          </w:p>
        </w:tc>
        <w:tc>
          <w:tcPr>
            <w:tcW w:w="2220" w:type="dxa"/>
            <w:vAlign w:val="bottom"/>
          </w:tcPr>
          <w:p>
            <w:pPr>
              <w:jc w:val="right"/>
              <w:ind w:right="1107"/>
              <w:spacing w:after="0" w:line="168" w:lineRule="exact"/>
              <w:rPr>
                <w:sz w:val="20"/>
                <w:szCs w:val="20"/>
                <w:color w:val="auto"/>
              </w:rPr>
            </w:pPr>
            <w:r>
              <w:rPr>
                <w:rFonts w:ascii="Courier New" w:cs="Courier New" w:eastAsia="Courier New" w:hAnsi="Courier New"/>
                <w:sz w:val="15"/>
                <w:szCs w:val="15"/>
                <w:color w:val="auto"/>
              </w:rPr>
              <w:t>4,200</w:t>
            </w:r>
          </w:p>
        </w:tc>
        <w:tc>
          <w:tcPr>
            <w:tcW w:w="14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66.2</w:t>
            </w:r>
          </w:p>
        </w:tc>
      </w:tr>
      <w:tr>
        <w:trPr>
          <w:trHeight w:val="168"/>
        </w:trPr>
        <w:tc>
          <w:tcPr>
            <w:tcW w:w="2280" w:type="dxa"/>
            <w:vAlign w:val="bottom"/>
          </w:tcPr>
          <w:p>
            <w:pPr>
              <w:jc w:val="right"/>
              <w:spacing w:after="0"/>
              <w:rPr>
                <w:sz w:val="20"/>
                <w:szCs w:val="20"/>
                <w:color w:val="auto"/>
              </w:rPr>
            </w:pPr>
            <w:r>
              <w:rPr>
                <w:rFonts w:ascii="Courier New" w:cs="Courier New" w:eastAsia="Courier New" w:hAnsi="Courier New"/>
                <w:sz w:val="9"/>
                <w:szCs w:val="9"/>
                <w:color w:val="auto"/>
                <w:w w:val="74"/>
              </w:rPr>
              <w:t>Tecate..................................................</w:t>
            </w:r>
          </w:p>
        </w:tc>
        <w:tc>
          <w:tcPr>
            <w:tcW w:w="45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390</w:t>
            </w:r>
          </w:p>
        </w:tc>
        <w:tc>
          <w:tcPr>
            <w:tcW w:w="2220" w:type="dxa"/>
            <w:vAlign w:val="bottom"/>
          </w:tcPr>
          <w:p>
            <w:pPr>
              <w:jc w:val="right"/>
              <w:ind w:right="1107"/>
              <w:spacing w:after="0" w:line="168" w:lineRule="exact"/>
              <w:rPr>
                <w:sz w:val="20"/>
                <w:szCs w:val="20"/>
                <w:color w:val="auto"/>
              </w:rPr>
            </w:pPr>
            <w:r>
              <w:rPr>
                <w:rFonts w:ascii="Courier New" w:cs="Courier New" w:eastAsia="Courier New" w:hAnsi="Courier New"/>
                <w:sz w:val="15"/>
                <w:szCs w:val="15"/>
                <w:color w:val="auto"/>
              </w:rPr>
              <w:t>4,680</w:t>
            </w:r>
          </w:p>
        </w:tc>
        <w:tc>
          <w:tcPr>
            <w:tcW w:w="14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63.4</w:t>
            </w:r>
          </w:p>
        </w:tc>
      </w:tr>
      <w:tr>
        <w:trPr>
          <w:trHeight w:val="168"/>
        </w:trPr>
        <w:tc>
          <w:tcPr>
            <w:tcW w:w="2280" w:type="dxa"/>
            <w:vAlign w:val="bottom"/>
          </w:tcPr>
          <w:p>
            <w:pPr>
              <w:jc w:val="right"/>
              <w:spacing w:after="0"/>
              <w:rPr>
                <w:sz w:val="20"/>
                <w:szCs w:val="20"/>
                <w:color w:val="auto"/>
              </w:rPr>
            </w:pPr>
            <w:r>
              <w:rPr>
                <w:rFonts w:ascii="Courier New" w:cs="Courier New" w:eastAsia="Courier New" w:hAnsi="Courier New"/>
                <w:sz w:val="9"/>
                <w:szCs w:val="9"/>
                <w:color w:val="auto"/>
                <w:w w:val="74"/>
              </w:rPr>
              <w:t>Guadalajara.............................................</w:t>
            </w:r>
          </w:p>
        </w:tc>
        <w:tc>
          <w:tcPr>
            <w:tcW w:w="45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268</w:t>
            </w:r>
          </w:p>
        </w:tc>
        <w:tc>
          <w:tcPr>
            <w:tcW w:w="2220" w:type="dxa"/>
            <w:vAlign w:val="bottom"/>
          </w:tcPr>
          <w:p>
            <w:pPr>
              <w:jc w:val="right"/>
              <w:ind w:right="1107"/>
              <w:spacing w:after="0" w:line="168" w:lineRule="exact"/>
              <w:rPr>
                <w:sz w:val="20"/>
                <w:szCs w:val="20"/>
                <w:color w:val="auto"/>
              </w:rPr>
            </w:pPr>
            <w:r>
              <w:rPr>
                <w:rFonts w:ascii="Courier New" w:cs="Courier New" w:eastAsia="Courier New" w:hAnsi="Courier New"/>
                <w:sz w:val="15"/>
                <w:szCs w:val="15"/>
                <w:color w:val="auto"/>
              </w:rPr>
              <w:t>3,216</w:t>
            </w:r>
          </w:p>
        </w:tc>
        <w:tc>
          <w:tcPr>
            <w:tcW w:w="14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65.0</w:t>
            </w:r>
          </w:p>
        </w:tc>
      </w:tr>
      <w:tr>
        <w:trPr>
          <w:trHeight w:val="168"/>
        </w:trPr>
        <w:tc>
          <w:tcPr>
            <w:tcW w:w="2280" w:type="dxa"/>
            <w:vAlign w:val="bottom"/>
          </w:tcPr>
          <w:p>
            <w:pPr>
              <w:jc w:val="right"/>
              <w:spacing w:after="0"/>
              <w:rPr>
                <w:sz w:val="20"/>
                <w:szCs w:val="20"/>
                <w:color w:val="auto"/>
              </w:rPr>
            </w:pPr>
            <w:r>
              <w:rPr>
                <w:rFonts w:ascii="Courier New" w:cs="Courier New" w:eastAsia="Courier New" w:hAnsi="Courier New"/>
                <w:sz w:val="10"/>
                <w:szCs w:val="10"/>
                <w:color w:val="auto"/>
                <w:w w:val="71"/>
              </w:rPr>
              <w:t>Total................................................</w:t>
            </w:r>
          </w:p>
        </w:tc>
        <w:tc>
          <w:tcPr>
            <w:tcW w:w="45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2,687</w:t>
            </w:r>
          </w:p>
        </w:tc>
        <w:tc>
          <w:tcPr>
            <w:tcW w:w="2220" w:type="dxa"/>
            <w:vAlign w:val="bottom"/>
          </w:tcPr>
          <w:p>
            <w:pPr>
              <w:jc w:val="right"/>
              <w:ind w:right="1107"/>
              <w:spacing w:after="0" w:line="168" w:lineRule="exact"/>
              <w:rPr>
                <w:sz w:val="20"/>
                <w:szCs w:val="20"/>
                <w:color w:val="auto"/>
              </w:rPr>
            </w:pPr>
            <w:r>
              <w:rPr>
                <w:rFonts w:ascii="Courier New" w:cs="Courier New" w:eastAsia="Courier New" w:hAnsi="Courier New"/>
                <w:sz w:val="15"/>
                <w:szCs w:val="15"/>
                <w:color w:val="auto"/>
              </w:rPr>
              <w:t>32,246</w:t>
            </w:r>
          </w:p>
        </w:tc>
        <w:tc>
          <w:tcPr>
            <w:tcW w:w="14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72.2%</w:t>
            </w:r>
          </w:p>
        </w:tc>
      </w:tr>
      <w:tr>
        <w:trPr>
          <w:trHeight w:val="168"/>
        </w:trPr>
        <w:tc>
          <w:tcPr>
            <w:tcW w:w="2280" w:type="dxa"/>
            <w:vAlign w:val="bottom"/>
          </w:tcPr>
          <w:p>
            <w:pPr>
              <w:spacing w:after="0"/>
              <w:rPr>
                <w:sz w:val="14"/>
                <w:szCs w:val="14"/>
                <w:color w:val="auto"/>
              </w:rPr>
            </w:pPr>
          </w:p>
        </w:tc>
        <w:tc>
          <w:tcPr>
            <w:tcW w:w="45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2220" w:type="dxa"/>
            <w:vAlign w:val="bottom"/>
          </w:tcPr>
          <w:p>
            <w:pPr>
              <w:jc w:val="right"/>
              <w:ind w:right="11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540" w:hanging="530"/>
        <w:spacing w:after="0"/>
        <w:tabs>
          <w:tab w:leader="none" w:pos="54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Average monthly installed capacity during 2002.</w:t>
      </w:r>
    </w:p>
    <w:p>
      <w:pPr>
        <w:spacing w:after="0" w:line="341" w:lineRule="exact"/>
        <w:rPr>
          <w:sz w:val="20"/>
          <w:szCs w:val="20"/>
          <w:color w:val="auto"/>
        </w:rPr>
      </w:pPr>
    </w:p>
    <w:p>
      <w:pPr>
        <w:ind w:right="3580" w:firstLine="437"/>
        <w:spacing w:after="0" w:line="236" w:lineRule="auto"/>
        <w:rPr>
          <w:sz w:val="20"/>
          <w:szCs w:val="20"/>
          <w:color w:val="auto"/>
        </w:rPr>
      </w:pPr>
      <w:r>
        <w:rPr>
          <w:rFonts w:ascii="Courier New" w:cs="Courier New" w:eastAsia="Courier New" w:hAnsi="Courier New"/>
          <w:sz w:val="15"/>
          <w:szCs w:val="15"/>
          <w:color w:val="auto"/>
        </w:rPr>
        <w:t>Between 1998 and 2002, FEMSA Cerveza increased its average monthly production capacity by approximately 242,000 hectoliters through additional investments in existing facilities. During 2002, FEMSA Cerveza expanded average monthly capacity in the Tecate and Monterrey breweries to achieve a production of 390,000 and 629,000 hectoliters, respectively. FEMSA Cerveza's management believes that it will be able to continue to adequately expand its production capacity by investing in existing facilities.</w:t>
      </w:r>
    </w:p>
    <w:p>
      <w:pPr>
        <w:spacing w:after="0" w:line="176" w:lineRule="exact"/>
        <w:rPr>
          <w:sz w:val="20"/>
          <w:szCs w:val="20"/>
          <w:color w:val="auto"/>
        </w:rPr>
      </w:pPr>
    </w:p>
    <w:p>
      <w:pPr>
        <w:ind w:right="3580" w:firstLine="437"/>
        <w:spacing w:after="0" w:line="235" w:lineRule="auto"/>
        <w:rPr>
          <w:sz w:val="20"/>
          <w:szCs w:val="20"/>
          <w:color w:val="auto"/>
        </w:rPr>
      </w:pPr>
      <w:r>
        <w:rPr>
          <w:rFonts w:ascii="Courier New" w:cs="Courier New" w:eastAsia="Courier New" w:hAnsi="Courier New"/>
          <w:sz w:val="15"/>
          <w:szCs w:val="15"/>
          <w:color w:val="auto"/>
        </w:rPr>
        <w:t>FEMSA Cerveza operates seven effluent water treatment systems to treat the water used by the breweries. The effluent treatment system at the Orizaba brewery is a joint venture among FEMSA Cerveza, several other local companies and the government of the state of Veracruz.</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Seasonality</w:t>
      </w:r>
    </w:p>
    <w:p>
      <w:pPr>
        <w:spacing w:after="0" w:line="173" w:lineRule="exact"/>
        <w:rPr>
          <w:sz w:val="20"/>
          <w:szCs w:val="20"/>
          <w:color w:val="auto"/>
        </w:rPr>
      </w:pPr>
    </w:p>
    <w:p>
      <w:pPr>
        <w:ind w:right="3500" w:firstLine="437"/>
        <w:spacing w:after="0" w:line="236" w:lineRule="auto"/>
        <w:rPr>
          <w:sz w:val="20"/>
          <w:szCs w:val="20"/>
          <w:color w:val="auto"/>
        </w:rPr>
      </w:pPr>
      <w:r>
        <w:rPr>
          <w:rFonts w:ascii="Courier New" w:cs="Courier New" w:eastAsia="Courier New" w:hAnsi="Courier New"/>
          <w:sz w:val="15"/>
          <w:szCs w:val="15"/>
          <w:color w:val="auto"/>
        </w:rPr>
        <w:t>Demand for FEMSA Cerveza's beer is highest in the Mexican summer season, and consequently, brewery utilization rates are at their highest during this period. While capacity utilization rates averaged approximately 72.2% in 2002 and 73.9% in 2001, peak utilization in the summer season was in excess of 79% in 2002 and 85% in 2001. Demand for FEMSA Cerveza's products decreases during the months of November, January and February primarily as a result of colder weather in the northern regions of Mexico. Demand for FEMSA Cerveza's products tends to increase in the month of December reflecting consumption during the holiday season.</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Raw Materials</w:t>
      </w:r>
    </w:p>
    <w:p>
      <w:pPr>
        <w:spacing w:after="0" w:line="173" w:lineRule="exact"/>
        <w:rPr>
          <w:sz w:val="20"/>
          <w:szCs w:val="20"/>
          <w:color w:val="auto"/>
        </w:rPr>
      </w:pPr>
    </w:p>
    <w:p>
      <w:pPr>
        <w:ind w:right="3500" w:firstLine="437"/>
        <w:spacing w:after="0" w:line="236" w:lineRule="auto"/>
        <w:rPr>
          <w:sz w:val="20"/>
          <w:szCs w:val="20"/>
          <w:color w:val="auto"/>
        </w:rPr>
      </w:pPr>
      <w:r>
        <w:rPr>
          <w:rFonts w:ascii="Courier New" w:cs="Courier New" w:eastAsia="Courier New" w:hAnsi="Courier New"/>
          <w:sz w:val="15"/>
          <w:szCs w:val="15"/>
          <w:color w:val="auto"/>
        </w:rPr>
        <w:t>Malted barley, hops, certain grains, yeast and water represent the principal ingredients used in manufacturing FEMSA Cerveza's beer products. These inputs are generally available in the open market. FEMSA Cerveza satisfies its commodity requirements through purchases from various sources, including purchases pursuant to contractual arrangements and purchases in the open market. The prices and supply sources of raw materials are determined by, among other factors, the level of crop production, weather conditions, export demand and government regulations and legislation affecting agriculture. Hops is the only ingredient that is not available domestically. FEMSA Cerveza imports hops primarily from the United States and Europe.</w:t>
      </w:r>
    </w:p>
    <w:p>
      <w:pPr>
        <w:spacing w:after="0" w:line="179" w:lineRule="exact"/>
        <w:rPr>
          <w:sz w:val="20"/>
          <w:szCs w:val="20"/>
          <w:color w:val="auto"/>
        </w:rPr>
      </w:pPr>
    </w:p>
    <w:p>
      <w:pPr>
        <w:ind w:right="3500" w:firstLine="437"/>
        <w:spacing w:after="0" w:line="237" w:lineRule="auto"/>
        <w:rPr>
          <w:sz w:val="20"/>
          <w:szCs w:val="20"/>
          <w:color w:val="auto"/>
        </w:rPr>
      </w:pPr>
      <w:r>
        <w:rPr>
          <w:rFonts w:ascii="Courier New" w:cs="Courier New" w:eastAsia="Courier New" w:hAnsi="Courier New"/>
          <w:sz w:val="15"/>
          <w:szCs w:val="15"/>
          <w:color w:val="auto"/>
        </w:rPr>
        <w:t>The principal source of barley for the Mexican beer industry is the domestic harvest. If domestic production is insufficient to meet the industry's requirements, barley (or its equivalent in malt), can be sourced from the international markets. Pursuant to NAFTA, an annual duty-free import quota for barley (or its equivalent in malt) was set at 150,000 tons in 1994. This quota is subject to an annual increase of 5%. Additional quantities may be imported in years in which the beer industry can demonstrate that domestic production and the allowable import quota are insufficient to meet demand. It is estimated that in 2002, the Mexican beer industry imported 213,477 tons of barley pursuant to the applicable quota and an additional amount of approximately 12,920 tons, significantly lower than the additional amount imported in 2001, as a result of favorable domestic barley output. Barley consumption by the Mexican beer industry is approximately 553,667 tons per annum. Prior to NAFTA, domestic barley prices were significantly higher than international barley prices. Since the implementation of NAFTA, domestic barley prices have declined, and local producers now generally price their crop so that, after accounting for transportation and other import-related expenses, imported barley and barley purchased from the domestic market result in the same cost to the domestic purchaser.</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500"/>
          </w:cols>
          <w:pgMar w:left="220" w:top="1290" w:right="1179" w:bottom="1440" w:gutter="0" w:footer="0" w:header="0"/>
        </w:sectPr>
      </w:pPr>
    </w:p>
    <w:bookmarkStart w:id="42" w:name="page43"/>
    <w:bookmarkEnd w:id="42"/>
    <w:p>
      <w:pPr>
        <w:ind w:left="440"/>
        <w:spacing w:after="0"/>
        <w:rPr>
          <w:sz w:val="20"/>
          <w:szCs w:val="20"/>
          <w:color w:val="auto"/>
        </w:rPr>
      </w:pPr>
      <w:r>
        <w:rPr>
          <w:rFonts w:ascii="Courier New" w:cs="Courier New" w:eastAsia="Courier New" w:hAnsi="Courier New"/>
          <w:sz w:val="15"/>
          <w:szCs w:val="15"/>
          <w:color w:val="auto"/>
        </w:rPr>
        <w:t>Purchases from FEMSA Empaques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FEMSA Cerveza obtains its packaging materials primarily from its affiliate, FEMSA Empaques. In 1994, FEMSA Cerveza's principal operating subsidiaries entered into a packaging supply agreement (the "FEMSA Cerveza Supply Agreement") with FEMSA Empaques. See "--FEMSA Empaques" and "Item 10. Additional Information--Material Contracts--FEMSA Cerveza--Supply Agreement." As of December 31, 2002, FEMSA Empaques supplied 100% of FEMSA Cerveza's bottle, aluminum can, bottle cap and label requirements.</w:t>
      </w:r>
    </w:p>
    <w:p>
      <w:pPr>
        <w:spacing w:after="0" w:line="16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Coca-Cola FEMSA</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Overview and Background</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Coca-Cola FEMSA is the largest Coca-Cola bottler in Latin America, representing approximately 40% of Coca-Cola volumes in Latin America, and the second largest bottler of Coca-Cola products in the world, as measured by sales volume in unit cases sold in 2002. Coca-Cola FEMSA operates in Mexico (a substantial part of central Mexico, including Mexico City and Southeast Mexico), Guatemala (Guatemala City and surrounding areas), Nicaragua (nationwide), Costa Rica (nationwide), Panama (nationwide), Colombia (most of the country), Venezuela (nationwide), Brazil (greater Sao Paulo, Campinas, Santos and part of Mato Grosso do Sul) and Argentina (Federal Capital and surrounding areas, referred to in this Annual Report as Gran Buenos Aires).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Panamco Acquisition</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On May 6, 2003, Coca-Cola FEMSA completed the acquisition of Panamco, then the largest soft drink bottler in Latin America and one of the three largest bottlers of Coca-Cola products in the world, as measured by sales volume in unit cases sold in 2002. Panamco is now Coca-Cola FEMSA's wholly-owned subsidiary. Panamco produces and distributes Coca-Cola trademark beverages in its bottling territories in Mexico, Guatemala, Nicaragua, Costa Rica, Panama, Colombia, Venezuela and Brazil, along with bottled water, beer and other beverages in some of these territories. In 2002, Panamco reported net sales of US$2,357.9 million, operating income of US$131.2 million and net income of US$33.2 million, under U.S. GAAP. Panamco sold approximately 1,228.1 million unit cases in 2002. Additional information regarding Panamco's operations and recent performance can be found in its annual report filed with the SEC on Form 10-K on March 28, 2003 and its quarterly report filed with the SEC on Form 10-Q on May 6, 2003. Such reports do not constitute part of this Annual Report and are not incorporated by reference into this Annual Report.</w:t>
      </w:r>
    </w:p>
    <w:p>
      <w:pPr>
        <w:spacing w:after="0" w:line="332"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Panamco acquisition significantly increases the geographic diversity of Coca-Cola FEMSA's operations, although the Mexican operations of both companies represent by far the largest single portion of Coca-Cola FEMSA's business, representing 53% of the combined volume for the two companies in 2002. This geographic diversification will present significant new challenges as Coca-Cola FEMSA will be conducting business in territories where it has not previously operated and will expose Coca-Cola FEMSA to new economic, political, currency exchange and other risks.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Integration</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Coca-Cola FEMSA is currently planning and taking certain initial steps towards the integration of Panamco's operations with its own. Coca-Cola FEMSA's objective is to achieve complete integration in the operations and management of the two companies' Mexican operations, which Coca-Cola FEMSA believes complement each other in numerous areas, with the goal of realizing important synergies in distribution, back-office operations, manufacturing and procurement, including through the closure and integration of facilities and headcount reductions. Coca-Cola FEMSA will maintain its corporate headquarters in Mexico City, and will have divisional headquarters in the following three regions:</w:t>
      </w:r>
    </w:p>
    <w:p>
      <w:pPr>
        <w:spacing w:after="0" w:line="159" w:lineRule="exact"/>
        <w:rPr>
          <w:sz w:val="20"/>
          <w:szCs w:val="20"/>
          <w:color w:val="auto"/>
        </w:rPr>
      </w:pPr>
    </w:p>
    <w:p>
      <w:pPr>
        <w:ind w:left="180" w:hanging="170"/>
        <w:spacing w:after="0"/>
        <w:tabs>
          <w:tab w:leader="none" w:pos="18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Mexico with divisional headquarters in Mexico City;</w:t>
      </w:r>
    </w:p>
    <w:p>
      <w:pPr>
        <w:spacing w:after="0" w:line="172" w:lineRule="exact"/>
        <w:rPr>
          <w:rFonts w:ascii="Courier New" w:cs="Courier New" w:eastAsia="Courier New" w:hAnsi="Courier New"/>
          <w:sz w:val="15"/>
          <w:szCs w:val="15"/>
          <w:color w:val="auto"/>
        </w:rPr>
      </w:pPr>
    </w:p>
    <w:p>
      <w:pPr>
        <w:ind w:left="440" w:right="3399" w:hanging="430"/>
        <w:spacing w:after="0" w:line="235" w:lineRule="auto"/>
        <w:tabs>
          <w:tab w:leader="none" w:pos="178"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-Latin Centro (covering territories in Guatemala, Nicaragua, Costa Rica, Panama, Venezuela and Colombia) with divisional headquarters in San Jose, Costa Rica; and</w:t>
      </w:r>
    </w:p>
    <w:p>
      <w:pPr>
        <w:spacing w:after="0" w:line="173" w:lineRule="exact"/>
        <w:rPr>
          <w:rFonts w:ascii="Courier New" w:cs="Courier New" w:eastAsia="Courier New" w:hAnsi="Courier New"/>
          <w:sz w:val="15"/>
          <w:szCs w:val="15"/>
          <w:color w:val="auto"/>
        </w:rPr>
      </w:pPr>
    </w:p>
    <w:p>
      <w:pPr>
        <w:ind w:left="440" w:right="3399" w:hanging="430"/>
        <w:spacing w:after="0" w:line="234" w:lineRule="auto"/>
        <w:tabs>
          <w:tab w:leader="none" w:pos="178"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-Mercosur (covering territories in Brazil and Argentina) with divisional headquarters in Sao Paulo, Brazil.</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39"/>
          </w:cols>
          <w:pgMar w:left="220" w:top="617" w:right="1440" w:bottom="1440" w:gutter="0" w:footer="0" w:header="0"/>
        </w:sectPr>
      </w:pPr>
    </w:p>
    <w:bookmarkStart w:id="43" w:name="page44"/>
    <w:bookmarkEnd w:id="43"/>
    <w:p>
      <w:pPr>
        <w:ind w:right="3239"/>
        <w:spacing w:after="0" w:line="235" w:lineRule="auto"/>
        <w:rPr>
          <w:sz w:val="20"/>
          <w:szCs w:val="20"/>
          <w:color w:val="auto"/>
        </w:rPr>
      </w:pPr>
      <w:r>
        <w:rPr>
          <w:rFonts w:ascii="Courier New" w:cs="Courier New" w:eastAsia="Courier New" w:hAnsi="Courier New"/>
          <w:sz w:val="15"/>
          <w:szCs w:val="15"/>
          <w:color w:val="auto"/>
        </w:rPr>
        <w:t>Coca-Cola FEMSA is in the process of evaluating the operations and strategies of Panamco's businesses outside Mexico, and has begun to replicate some of Coca-Cola FEMSA's management practices and systems throughout its new territories.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Acquisition Cost</w:t>
      </w:r>
    </w:p>
    <w:p>
      <w:pPr>
        <w:spacing w:after="0" w:line="173" w:lineRule="exact"/>
        <w:rPr>
          <w:sz w:val="20"/>
          <w:szCs w:val="20"/>
          <w:color w:val="auto"/>
        </w:rPr>
      </w:pPr>
    </w:p>
    <w:p>
      <w:pPr>
        <w:ind w:right="4099" w:firstLine="437"/>
        <w:spacing w:after="0" w:line="234" w:lineRule="auto"/>
        <w:rPr>
          <w:sz w:val="20"/>
          <w:szCs w:val="20"/>
          <w:color w:val="auto"/>
        </w:rPr>
      </w:pPr>
      <w:r>
        <w:rPr>
          <w:rFonts w:ascii="Courier New" w:cs="Courier New" w:eastAsia="Courier New" w:hAnsi="Courier New"/>
          <w:sz w:val="15"/>
          <w:szCs w:val="15"/>
          <w:color w:val="auto"/>
        </w:rPr>
        <w:t>The cost of the acquisition was approximately US$3.7 billion. The acquisition was financed as follows:</w:t>
      </w:r>
    </w:p>
    <w:p>
      <w:pPr>
        <w:spacing w:after="0" w:line="173" w:lineRule="exact"/>
        <w:rPr>
          <w:sz w:val="20"/>
          <w:szCs w:val="20"/>
          <w:color w:val="auto"/>
        </w:rPr>
      </w:pPr>
    </w:p>
    <w:p>
      <w:pPr>
        <w:ind w:left="440" w:right="3239" w:hanging="430"/>
        <w:spacing w:after="0" w:line="234" w:lineRule="auto"/>
        <w:tabs>
          <w:tab w:leader="none" w:pos="178"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-US$1,978 billion of new debt (including approximately US$373 million used to refinance existing Panamco indebtedness);</w:t>
      </w:r>
    </w:p>
    <w:p>
      <w:pPr>
        <w:spacing w:after="0" w:line="166"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US$260 million from a capital investment by FEMSA through CIBSA;</w:t>
      </w:r>
    </w:p>
    <w:p>
      <w:pPr>
        <w:spacing w:after="0" w:line="172" w:lineRule="exact"/>
        <w:rPr>
          <w:rFonts w:ascii="Courier New" w:cs="Courier New" w:eastAsia="Courier New" w:hAnsi="Courier New"/>
          <w:sz w:val="15"/>
          <w:szCs w:val="15"/>
          <w:color w:val="auto"/>
        </w:rPr>
      </w:pPr>
    </w:p>
    <w:p>
      <w:pPr>
        <w:ind w:left="440" w:right="3059" w:hanging="430"/>
        <w:spacing w:after="0" w:line="234" w:lineRule="auto"/>
        <w:tabs>
          <w:tab w:leader="none" w:pos="178"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-US$674 million notional amount of Coca-Cola FEMSA Series D Shares issued to subsidiaries of The Coca-Cola Company;</w:t>
      </w:r>
    </w:p>
    <w:p>
      <w:pPr>
        <w:spacing w:after="0" w:line="166"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US$285 million in cash; and</w:t>
      </w:r>
    </w:p>
    <w:p>
      <w:pPr>
        <w:spacing w:after="0" w:line="166"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US$512 million of assumed debt.</w:t>
      </w:r>
    </w:p>
    <w:p>
      <w:pPr>
        <w:spacing w:after="0" w:line="173"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Additionally, Coca-Cola FEMSA incurred other costs and expenses related to the transaction, which it has been paying with cash on hand.</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As part of the acquisition, all shareholders of Panamco, other than The Coca-Cola Company and its subsidiaries, received cash in exchange for their shares. The Coca-Cola Company and its subsidiaries received Coca-Cola FEMSA Series D Shares in exchange for its equity interest in Panamco of approximately 25%. This increased The Coca-Cola Company's beneficial ownership of Coca-Cola FEMSA's total share capital from 30% to 39.6% and its beneficial ownership of Coca-Cola FEMSA's voting share capital from 37% to 46.4%.</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Coca-Cola Memorandum</w:t>
      </w:r>
    </w:p>
    <w:p>
      <w:pPr>
        <w:spacing w:after="0" w:line="173" w:lineRule="exact"/>
        <w:rPr>
          <w:sz w:val="20"/>
          <w:szCs w:val="20"/>
          <w:color w:val="auto"/>
        </w:rPr>
      </w:pPr>
    </w:p>
    <w:p>
      <w:pPr>
        <w:jc w:val="both"/>
        <w:ind w:right="3579" w:firstLine="437"/>
        <w:spacing w:after="0" w:line="256" w:lineRule="auto"/>
        <w:rPr>
          <w:sz w:val="20"/>
          <w:szCs w:val="20"/>
          <w:color w:val="auto"/>
        </w:rPr>
      </w:pPr>
      <w:r>
        <w:rPr>
          <w:rFonts w:ascii="Courier New" w:cs="Courier New" w:eastAsia="Courier New" w:hAnsi="Courier New"/>
          <w:sz w:val="14"/>
          <w:szCs w:val="14"/>
          <w:color w:val="auto"/>
        </w:rPr>
        <w:t>In connection with the signing of the agreement for the acquisition of Panamco, The Coca-Cola Company and FEMSA memorialized certain understandings primarily relating to operational and business issues that affect Coca-Cola FEMSA following the completion of the acquisition. The terms are as follows:</w:t>
      </w:r>
    </w:p>
    <w:p>
      <w:pPr>
        <w:spacing w:after="0" w:line="164" w:lineRule="exact"/>
        <w:rPr>
          <w:sz w:val="20"/>
          <w:szCs w:val="20"/>
          <w:color w:val="auto"/>
        </w:rPr>
      </w:pPr>
    </w:p>
    <w:p>
      <w:pPr>
        <w:ind w:left="440" w:right="3239" w:hanging="430"/>
        <w:spacing w:after="0" w:line="235" w:lineRule="auto"/>
        <w:tabs>
          <w:tab w:leader="none" w:pos="178"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current stockholder arrangements between FEMSA and The Coca-Cola Company will continue in place. See "Item 10. Additional Information--Material Contracts--Coca-Cola FEMSA--Shareholders' Agreement."</w:t>
      </w:r>
    </w:p>
    <w:p>
      <w:pPr>
        <w:spacing w:after="0" w:line="167"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FEMSA will continue to consolidate Coca-Cola FEMSA's financial results.</w:t>
      </w:r>
    </w:p>
    <w:p>
      <w:pPr>
        <w:spacing w:after="0" w:line="172" w:lineRule="exact"/>
        <w:rPr>
          <w:rFonts w:ascii="Courier New" w:cs="Courier New" w:eastAsia="Courier New" w:hAnsi="Courier New"/>
          <w:sz w:val="15"/>
          <w:szCs w:val="15"/>
          <w:color w:val="auto"/>
        </w:rPr>
      </w:pPr>
    </w:p>
    <w:p>
      <w:pPr>
        <w:ind w:left="440" w:right="3139" w:hanging="430"/>
        <w:spacing w:after="0" w:line="235" w:lineRule="auto"/>
        <w:tabs>
          <w:tab w:leader="none" w:pos="178"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Coca-Cola Company and FEMSA will continue to discuss in good faith the possibility of implementing changes to Coca-Cola FEMSA's capital structure in the future.</w:t>
      </w:r>
    </w:p>
    <w:p>
      <w:pPr>
        <w:spacing w:after="0" w:line="173" w:lineRule="exact"/>
        <w:rPr>
          <w:rFonts w:ascii="Courier New" w:cs="Courier New" w:eastAsia="Courier New" w:hAnsi="Courier New"/>
          <w:sz w:val="15"/>
          <w:szCs w:val="15"/>
          <w:color w:val="auto"/>
        </w:rPr>
      </w:pPr>
    </w:p>
    <w:p>
      <w:pPr>
        <w:ind w:left="440" w:right="3239" w:hanging="430"/>
        <w:spacing w:after="0" w:line="236" w:lineRule="auto"/>
        <w:tabs>
          <w:tab w:leader="none" w:pos="178"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will be no changes in concentrate incidence pricing or marketing support by The Coca-Cola Company during the first year of operations following the acquisition. After such time, The Coca-Cola Company will have complete discretion to implement any changes with respect to these matters, but any decision in this regard will be discussed with Coca-Cola FEMSA and will take its operating condition into consideration.</w:t>
      </w:r>
    </w:p>
    <w:p>
      <w:pPr>
        <w:spacing w:after="0" w:line="168"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The Coca-Cola Company may require the establishment of a different</w:t>
      </w:r>
    </w:p>
    <w:p>
      <w:pPr>
        <w:spacing w:after="0" w:line="5" w:lineRule="exact"/>
        <w:rPr>
          <w:sz w:val="20"/>
          <w:szCs w:val="20"/>
          <w:color w:val="auto"/>
        </w:rPr>
      </w:pPr>
    </w:p>
    <w:p>
      <w:pPr>
        <w:ind w:left="440" w:right="3319"/>
        <w:spacing w:after="0" w:line="236" w:lineRule="auto"/>
        <w:rPr>
          <w:sz w:val="20"/>
          <w:szCs w:val="20"/>
          <w:color w:val="auto"/>
        </w:rPr>
      </w:pPr>
      <w:r>
        <w:rPr>
          <w:rFonts w:ascii="Courier New" w:cs="Courier New" w:eastAsia="Courier New" w:hAnsi="Courier New"/>
          <w:sz w:val="15"/>
          <w:szCs w:val="15"/>
          <w:color w:val="auto"/>
        </w:rPr>
        <w:t>long-term strategy for Brazil. If, after taking into account Coca-Cola FEMSA's performance in Brazil, The Coca-Cola Company does not consider it to be part of this long-term strategic solution for Brazil, then Coca-Cola FEMSA will sell its Brazilian franchise to The Coca-Cola Company or its designee at fair market value. Fair market value would be determined by independent investment bankers retained by each party at their own expense pursuant to specified procedures.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39"/>
          </w:cols>
          <w:pgMar w:left="220" w:top="624" w:right="1440" w:bottom="1440" w:gutter="0" w:footer="0" w:header="0"/>
        </w:sectPr>
      </w:pPr>
    </w:p>
    <w:bookmarkStart w:id="44" w:name="page45"/>
    <w:bookmarkEnd w:id="44"/>
    <w:p>
      <w:pPr>
        <w:ind w:left="440" w:right="3239" w:hanging="430"/>
        <w:spacing w:after="0" w:line="236" w:lineRule="auto"/>
        <w:tabs>
          <w:tab w:leader="none" w:pos="178"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-FEMSA, The Coca-Cola Company and Coca-Cola FEMSA will meet to discuss the optimal Latin America territorial configuration for the Coca-Cola bottling system. During these meetings, Coca-Cola FEMSA will consider all possible combinations and any asset swap transactions that may arise from these discussions. In addition, Coca-Cola FEMSA will entertain any potential combination as long as it is strategically sound and done at fair market value.</w:t>
      </w:r>
    </w:p>
    <w:p>
      <w:pPr>
        <w:spacing w:after="0" w:line="175" w:lineRule="exact"/>
        <w:rPr>
          <w:rFonts w:ascii="Courier New" w:cs="Courier New" w:eastAsia="Courier New" w:hAnsi="Courier New"/>
          <w:sz w:val="15"/>
          <w:szCs w:val="15"/>
          <w:color w:val="auto"/>
        </w:rPr>
      </w:pPr>
    </w:p>
    <w:p>
      <w:pPr>
        <w:ind w:left="440" w:right="3139" w:hanging="430"/>
        <w:spacing w:after="0" w:line="235" w:lineRule="auto"/>
        <w:tabs>
          <w:tab w:leader="none" w:pos="178"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-Coca-Cola FEMSA would like to keep open strategic alternatives that relate to the integration of carbonated soft drinks and beer. The Coca-Cola Company, FEMSA and Coca-Cola FEMSA would explore these alternatives on a market-by-market basis at the appropriate time.</w:t>
      </w:r>
    </w:p>
    <w:p>
      <w:pPr>
        <w:spacing w:after="0" w:line="175" w:lineRule="exact"/>
        <w:rPr>
          <w:rFonts w:ascii="Courier New" w:cs="Courier New" w:eastAsia="Courier New" w:hAnsi="Courier New"/>
          <w:sz w:val="15"/>
          <w:szCs w:val="15"/>
          <w:color w:val="auto"/>
        </w:rPr>
      </w:pPr>
    </w:p>
    <w:p>
      <w:pPr>
        <w:ind w:left="440" w:right="3319" w:hanging="430"/>
        <w:spacing w:after="0" w:line="236" w:lineRule="auto"/>
        <w:tabs>
          <w:tab w:leader="none" w:pos="178"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Coca-Cola Company will sell to CIBSA, FEMSA's subsidiary that holds shares of Coca-Cola FEMSA, upon CIBSA's request, a sufficient number of Coca-Cola FEMSA's shares to permit CIBSA to beneficially own 51% of Coca-Cola FEMSA's outstanding capital stock (assuming that CIBSA does not sell any shares and that there are no issuances of Coca-Cola FEMSA's stock other than as contemplated by the acquisition). This understanding will be in place until May 2006. In this proposed sale, CIBSA would pay the higher of:</w:t>
      </w:r>
    </w:p>
    <w:p>
      <w:pPr>
        <w:spacing w:after="0" w:line="170"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the prevailing market price per share at the time of the sale; and</w:t>
      </w:r>
    </w:p>
    <w:p>
      <w:pPr>
        <w:spacing w:after="0" w:line="166"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the sum of $2.216 per share plus The Coca-Cola Company's carrying costs.</w:t>
      </w:r>
    </w:p>
    <w:p>
      <w:pPr>
        <w:spacing w:after="0" w:line="172" w:lineRule="exact"/>
        <w:rPr>
          <w:rFonts w:ascii="Courier New" w:cs="Courier New" w:eastAsia="Courier New" w:hAnsi="Courier New"/>
          <w:sz w:val="15"/>
          <w:szCs w:val="15"/>
          <w:color w:val="auto"/>
        </w:rPr>
      </w:pPr>
    </w:p>
    <w:p>
      <w:pPr>
        <w:ind w:left="440" w:right="3319" w:hanging="430"/>
        <w:spacing w:after="0" w:line="255" w:lineRule="auto"/>
        <w:tabs>
          <w:tab w:leader="none" w:pos="178"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Coca-Cola FEMSA may be entering some markets where significant infrastructure investment may be required. The Coca-Cola Company and FEMSA will conduct a joint study that will outline strategies for these markets, as well as the investment levels required to execute these strategies. Subsequently, it is intended that FEMSA and The Coca-Cola Company will reach agreement on the level of funding to be provided by each of the partners. The parties intend that this allocation of funding responsibilities would not be overly burdensome for either partner.</w:t>
      </w:r>
    </w:p>
    <w:p>
      <w:pPr>
        <w:spacing w:after="0" w:line="165" w:lineRule="exact"/>
        <w:rPr>
          <w:rFonts w:ascii="Courier New" w:cs="Courier New" w:eastAsia="Courier New" w:hAnsi="Courier New"/>
          <w:sz w:val="15"/>
          <w:szCs w:val="15"/>
          <w:color w:val="auto"/>
        </w:rPr>
      </w:pPr>
    </w:p>
    <w:p>
      <w:pPr>
        <w:ind w:left="440" w:right="3239" w:hanging="430"/>
        <w:spacing w:after="0" w:line="236" w:lineRule="auto"/>
        <w:tabs>
          <w:tab w:leader="none" w:pos="178"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execution and delivery of mutually satisfactory definitive agreements, The Coca-Cola Company intends to grant Coca-Cola FEMSA a stand-by line of credit in the principal amount of US$250 million. The purpose of this line of credit would be to support investments that Coca-Cola FEMSA may need to make during economically difficult periods prior to the third anniversary of the completion of the acquisition. Coca-Cola FEMSA is currently in the process of negotiating definitive documentation for this facility.</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Strategy</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With the acquisition of Panamco, Coca-Cola FEMSA is now the largest bottler of Coca-Cola trademark beverages in Latin America.</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Coca-Cola FEMSA seeks to provide its shareholders with an attractive return on their investment by increasing Coca-Cola FEMSA's profitability. The key factors in achieving profitability are increasing the sales volume of Coca-Cola FEMSA's products at a competitive price while improving operational efficiencies by implementing the best practices throughout Coca-Cola FEMSA. To achieve these goals Coca-Cola FEMSA continues its efforts in:</w:t>
      </w:r>
    </w:p>
    <w:p>
      <w:pPr>
        <w:spacing w:after="0" w:line="175" w:lineRule="exact"/>
        <w:rPr>
          <w:sz w:val="20"/>
          <w:szCs w:val="20"/>
          <w:color w:val="auto"/>
        </w:rPr>
      </w:pPr>
    </w:p>
    <w:p>
      <w:pPr>
        <w:ind w:left="440" w:right="3759" w:hanging="430"/>
        <w:spacing w:after="0" w:line="234" w:lineRule="auto"/>
        <w:tabs>
          <w:tab w:leader="none" w:pos="178"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-implementing marketing strategies and programs designed to increase consumer demand for its products;</w:t>
      </w:r>
    </w:p>
    <w:p>
      <w:pPr>
        <w:spacing w:after="0" w:line="173" w:lineRule="exact"/>
        <w:rPr>
          <w:rFonts w:ascii="Courier New" w:cs="Courier New" w:eastAsia="Courier New" w:hAnsi="Courier New"/>
          <w:sz w:val="15"/>
          <w:szCs w:val="15"/>
          <w:color w:val="auto"/>
        </w:rPr>
      </w:pPr>
    </w:p>
    <w:p>
      <w:pPr>
        <w:ind w:left="440" w:right="3579" w:hanging="430"/>
        <w:spacing w:after="0" w:line="234" w:lineRule="auto"/>
        <w:tabs>
          <w:tab w:leader="none" w:pos="178"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-replicating its successful practices throughout the whole value chain within the territories recently acquired;</w:t>
      </w:r>
    </w:p>
    <w:p>
      <w:pPr>
        <w:spacing w:after="0" w:line="173" w:lineRule="exact"/>
        <w:rPr>
          <w:rFonts w:ascii="Courier New" w:cs="Courier New" w:eastAsia="Courier New" w:hAnsi="Courier New"/>
          <w:sz w:val="15"/>
          <w:szCs w:val="15"/>
          <w:color w:val="auto"/>
        </w:rPr>
      </w:pPr>
    </w:p>
    <w:p>
      <w:pPr>
        <w:ind w:left="440" w:right="3139" w:hanging="430"/>
        <w:spacing w:after="0" w:line="234" w:lineRule="auto"/>
        <w:tabs>
          <w:tab w:leader="none" w:pos="178"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-expanding and enhancing presentation and brand portfolios in order to meet consumer demand and to promote market presence growth;</w:t>
      </w:r>
    </w:p>
    <w:p>
      <w:pPr>
        <w:spacing w:after="0" w:line="173" w:lineRule="exact"/>
        <w:rPr>
          <w:rFonts w:ascii="Courier New" w:cs="Courier New" w:eastAsia="Courier New" w:hAnsi="Courier New"/>
          <w:sz w:val="15"/>
          <w:szCs w:val="15"/>
          <w:color w:val="auto"/>
        </w:rPr>
      </w:pPr>
    </w:p>
    <w:p>
      <w:pPr>
        <w:ind w:left="440" w:right="3399" w:hanging="430"/>
        <w:spacing w:after="0" w:line="234" w:lineRule="auto"/>
        <w:tabs>
          <w:tab w:leader="none" w:pos="178"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-rationalizing bottling capacity to increase the utilization of existing assets;</w:t>
      </w:r>
    </w:p>
    <w:p>
      <w:pPr>
        <w:spacing w:after="0" w:line="173" w:lineRule="exact"/>
        <w:rPr>
          <w:rFonts w:ascii="Courier New" w:cs="Courier New" w:eastAsia="Courier New" w:hAnsi="Courier New"/>
          <w:sz w:val="15"/>
          <w:szCs w:val="15"/>
          <w:color w:val="auto"/>
        </w:rPr>
      </w:pPr>
    </w:p>
    <w:p>
      <w:pPr>
        <w:ind w:left="440" w:right="3239" w:hanging="430"/>
        <w:spacing w:after="0" w:line="234" w:lineRule="auto"/>
        <w:tabs>
          <w:tab w:leader="none" w:pos="178"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-streamlining production and distribution processes for improved operating efficiencies;</w:t>
      </w:r>
    </w:p>
    <w:p>
      <w:pPr>
        <w:spacing w:after="0" w:line="166"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integrating operations through advanced information technology; and</w:t>
      </w:r>
    </w:p>
    <w:p>
      <w:pPr>
        <w:spacing w:after="0" w:line="166"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enhancing the quality of management at all levels.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39"/>
          </w:cols>
          <w:pgMar w:left="220" w:top="624" w:right="1440" w:bottom="1440" w:gutter="0" w:footer="0" w:header="0"/>
        </w:sectPr>
      </w:pPr>
    </w:p>
    <w:bookmarkStart w:id="45" w:name="page46"/>
    <w:bookmarkEnd w:id="45"/>
    <w:p>
      <w:pPr>
        <w:ind w:right="3239" w:firstLine="437"/>
        <w:spacing w:after="0" w:line="255" w:lineRule="auto"/>
        <w:rPr>
          <w:sz w:val="20"/>
          <w:szCs w:val="20"/>
          <w:color w:val="auto"/>
        </w:rPr>
      </w:pPr>
      <w:r>
        <w:rPr>
          <w:rFonts w:ascii="Courier New" w:cs="Courier New" w:eastAsia="Courier New" w:hAnsi="Courier New"/>
          <w:sz w:val="14"/>
          <w:szCs w:val="14"/>
          <w:color w:val="auto"/>
        </w:rPr>
        <w:t>Coca-Cola FEMSA seeks to increase per capita consumption of soft drinks in the territories in which it operates. To that end, Coca-Cola FEMSA's marketing teams continuously develop sales strategies tailored to the different characteristics of Coca-Cola FEMSA's various territories and channels. Coca-Cola FEMSA continues to develop its product portfolio to better meet market demand and maintain its overall profitability. To stimulate and respond to consumer demand, Coca-Cola FEMSA continues to introduce new products and new presentations. See "--Coca-Cola FEMSA Products." Coca-Cola FEMSA also seeks to increase placement of refrigeration equipment, including promotional displays, through the strategic placement of such equipment in retail outlets in order to showcase and promote its products. In addition, because Coca-Cola FEMSA views its relationship with The Coca-Cola Company as integral to its business strategy, it uses market information systems and strategies developed with The Coca-Cola Company to improve its coordination with the worldwide marketing efforts of The Coca-Cola Company. See "--Marketing."</w:t>
      </w:r>
    </w:p>
    <w:p>
      <w:pPr>
        <w:spacing w:after="0" w:line="332"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Coca-Cola FEMSA seeks to rationalize its distribution capacity to improve the efficiency of its operations. Coca-Cola FEMSA has closed several under-utilized centers and shifted distribution activities to other existing facilities. Coca-Cola FEMSA has a capital expenditure program that includes investments in production and distribution facilities, information systems, bottles, cases and coolers. Coca-Cola FEMSA believes that this program will allow Coca-Cola FEMSA to maintain the capacity and flexibility to create and respond to consumer demand for non-alcoholic beverages. In 2002, Coca-Cola FEMSA's capital expenditure program reached Ps. 1,341 million (approximately US$ 128.2 million), a 28.7% increase over 2001. See "Item 5--Capital Expenditures--Coca-Cola FEMSA." In each of Coca-Cola FEMSA's facilities, Coca-Cola FEMSA seeks to increase productivity through infrastructure and process reengineering for improved asset utilization.</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Finally, Coca-Cola FEMSA focuses on management quality as a key element of its growth strategies and remains committed to fostering the development of quality management at all levels. Both FEMSA and The Coca-Cola Company provide Coca-Cola FEMSA with managerial experience and depth. To build upon these skills, Coca-Cola FEMSA also offers management training programs and programs designed to enhance Coca-Cola FEMSA's executives' abilities.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Coca-Cola FEMSA's Markets</w:t>
      </w:r>
    </w:p>
    <w:p>
      <w:pPr>
        <w:spacing w:after="0" w:line="17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As of December 31, 2002, Coca-Cola FEMSA's subsidiaries operated in three geographically defined territories:</w:t>
      </w:r>
    </w:p>
    <w:p>
      <w:pPr>
        <w:spacing w:after="0" w:line="173" w:lineRule="exact"/>
        <w:rPr>
          <w:sz w:val="20"/>
          <w:szCs w:val="20"/>
          <w:color w:val="auto"/>
        </w:rPr>
      </w:pPr>
    </w:p>
    <w:p>
      <w:pPr>
        <w:ind w:left="440" w:right="3059" w:hanging="430"/>
        <w:spacing w:after="0" w:line="234" w:lineRule="auto"/>
        <w:tabs>
          <w:tab w:leader="none" w:pos="178"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-Valley of Mexico Territory: Comprised of the Mexico City metropolitan area, including a substantial portion of the adjacent State of Mexico;</w:t>
      </w:r>
    </w:p>
    <w:p>
      <w:pPr>
        <w:spacing w:after="0" w:line="173" w:lineRule="exact"/>
        <w:rPr>
          <w:rFonts w:ascii="Courier New" w:cs="Courier New" w:eastAsia="Courier New" w:hAnsi="Courier New"/>
          <w:sz w:val="15"/>
          <w:szCs w:val="15"/>
          <w:color w:val="auto"/>
        </w:rPr>
      </w:pPr>
    </w:p>
    <w:p>
      <w:pPr>
        <w:ind w:left="440" w:right="3579" w:hanging="430"/>
        <w:spacing w:after="0" w:line="234" w:lineRule="auto"/>
        <w:tabs>
          <w:tab w:leader="none" w:pos="178"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-Southeast of Mexico Territory: Comprised of the States of Tabasco and Chiapas and portions of the States of Oaxaca and Veracruz; and</w:t>
      </w:r>
    </w:p>
    <w:p>
      <w:pPr>
        <w:spacing w:after="0" w:line="173" w:lineRule="exact"/>
        <w:rPr>
          <w:rFonts w:ascii="Courier New" w:cs="Courier New" w:eastAsia="Courier New" w:hAnsi="Courier New"/>
          <w:sz w:val="15"/>
          <w:szCs w:val="15"/>
          <w:color w:val="auto"/>
        </w:rPr>
      </w:pPr>
    </w:p>
    <w:p>
      <w:pPr>
        <w:ind w:left="440" w:right="3139" w:hanging="430"/>
        <w:spacing w:after="0" w:line="235" w:lineRule="auto"/>
        <w:tabs>
          <w:tab w:leader="none" w:pos="178"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-Buenos Aires Territory: Comprised of the Federal District of Buenos Aires, Argentina and a significant part of the Gran Buenos Aires metropolitan area.</w:t>
      </w:r>
    </w:p>
    <w:p>
      <w:pPr>
        <w:spacing w:after="0" w:line="200" w:lineRule="exact"/>
        <w:rPr>
          <w:sz w:val="20"/>
          <w:szCs w:val="20"/>
          <w:color w:val="auto"/>
        </w:rPr>
      </w:pPr>
    </w:p>
    <w:p>
      <w:pPr>
        <w:spacing w:after="0" w:line="30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39"/>
          </w:cols>
          <w:pgMar w:left="220" w:top="624" w:right="1440" w:bottom="1440" w:gutter="0" w:footer="0" w:header="0"/>
        </w:sectPr>
      </w:pPr>
    </w:p>
    <w:bookmarkStart w:id="46" w:name="page47"/>
    <w:bookmarkEnd w:id="46"/>
    <w:p>
      <w:pPr>
        <w:ind w:right="3319" w:firstLine="437"/>
        <w:spacing w:after="0" w:line="235" w:lineRule="auto"/>
        <w:rPr>
          <w:sz w:val="20"/>
          <w:szCs w:val="20"/>
          <w:color w:val="auto"/>
        </w:rPr>
      </w:pPr>
      <w:r>
        <w:rPr>
          <w:rFonts w:ascii="Courier New" w:cs="Courier New" w:eastAsia="Courier New" w:hAnsi="Courier New"/>
          <w:sz w:val="15"/>
          <w:szCs w:val="15"/>
          <w:color w:val="auto"/>
        </w:rPr>
        <w:t>The Valley of Mexico Territory and the Southeast of Mexico Territory together compose Coca-Cola FEMSA's Mexican Territories. The following maps show the locations of Coca-Cola FEMSA's territories at December 31, 2002.</w:t>
      </w:r>
    </w:p>
    <w:p>
      <w:pPr>
        <w:spacing w:after="0" w:line="200" w:lineRule="exact"/>
        <w:rPr>
          <w:sz w:val="20"/>
          <w:szCs w:val="20"/>
          <w:color w:val="auto"/>
        </w:rPr>
      </w:pPr>
    </w:p>
    <w:p>
      <w:pPr>
        <w:spacing w:after="0" w:line="304"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Mexican Territories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(Embedded Picture)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39"/>
          </w:cols>
          <w:pgMar w:left="220" w:top="960" w:right="1440" w:bottom="1440" w:gutter="0" w:footer="0" w:header="0"/>
        </w:sectPr>
      </w:pPr>
    </w:p>
    <w:bookmarkStart w:id="47" w:name="page48"/>
    <w:bookmarkEnd w:id="47"/>
    <w:p>
      <w:pPr>
        <w:ind w:right="3239" w:firstLine="437"/>
        <w:spacing w:after="0" w:line="255" w:lineRule="auto"/>
        <w:rPr>
          <w:sz w:val="20"/>
          <w:szCs w:val="20"/>
          <w:color w:val="auto"/>
        </w:rPr>
      </w:pPr>
      <w:r>
        <w:rPr>
          <w:rFonts w:ascii="Courier New" w:cs="Courier New" w:eastAsia="Courier New" w:hAnsi="Courier New"/>
          <w:sz w:val="14"/>
          <w:szCs w:val="14"/>
          <w:color w:val="auto"/>
        </w:rPr>
        <w:t>The characteristics of these three territories are very diverse. The Valley of Mexico Territory is densely populated and has a large number of competing soft drink brands and higher per capita income than the Southeast of Mexico. The Southeast of Mexico Territory is a large and mountainous area with lower population density, lower per capita income and lower per capita consumption of soft drink products compared with the Valley of Mexico. The Buenos Aires Territory is densely populated and has lower per capita consumption of soft drink products as compared with the Mexican Territories. Per capita income has been negatively affected by macroeconomic conditions in Argentina.</w:t>
      </w:r>
    </w:p>
    <w:p>
      <w:pPr>
        <w:spacing w:after="0" w:line="16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With the acquisition of Panamco, Coca-Cola FEMSA has extended its geographic reach to include markets in Guatemala, Nicaragua, Costa Rica, Panama, Colombia, Venezuela and Brazil and has further expanded its geographic reach in Mexico.</w:t>
      </w:r>
    </w:p>
    <w:p>
      <w:pPr>
        <w:spacing w:after="0" w:line="200" w:lineRule="exact"/>
        <w:rPr>
          <w:sz w:val="20"/>
          <w:szCs w:val="20"/>
          <w:color w:val="auto"/>
        </w:rPr>
      </w:pPr>
    </w:p>
    <w:p>
      <w:pPr>
        <w:spacing w:after="0" w:line="30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39"/>
          </w:cols>
          <w:pgMar w:left="220" w:top="624" w:right="1440" w:bottom="1440" w:gutter="0" w:footer="0" w:header="0"/>
        </w:sectPr>
      </w:pPr>
    </w:p>
    <w:bookmarkStart w:id="48" w:name="page49"/>
    <w:bookmarkEnd w:id="48"/>
    <w:p>
      <w:pPr>
        <w:spacing w:after="0"/>
        <w:rPr>
          <w:sz w:val="20"/>
          <w:szCs w:val="20"/>
          <w:color w:val="auto"/>
        </w:rPr>
      </w:pPr>
      <w:r>
        <w:rPr>
          <w:rFonts w:ascii="Courier New" w:cs="Courier New" w:eastAsia="Courier New" w:hAnsi="Courier New"/>
          <w:sz w:val="15"/>
          <w:szCs w:val="15"/>
          <w:color w:val="auto"/>
        </w:rPr>
        <w:t>Coca-Cola FEMSA Products</w:t>
      </w:r>
    </w:p>
    <w:p>
      <w:pPr>
        <w:spacing w:after="0" w:line="173" w:lineRule="exact"/>
        <w:rPr>
          <w:sz w:val="20"/>
          <w:szCs w:val="20"/>
          <w:color w:val="auto"/>
        </w:rPr>
      </w:pPr>
    </w:p>
    <w:p>
      <w:pPr>
        <w:ind w:right="3319" w:firstLine="437"/>
        <w:spacing w:after="0" w:line="261" w:lineRule="auto"/>
        <w:rPr>
          <w:sz w:val="20"/>
          <w:szCs w:val="20"/>
          <w:color w:val="auto"/>
        </w:rPr>
      </w:pPr>
      <w:r>
        <w:rPr>
          <w:rFonts w:ascii="Courier New" w:cs="Courier New" w:eastAsia="Courier New" w:hAnsi="Courier New"/>
          <w:sz w:val="14"/>
          <w:szCs w:val="14"/>
          <w:color w:val="auto"/>
        </w:rPr>
        <w:t>As of December 31, 2002, Coca-Cola FEMSA's subsidiaries produced, marketed and distributed the following Coca-Cola and Mundet trademark beverages:</w:t>
      </w:r>
    </w:p>
    <w:p>
      <w:pPr>
        <w:sectPr>
          <w:pgSz w:w="11900" w:h="16838" w:orient="portrait"/>
          <w:cols w:equalWidth="0" w:num="1">
            <w:col w:w="10239"/>
          </w:cols>
          <w:pgMar w:left="220" w:top="95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Mexican Territories</w:t>
      </w:r>
    </w:p>
    <w:p>
      <w:pPr>
        <w:spacing w:after="0" w:line="10"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Coca-Cola</w:t>
      </w:r>
    </w:p>
    <w:p>
      <w:pPr>
        <w:ind w:left="800"/>
        <w:spacing w:after="0" w:line="237" w:lineRule="auto"/>
        <w:rPr>
          <w:sz w:val="20"/>
          <w:szCs w:val="20"/>
          <w:color w:val="auto"/>
        </w:rPr>
      </w:pPr>
      <w:r>
        <w:rPr>
          <w:rFonts w:ascii="Courier New" w:cs="Courier New" w:eastAsia="Courier New" w:hAnsi="Courier New"/>
          <w:sz w:val="15"/>
          <w:szCs w:val="15"/>
          <w:color w:val="auto"/>
        </w:rPr>
        <w:t>Coca-Cola light</w:t>
      </w:r>
    </w:p>
    <w:p>
      <w:pPr>
        <w:ind w:left="800"/>
        <w:spacing w:after="0" w:line="238" w:lineRule="auto"/>
        <w:rPr>
          <w:sz w:val="20"/>
          <w:szCs w:val="20"/>
          <w:color w:val="auto"/>
        </w:rPr>
      </w:pPr>
      <w:r>
        <w:rPr>
          <w:rFonts w:ascii="Courier New" w:cs="Courier New" w:eastAsia="Courier New" w:hAnsi="Courier New"/>
          <w:sz w:val="15"/>
          <w:szCs w:val="15"/>
          <w:color w:val="auto"/>
        </w:rPr>
        <w:t>Sprite</w:t>
      </w:r>
    </w:p>
    <w:p>
      <w:pPr>
        <w:ind w:left="800"/>
        <w:spacing w:after="0" w:line="237" w:lineRule="auto"/>
        <w:rPr>
          <w:sz w:val="20"/>
          <w:szCs w:val="20"/>
          <w:color w:val="auto"/>
        </w:rPr>
      </w:pPr>
      <w:r>
        <w:rPr>
          <w:rFonts w:ascii="Courier New" w:cs="Courier New" w:eastAsia="Courier New" w:hAnsi="Courier New"/>
          <w:sz w:val="15"/>
          <w:szCs w:val="15"/>
          <w:color w:val="auto"/>
        </w:rPr>
        <w:t>Sprite light</w:t>
      </w:r>
    </w:p>
    <w:p>
      <w:pPr>
        <w:ind w:left="800"/>
        <w:spacing w:after="0" w:line="238" w:lineRule="auto"/>
        <w:rPr>
          <w:sz w:val="20"/>
          <w:szCs w:val="20"/>
          <w:color w:val="auto"/>
        </w:rPr>
      </w:pPr>
      <w:r>
        <w:rPr>
          <w:rFonts w:ascii="Courier New" w:cs="Courier New" w:eastAsia="Courier New" w:hAnsi="Courier New"/>
          <w:sz w:val="15"/>
          <w:szCs w:val="15"/>
          <w:color w:val="auto"/>
        </w:rPr>
        <w:t>Fanta</w:t>
      </w:r>
    </w:p>
    <w:p>
      <w:pPr>
        <w:ind w:left="800"/>
        <w:spacing w:after="0" w:line="237" w:lineRule="auto"/>
        <w:rPr>
          <w:sz w:val="20"/>
          <w:szCs w:val="20"/>
          <w:color w:val="auto"/>
        </w:rPr>
      </w:pPr>
      <w:r>
        <w:rPr>
          <w:rFonts w:ascii="Courier New" w:cs="Courier New" w:eastAsia="Courier New" w:hAnsi="Courier New"/>
          <w:sz w:val="15"/>
          <w:szCs w:val="15"/>
          <w:color w:val="auto"/>
        </w:rPr>
        <w:t>Fresca</w:t>
      </w:r>
    </w:p>
    <w:p>
      <w:pPr>
        <w:ind w:left="800"/>
        <w:spacing w:after="0" w:line="238" w:lineRule="auto"/>
        <w:rPr>
          <w:sz w:val="20"/>
          <w:szCs w:val="20"/>
          <w:color w:val="auto"/>
        </w:rPr>
      </w:pPr>
      <w:r>
        <w:rPr>
          <w:rFonts w:ascii="Courier New" w:cs="Courier New" w:eastAsia="Courier New" w:hAnsi="Courier New"/>
          <w:sz w:val="15"/>
          <w:szCs w:val="15"/>
          <w:color w:val="auto"/>
        </w:rPr>
        <w:t>Lift</w:t>
      </w:r>
    </w:p>
    <w:p>
      <w:pPr>
        <w:ind w:left="800"/>
        <w:spacing w:after="0" w:line="237" w:lineRule="auto"/>
        <w:rPr>
          <w:sz w:val="20"/>
          <w:szCs w:val="20"/>
          <w:color w:val="auto"/>
        </w:rPr>
      </w:pPr>
      <w:r>
        <w:rPr>
          <w:rFonts w:ascii="Courier New" w:cs="Courier New" w:eastAsia="Courier New" w:hAnsi="Courier New"/>
          <w:sz w:val="15"/>
          <w:szCs w:val="15"/>
          <w:color w:val="auto"/>
        </w:rPr>
        <w:t>Delaware Punch</w:t>
      </w:r>
    </w:p>
    <w:p>
      <w:pPr>
        <w:ind w:left="800"/>
        <w:spacing w:after="0" w:line="238" w:lineRule="auto"/>
        <w:rPr>
          <w:sz w:val="20"/>
          <w:szCs w:val="20"/>
          <w:color w:val="auto"/>
        </w:rPr>
      </w:pPr>
      <w:r>
        <w:rPr>
          <w:rFonts w:ascii="Courier New" w:cs="Courier New" w:eastAsia="Courier New" w:hAnsi="Courier New"/>
          <w:sz w:val="15"/>
          <w:szCs w:val="15"/>
          <w:color w:val="auto"/>
        </w:rPr>
        <w:t>Ciel</w:t>
      </w:r>
    </w:p>
    <w:p>
      <w:pPr>
        <w:ind w:left="800"/>
        <w:spacing w:after="0" w:line="238" w:lineRule="auto"/>
        <w:rPr>
          <w:sz w:val="20"/>
          <w:szCs w:val="20"/>
          <w:color w:val="auto"/>
        </w:rPr>
      </w:pPr>
      <w:r>
        <w:rPr>
          <w:rFonts w:ascii="Courier New" w:cs="Courier New" w:eastAsia="Courier New" w:hAnsi="Courier New"/>
          <w:sz w:val="15"/>
          <w:szCs w:val="15"/>
          <w:color w:val="auto"/>
        </w:rPr>
        <w:t>Beat</w:t>
      </w:r>
    </w:p>
    <w:p>
      <w:pPr>
        <w:ind w:left="800"/>
        <w:spacing w:after="0" w:line="237" w:lineRule="auto"/>
        <w:rPr>
          <w:sz w:val="20"/>
          <w:szCs w:val="20"/>
          <w:color w:val="auto"/>
        </w:rPr>
      </w:pPr>
      <w:r>
        <w:rPr>
          <w:rFonts w:ascii="Courier New" w:cs="Courier New" w:eastAsia="Courier New" w:hAnsi="Courier New"/>
          <w:sz w:val="15"/>
          <w:szCs w:val="15"/>
          <w:color w:val="auto"/>
        </w:rPr>
        <w:t>Senzao</w:t>
      </w:r>
    </w:p>
    <w:p>
      <w:pPr>
        <w:ind w:left="800"/>
        <w:spacing w:after="0" w:line="238" w:lineRule="auto"/>
        <w:rPr>
          <w:sz w:val="20"/>
          <w:szCs w:val="20"/>
          <w:color w:val="auto"/>
        </w:rPr>
      </w:pPr>
      <w:r>
        <w:rPr>
          <w:rFonts w:ascii="Courier New" w:cs="Courier New" w:eastAsia="Courier New" w:hAnsi="Courier New"/>
          <w:sz w:val="15"/>
          <w:szCs w:val="15"/>
          <w:color w:val="auto"/>
        </w:rPr>
        <w:t>Ciel Mineralizada</w:t>
      </w:r>
    </w:p>
    <w:p>
      <w:pPr>
        <w:ind w:left="800"/>
        <w:spacing w:after="0" w:line="237" w:lineRule="auto"/>
        <w:rPr>
          <w:sz w:val="20"/>
          <w:szCs w:val="20"/>
          <w:color w:val="auto"/>
        </w:rPr>
      </w:pPr>
      <w:r>
        <w:rPr>
          <w:rFonts w:ascii="Courier New" w:cs="Courier New" w:eastAsia="Courier New" w:hAnsi="Courier New"/>
          <w:sz w:val="15"/>
          <w:szCs w:val="15"/>
          <w:color w:val="auto"/>
        </w:rPr>
        <w:t>Powerade</w:t>
      </w:r>
    </w:p>
    <w:p>
      <w:pPr>
        <w:ind w:left="800"/>
        <w:spacing w:after="0" w:line="238" w:lineRule="auto"/>
        <w:rPr>
          <w:sz w:val="20"/>
          <w:szCs w:val="20"/>
          <w:color w:val="auto"/>
        </w:rPr>
      </w:pPr>
      <w:r>
        <w:rPr>
          <w:rFonts w:ascii="Courier New" w:cs="Courier New" w:eastAsia="Courier New" w:hAnsi="Courier New"/>
          <w:sz w:val="15"/>
          <w:szCs w:val="15"/>
          <w:color w:val="auto"/>
        </w:rPr>
        <w:t>Sidral Mundet</w:t>
      </w:r>
    </w:p>
    <w:p>
      <w:pPr>
        <w:spacing w:after="0" w:line="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Sidral Mundet light</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Prisco</w:t>
      </w:r>
    </w:p>
    <w:p>
      <w:pPr>
        <w:ind w:left="800"/>
        <w:spacing w:after="0" w:line="237" w:lineRule="auto"/>
        <w:rPr>
          <w:sz w:val="20"/>
          <w:szCs w:val="20"/>
          <w:color w:val="auto"/>
        </w:rPr>
      </w:pPr>
      <w:r>
        <w:rPr>
          <w:rFonts w:ascii="Courier New" w:cs="Courier New" w:eastAsia="Courier New" w:hAnsi="Courier New"/>
          <w:sz w:val="15"/>
          <w:szCs w:val="15"/>
          <w:color w:val="auto"/>
        </w:rPr>
        <w:t>Mickey Aventuras</w:t>
      </w:r>
    </w:p>
    <w:p>
      <w:pPr>
        <w:ind w:left="800"/>
        <w:spacing w:after="0" w:line="238" w:lineRule="auto"/>
        <w:rPr>
          <w:sz w:val="20"/>
          <w:szCs w:val="20"/>
          <w:color w:val="auto"/>
        </w:rPr>
      </w:pPr>
      <w:r>
        <w:rPr>
          <w:rFonts w:ascii="Courier New" w:cs="Courier New" w:eastAsia="Courier New" w:hAnsi="Courier New"/>
          <w:sz w:val="15"/>
          <w:szCs w:val="15"/>
          <w:color w:val="auto"/>
        </w:rPr>
        <w:t>Kin Light</w:t>
      </w:r>
    </w:p>
    <w:p>
      <w:pPr>
        <w:ind w:left="800"/>
        <w:spacing w:after="0" w:line="237" w:lineRule="auto"/>
        <w:rPr>
          <w:sz w:val="20"/>
          <w:szCs w:val="20"/>
          <w:color w:val="auto"/>
        </w:rPr>
      </w:pPr>
      <w:r>
        <w:rPr>
          <w:rFonts w:ascii="Courier New" w:cs="Courier New" w:eastAsia="Courier New" w:hAnsi="Courier New"/>
          <w:sz w:val="15"/>
          <w:szCs w:val="15"/>
          <w:color w:val="auto"/>
        </w:rPr>
        <w:t>Nestea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Buenos Aires Territory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Coca-Cola</w:t>
      </w:r>
    </w:p>
    <w:p>
      <w:pPr>
        <w:spacing w:after="0" w:line="237" w:lineRule="auto"/>
        <w:rPr>
          <w:sz w:val="20"/>
          <w:szCs w:val="20"/>
          <w:color w:val="auto"/>
        </w:rPr>
      </w:pPr>
      <w:r>
        <w:rPr>
          <w:rFonts w:ascii="Courier New" w:cs="Courier New" w:eastAsia="Courier New" w:hAnsi="Courier New"/>
          <w:sz w:val="15"/>
          <w:szCs w:val="15"/>
          <w:color w:val="auto"/>
        </w:rPr>
        <w:t>Coca-Cola light</w:t>
      </w:r>
    </w:p>
    <w:p>
      <w:pPr>
        <w:spacing w:after="0" w:line="238" w:lineRule="auto"/>
        <w:rPr>
          <w:sz w:val="20"/>
          <w:szCs w:val="20"/>
          <w:color w:val="auto"/>
        </w:rPr>
      </w:pPr>
      <w:r>
        <w:rPr>
          <w:rFonts w:ascii="Courier New" w:cs="Courier New" w:eastAsia="Courier New" w:hAnsi="Courier New"/>
          <w:sz w:val="15"/>
          <w:szCs w:val="15"/>
          <w:color w:val="auto"/>
        </w:rPr>
        <w:t>Sprite</w:t>
      </w:r>
    </w:p>
    <w:p>
      <w:pPr>
        <w:spacing w:after="0" w:line="237" w:lineRule="auto"/>
        <w:rPr>
          <w:sz w:val="20"/>
          <w:szCs w:val="20"/>
          <w:color w:val="auto"/>
        </w:rPr>
      </w:pPr>
      <w:r>
        <w:rPr>
          <w:rFonts w:ascii="Courier New" w:cs="Courier New" w:eastAsia="Courier New" w:hAnsi="Courier New"/>
          <w:sz w:val="15"/>
          <w:szCs w:val="15"/>
          <w:color w:val="auto"/>
        </w:rPr>
        <w:t>Sprite light</w:t>
      </w:r>
    </w:p>
    <w:p>
      <w:pPr>
        <w:spacing w:after="0" w:line="238" w:lineRule="auto"/>
        <w:rPr>
          <w:sz w:val="20"/>
          <w:szCs w:val="20"/>
          <w:color w:val="auto"/>
        </w:rPr>
      </w:pPr>
      <w:r>
        <w:rPr>
          <w:rFonts w:ascii="Courier New" w:cs="Courier New" w:eastAsia="Courier New" w:hAnsi="Courier New"/>
          <w:sz w:val="15"/>
          <w:szCs w:val="15"/>
          <w:color w:val="auto"/>
        </w:rPr>
        <w:t>Fanta</w:t>
      </w:r>
    </w:p>
    <w:p>
      <w:pPr>
        <w:spacing w:after="0" w:line="237" w:lineRule="auto"/>
        <w:rPr>
          <w:sz w:val="20"/>
          <w:szCs w:val="20"/>
          <w:color w:val="auto"/>
        </w:rPr>
      </w:pPr>
      <w:r>
        <w:rPr>
          <w:rFonts w:ascii="Courier New" w:cs="Courier New" w:eastAsia="Courier New" w:hAnsi="Courier New"/>
          <w:sz w:val="15"/>
          <w:szCs w:val="15"/>
          <w:color w:val="auto"/>
        </w:rPr>
        <w:t>Quatro</w:t>
      </w:r>
    </w:p>
    <w:p>
      <w:pPr>
        <w:spacing w:after="0" w:line="238" w:lineRule="auto"/>
        <w:rPr>
          <w:sz w:val="20"/>
          <w:szCs w:val="20"/>
          <w:color w:val="auto"/>
        </w:rPr>
      </w:pPr>
      <w:r>
        <w:rPr>
          <w:rFonts w:ascii="Courier New" w:cs="Courier New" w:eastAsia="Courier New" w:hAnsi="Courier New"/>
          <w:sz w:val="15"/>
          <w:szCs w:val="15"/>
          <w:color w:val="auto"/>
        </w:rPr>
        <w:t>Kin</w:t>
      </w:r>
    </w:p>
    <w:p>
      <w:pPr>
        <w:spacing w:after="0" w:line="237" w:lineRule="auto"/>
        <w:rPr>
          <w:sz w:val="20"/>
          <w:szCs w:val="20"/>
          <w:color w:val="auto"/>
        </w:rPr>
      </w:pPr>
      <w:r>
        <w:rPr>
          <w:rFonts w:ascii="Courier New" w:cs="Courier New" w:eastAsia="Courier New" w:hAnsi="Courier New"/>
          <w:sz w:val="15"/>
          <w:szCs w:val="15"/>
          <w:color w:val="auto"/>
        </w:rPr>
        <w:t>Tai</w:t>
      </w:r>
    </w:p>
    <w:p>
      <w:pPr>
        <w:spacing w:after="0" w:line="238" w:lineRule="auto"/>
        <w:rPr>
          <w:sz w:val="20"/>
          <w:szCs w:val="20"/>
          <w:color w:val="auto"/>
        </w:rPr>
      </w:pPr>
      <w:r>
        <w:rPr>
          <w:rFonts w:ascii="Courier New" w:cs="Courier New" w:eastAsia="Courier New" w:hAnsi="Courier New"/>
          <w:sz w:val="15"/>
          <w:szCs w:val="15"/>
          <w:color w:val="auto"/>
        </w:rPr>
        <w:t>Schweppes</w:t>
      </w:r>
    </w:p>
    <w:p>
      <w:pPr>
        <w:spacing w:after="0" w:line="238" w:lineRule="auto"/>
        <w:rPr>
          <w:sz w:val="20"/>
          <w:szCs w:val="20"/>
          <w:color w:val="auto"/>
        </w:rPr>
      </w:pPr>
      <w:r>
        <w:rPr>
          <w:rFonts w:ascii="Courier New" w:cs="Courier New" w:eastAsia="Courier New" w:hAnsi="Courier New"/>
          <w:sz w:val="15"/>
          <w:szCs w:val="15"/>
          <w:color w:val="auto"/>
        </w:rPr>
        <w:t>Hi-C</w:t>
      </w:r>
    </w:p>
    <w:p>
      <w:pPr>
        <w:spacing w:after="0" w:line="237" w:lineRule="auto"/>
        <w:rPr>
          <w:sz w:val="20"/>
          <w:szCs w:val="20"/>
          <w:color w:val="auto"/>
        </w:rPr>
      </w:pPr>
      <w:r>
        <w:rPr>
          <w:rFonts w:ascii="Courier New" w:cs="Courier New" w:eastAsia="Courier New" w:hAnsi="Courier New"/>
          <w:sz w:val="15"/>
          <w:szCs w:val="15"/>
          <w:color w:val="auto"/>
        </w:rPr>
        <w:t>Crush</w:t>
      </w:r>
    </w:p>
    <w:p>
      <w:pPr>
        <w:spacing w:after="0" w:line="238" w:lineRule="auto"/>
        <w:rPr>
          <w:sz w:val="20"/>
          <w:szCs w:val="20"/>
          <w:color w:val="auto"/>
        </w:rPr>
      </w:pPr>
      <w:r>
        <w:rPr>
          <w:rFonts w:ascii="Courier New" w:cs="Courier New" w:eastAsia="Courier New" w:hAnsi="Courier New"/>
          <w:sz w:val="15"/>
          <w:szCs w:val="15"/>
          <w:color w:val="auto"/>
        </w:rPr>
        <w:t>Black Fire</w:t>
      </w:r>
    </w:p>
    <w:p>
      <w:pPr>
        <w:spacing w:after="0" w:line="1377" w:lineRule="exact"/>
        <w:rPr>
          <w:sz w:val="20"/>
          <w:szCs w:val="20"/>
          <w:color w:val="auto"/>
        </w:rPr>
      </w:pPr>
    </w:p>
    <w:p>
      <w:pPr>
        <w:sectPr>
          <w:pgSz w:w="11900" w:h="16838" w:orient="portrait"/>
          <w:cols w:equalWidth="0" w:num="2">
            <w:col w:w="5760" w:space="720"/>
            <w:col w:w="3759"/>
          </w:cols>
          <w:pgMar w:left="220" w:top="954" w:right="1440" w:bottom="1440" w:gutter="0" w:footer="0" w:header="0"/>
          <w:type w:val="continuous"/>
        </w:sectPr>
      </w:pPr>
    </w:p>
    <w:p>
      <w:pPr>
        <w:spacing w:after="0" w:line="142"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Coca-Cola FEMSA's single most important brand is Coca-Cola, which accounted for 71.1% of the total consolidated sales volume in 2002. Sprite, Fanta and Lift, our next largest brands in consecutive order, accounted for 4.3%, 4.1% and 4.1%, respectively, of the sales volume in 2002.</w:t>
      </w:r>
    </w:p>
    <w:p>
      <w:pPr>
        <w:spacing w:after="0" w:line="175"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Coca-Cola FEMSA sells Coca-Cola trademark beverages in containers authorized by The Coca-Cola Company, which consist of a variety of returnable and non-returnable presentations in the forms of glass bottles, cans, and plastic bottles made of PET. In addition, Coca-Cola FEMSA sells some Coca-Cola trademark beverage syrups in containers designed for soda fountain use, which Coca-Cola FEMSA refers to as fountain containers.</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Pursuant to an agreement between The Coca-Cola Company and Cadbury, Schweppes PLC ("Cadbury"), The Coca-Cola Company acquired Cadbury's beverage brands in Argentina in July 1999 allowing Coca-Cola FEMSA to distribute Cadbury beverages in Coca-Cola FEMSA's Buenos Aires Territory. In 2001, Coca-Cola FEMSA suspended the sale and distribution of Cadbury beverages in our Mexican Territories.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evaluating the development of local sales territories, Coca-Cola FEMSA and The Coca-Cola Company measure, among other factors, the per capita consumption of Coca-Cola trademark beverages. Per capita consumption data for a territory is determined by dividing management's estimate of applicable aggregate consumption figures within the territory (in bottles, cans, powders and fountain containers) by the estimated population within such territory and is expressed on the basis of the number of eight-ounce servings consumed annually per capita. In Coca-Cola FEMSA's Valley of Mexico and Southeast Territories, estimated per capita annual consumption of Coca-Cola FEMSA's Coca-Cola trademark beverages in 2002 was 462 eight-ounce servings and 287 eight-ounce servings, respectively, lower than the estimated national average of 487 eight-ounce servings. In Coca-Cola FEMSA's Buenos Aires Territory (including the Pilar area), estimated per capita annual consumption of Coca-Cola FEMSA's products in 2002 was approximately 258 eight-ounce servings, higher than the national average in Argentina of 204 eight-ounce servings. Coca-Cola FEMSA's data shows that per capita consumption grew in recent years in the Mexican Territories, and Coca-Cola FEMSA believes that general population growth in Mexican Territories will result in increased sales in those territories.</w:t>
      </w:r>
    </w:p>
    <w:p>
      <w:pPr>
        <w:spacing w:after="0" w:line="200" w:lineRule="exact"/>
        <w:rPr>
          <w:sz w:val="20"/>
          <w:szCs w:val="20"/>
          <w:color w:val="auto"/>
        </w:rPr>
      </w:pPr>
    </w:p>
    <w:p>
      <w:pPr>
        <w:spacing w:after="0" w:line="29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39"/>
          </w:cols>
          <w:pgMar w:left="220" w:top="954" w:right="1440" w:bottom="1440" w:gutter="0" w:footer="0" w:header="0"/>
          <w:type w:val="continuous"/>
        </w:sectPr>
      </w:pPr>
    </w:p>
    <w:bookmarkStart w:id="49" w:name="page50"/>
    <w:bookmarkEnd w:id="49"/>
    <w:p>
      <w:pPr>
        <w:ind w:right="3400" w:firstLine="437"/>
        <w:spacing w:after="0" w:line="235" w:lineRule="auto"/>
        <w:rPr>
          <w:sz w:val="20"/>
          <w:szCs w:val="20"/>
          <w:color w:val="auto"/>
        </w:rPr>
      </w:pPr>
      <w:r>
        <w:rPr>
          <w:rFonts w:ascii="Courier New" w:cs="Courier New" w:eastAsia="Courier New" w:hAnsi="Courier New"/>
          <w:sz w:val="15"/>
          <w:szCs w:val="15"/>
          <w:color w:val="auto"/>
        </w:rPr>
        <w:t>Total unit case sales volume of Coca-Cola FEMSA's products increased 2.1% in 2002 compared to 2001. See "Item 5. Operating and Financial Review and Prospects--Results of Operations--Coca-Cola FEMSA"</w:t>
      </w:r>
    </w:p>
    <w:p>
      <w:pPr>
        <w:spacing w:after="0" w:line="174" w:lineRule="exact"/>
        <w:rPr>
          <w:sz w:val="20"/>
          <w:szCs w:val="20"/>
          <w:color w:val="auto"/>
        </w:rPr>
      </w:pPr>
    </w:p>
    <w:p>
      <w:pPr>
        <w:ind w:right="3320" w:firstLine="437"/>
        <w:spacing w:after="0" w:line="235" w:lineRule="auto"/>
        <w:rPr>
          <w:sz w:val="20"/>
          <w:szCs w:val="20"/>
          <w:color w:val="auto"/>
        </w:rPr>
      </w:pPr>
      <w:r>
        <w:rPr>
          <w:rFonts w:ascii="Courier New" w:cs="Courier New" w:eastAsia="Courier New" w:hAnsi="Courier New"/>
          <w:sz w:val="15"/>
          <w:szCs w:val="15"/>
          <w:color w:val="auto"/>
        </w:rPr>
        <w:t>The following table illustrates the historical sales volume for the Valley of Mexico Territory, the Southeast of Mexico Territory and the Buenos Aires Territory:</w:t>
      </w:r>
    </w:p>
    <w:p>
      <w:pPr>
        <w:spacing w:after="0" w:line="200" w:lineRule="exact"/>
        <w:rPr>
          <w:sz w:val="20"/>
          <w:szCs w:val="20"/>
          <w:color w:val="auto"/>
        </w:rPr>
      </w:pPr>
    </w:p>
    <w:p>
      <w:pPr>
        <w:spacing w:after="0" w:line="304"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Combined Sales Volume</w:t>
      </w:r>
    </w:p>
    <w:p>
      <w:pPr>
        <w:ind w:left="3780"/>
        <w:spacing w:after="0" w:line="237" w:lineRule="auto"/>
        <w:rPr>
          <w:sz w:val="20"/>
          <w:szCs w:val="20"/>
          <w:color w:val="auto"/>
        </w:rPr>
      </w:pPr>
      <w:r>
        <w:rPr>
          <w:rFonts w:ascii="Courier New" w:cs="Courier New" w:eastAsia="Courier New" w:hAnsi="Courier New"/>
          <w:sz w:val="15"/>
          <w:szCs w:val="15"/>
          <w:color w:val="auto"/>
        </w:rPr>
        <w:t>Year ended December 31,</w:t>
      </w:r>
    </w:p>
    <w:p>
      <w:pPr>
        <w:spacing w:after="0" w:line="5"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640"/>
        <w:spacing w:after="0"/>
        <w:tabs>
          <w:tab w:leader="none" w:pos="3580" w:val="left"/>
          <w:tab w:leader="none" w:pos="4540" w:val="left"/>
          <w:tab w:leader="none" w:pos="5500" w:val="left"/>
          <w:tab w:leader="none" w:pos="6460" w:val="left"/>
        </w:tabs>
        <w:rPr>
          <w:sz w:val="20"/>
          <w:szCs w:val="20"/>
          <w:color w:val="auto"/>
        </w:rPr>
      </w:pPr>
      <w:r>
        <w:rPr>
          <w:rFonts w:ascii="Courier New" w:cs="Courier New" w:eastAsia="Courier New" w:hAnsi="Courier New"/>
          <w:sz w:val="15"/>
          <w:szCs w:val="15"/>
          <w:color w:val="auto"/>
        </w:rPr>
        <w:t>2002</w:t>
      </w:r>
      <w:r>
        <w:rPr>
          <w:sz w:val="20"/>
          <w:szCs w:val="20"/>
          <w:color w:val="auto"/>
        </w:rPr>
        <w:tab/>
      </w:r>
      <w:r>
        <w:rPr>
          <w:rFonts w:ascii="Courier New" w:cs="Courier New" w:eastAsia="Courier New" w:hAnsi="Courier New"/>
          <w:sz w:val="15"/>
          <w:szCs w:val="15"/>
          <w:color w:val="auto"/>
        </w:rPr>
        <w:t>2001</w:t>
      </w:r>
      <w:r>
        <w:rPr>
          <w:sz w:val="20"/>
          <w:szCs w:val="20"/>
          <w:color w:val="auto"/>
        </w:rPr>
        <w:tab/>
      </w: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p>
    <w:p>
      <w:pPr>
        <w:spacing w:after="0" w:line="5"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 ---------- ---------- ---------- ----------</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(Millions of unit cases, except percentages)</w:t>
      </w:r>
    </w:p>
    <w:p>
      <w:pPr>
        <w:sectPr>
          <w:pgSz w:w="11900" w:h="16838" w:orient="portrait"/>
          <w:cols w:equalWidth="0" w:num="1">
            <w:col w:w="10240"/>
          </w:cols>
          <w:pgMar w:left="220" w:top="624" w:right="1439"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Total..........</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Growth...............</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620.3</w:t>
      </w:r>
    </w:p>
    <w:p>
      <w:pPr>
        <w:ind w:left="160"/>
        <w:spacing w:after="0" w:line="237" w:lineRule="auto"/>
        <w:rPr>
          <w:sz w:val="20"/>
          <w:szCs w:val="20"/>
          <w:color w:val="auto"/>
        </w:rPr>
      </w:pPr>
      <w:r>
        <w:rPr>
          <w:rFonts w:ascii="Courier New" w:cs="Courier New" w:eastAsia="Courier New" w:hAnsi="Courier New"/>
          <w:sz w:val="15"/>
          <w:szCs w:val="15"/>
          <w:color w:val="auto"/>
        </w:rPr>
        <w:t>2.1%</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607.8</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4.3%</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582.6</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7.0%</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544.2</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4.7%</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519.6</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18.6%</w:t>
      </w:r>
    </w:p>
    <w:p>
      <w:pPr>
        <w:spacing w:after="0" w:line="204" w:lineRule="exact"/>
        <w:rPr>
          <w:sz w:val="20"/>
          <w:szCs w:val="20"/>
          <w:color w:val="auto"/>
        </w:rPr>
      </w:pPr>
    </w:p>
    <w:p>
      <w:pPr>
        <w:sectPr>
          <w:pgSz w:w="11900" w:h="16838" w:orient="portrait"/>
          <w:cols w:equalWidth="0" w:num="6">
            <w:col w:w="2020" w:space="620"/>
            <w:col w:w="520" w:space="440"/>
            <w:col w:w="520" w:space="440"/>
            <w:col w:w="520" w:space="440"/>
            <w:col w:w="520" w:space="440"/>
            <w:col w:w="3760"/>
          </w:cols>
          <w:pgMar w:left="220" w:top="624" w:right="1439" w:bottom="1440" w:gutter="0" w:footer="0" w:header="0"/>
          <w:type w:val="continuous"/>
        </w:sectPr>
      </w:pPr>
    </w:p>
    <w:p>
      <w:pPr>
        <w:spacing w:after="0" w:line="303" w:lineRule="exact"/>
        <w:rPr>
          <w:sz w:val="20"/>
          <w:szCs w:val="20"/>
          <w:color w:val="auto"/>
        </w:rPr>
      </w:pPr>
    </w:p>
    <w:p>
      <w:pPr>
        <w:jc w:val="center"/>
        <w:ind w:right="3140"/>
        <w:spacing w:after="0"/>
        <w:rPr>
          <w:sz w:val="20"/>
          <w:szCs w:val="20"/>
          <w:color w:val="auto"/>
        </w:rPr>
      </w:pPr>
      <w:r>
        <w:rPr>
          <w:rFonts w:ascii="Courier New" w:cs="Courier New" w:eastAsia="Courier New" w:hAnsi="Courier New"/>
          <w:sz w:val="15"/>
          <w:szCs w:val="15"/>
          <w:color w:val="auto"/>
        </w:rPr>
        <w:t>Product and Packaging Mix Summary</w:t>
      </w:r>
    </w:p>
    <w:p>
      <w:pPr>
        <w:spacing w:after="0" w:line="173" w:lineRule="exact"/>
        <w:rPr>
          <w:sz w:val="20"/>
          <w:szCs w:val="20"/>
          <w:color w:val="auto"/>
        </w:rPr>
      </w:pPr>
    </w:p>
    <w:p>
      <w:pPr>
        <w:ind w:right="3320" w:firstLine="437"/>
        <w:spacing w:after="0" w:line="254" w:lineRule="auto"/>
        <w:rPr>
          <w:sz w:val="20"/>
          <w:szCs w:val="20"/>
          <w:color w:val="auto"/>
        </w:rPr>
      </w:pPr>
      <w:r>
        <w:rPr>
          <w:rFonts w:ascii="Courier New" w:cs="Courier New" w:eastAsia="Courier New" w:hAnsi="Courier New"/>
          <w:sz w:val="14"/>
          <w:szCs w:val="14"/>
          <w:color w:val="auto"/>
        </w:rPr>
        <w:t>Mexican Operations. In the Mexican Territories, in 2002 Coca-Cola FEMSA sold a majority of its beverages at small retail stores to customers who take the beverages home or elsewhere for consumption. Coca-Cola FEMSA also sells products in the "on-premise" segment, which consists of (i) sales through sidewalk stands, restaurants, bars and various types of dispensing machines and</w:t>
      </w:r>
    </w:p>
    <w:p>
      <w:pPr>
        <w:spacing w:after="0" w:line="2" w:lineRule="exact"/>
        <w:rPr>
          <w:sz w:val="20"/>
          <w:szCs w:val="20"/>
          <w:color w:val="auto"/>
        </w:rPr>
      </w:pPr>
    </w:p>
    <w:p>
      <w:pPr>
        <w:ind w:right="3320" w:firstLine="10"/>
        <w:spacing w:after="0" w:line="258" w:lineRule="auto"/>
        <w:tabs>
          <w:tab w:leader="none" w:pos="437"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sales through "point of sale" programs in concert halls, auditoriums and theaters by means of a series of arrangements with Mexican promoters. The vast majority of Coca-Cola FEMSA's sales to all of these outlets is on a cash basis.</w:t>
      </w:r>
    </w:p>
    <w:p>
      <w:pPr>
        <w:spacing w:after="0" w:line="161" w:lineRule="exact"/>
        <w:rPr>
          <w:sz w:val="20"/>
          <w:szCs w:val="20"/>
          <w:color w:val="auto"/>
        </w:rPr>
      </w:pPr>
    </w:p>
    <w:p>
      <w:pPr>
        <w:ind w:right="3240" w:firstLine="437"/>
        <w:spacing w:after="0" w:line="236" w:lineRule="auto"/>
        <w:rPr>
          <w:sz w:val="20"/>
          <w:szCs w:val="20"/>
          <w:color w:val="auto"/>
        </w:rPr>
      </w:pPr>
      <w:r>
        <w:rPr>
          <w:rFonts w:ascii="Courier New" w:cs="Courier New" w:eastAsia="Courier New" w:hAnsi="Courier New"/>
          <w:sz w:val="15"/>
          <w:szCs w:val="15"/>
          <w:color w:val="auto"/>
        </w:rPr>
        <w:t>In 2002, approximately 97.2% of Coca-Cola FEMSA's unit case sales in the Mexican Territories were of Coca-Cola trademark beverages. Sales volume of Coca-Cola trademark beverages in the Mexican Territories increased by 3.0% in 2002 as compared to 2001. Coca-Cola FEMSA attributes this increase to (i) increased packaging options provided by Coca-Cola FEMSA to consumers, (ii) the strengthening of the Coca-Cola FEMSA brand portfolio through the introduction of new flavored soft drinks, (iii) continued marketing efforts and (iv) successful promotional activities.</w:t>
      </w:r>
    </w:p>
    <w:p>
      <w:pPr>
        <w:spacing w:after="0" w:line="177" w:lineRule="exact"/>
        <w:rPr>
          <w:sz w:val="20"/>
          <w:szCs w:val="20"/>
          <w:color w:val="auto"/>
        </w:rPr>
      </w:pPr>
    </w:p>
    <w:p>
      <w:pPr>
        <w:ind w:right="3320" w:firstLine="437"/>
        <w:spacing w:after="0" w:line="234" w:lineRule="auto"/>
        <w:rPr>
          <w:sz w:val="20"/>
          <w:szCs w:val="20"/>
          <w:color w:val="auto"/>
        </w:rPr>
      </w:pPr>
      <w:r>
        <w:rPr>
          <w:rFonts w:ascii="Courier New" w:cs="Courier New" w:eastAsia="Courier New" w:hAnsi="Courier New"/>
          <w:sz w:val="15"/>
          <w:szCs w:val="15"/>
          <w:color w:val="auto"/>
        </w:rPr>
        <w:t>The following tables highlight historical sales volume mix and total sales in the Mexican Territories for Coca-Cola FEMSA products: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80" w:type="dxa"/>
            <w:vAlign w:val="bottom"/>
            <w:gridSpan w:val="2"/>
          </w:tcPr>
          <w:p>
            <w:pPr>
              <w:ind w:left="2380"/>
              <w:spacing w:after="0"/>
              <w:rPr>
                <w:sz w:val="20"/>
                <w:szCs w:val="20"/>
                <w:color w:val="auto"/>
              </w:rPr>
            </w:pPr>
            <w:r>
              <w:rPr>
                <w:rFonts w:ascii="Courier New" w:cs="Courier New" w:eastAsia="Courier New" w:hAnsi="Courier New"/>
                <w:sz w:val="15"/>
                <w:szCs w:val="15"/>
                <w:color w:val="auto"/>
              </w:rPr>
              <w:t>Valley of Mexico Territory</w:t>
            </w:r>
          </w:p>
        </w:tc>
        <w:tc>
          <w:tcPr>
            <w:tcW w:w="6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336"/>
        </w:trPr>
        <w:tc>
          <w:tcPr>
            <w:tcW w:w="34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2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Year ended December 31,</w:t>
            </w:r>
          </w:p>
        </w:tc>
        <w:tc>
          <w:tcPr>
            <w:tcW w:w="1480" w:type="dxa"/>
            <w:vAlign w:val="bottom"/>
          </w:tcPr>
          <w:p>
            <w:pPr>
              <w:spacing w:after="0"/>
              <w:rPr>
                <w:sz w:val="24"/>
                <w:szCs w:val="24"/>
                <w:color w:val="auto"/>
              </w:rPr>
            </w:pPr>
          </w:p>
        </w:tc>
      </w:tr>
      <w:tr>
        <w:trPr>
          <w:trHeight w:val="168"/>
        </w:trPr>
        <w:tc>
          <w:tcPr>
            <w:tcW w:w="3420" w:type="dxa"/>
            <w:vAlign w:val="bottom"/>
          </w:tcPr>
          <w:p>
            <w:pPr>
              <w:spacing w:after="0"/>
              <w:rPr>
                <w:sz w:val="14"/>
                <w:szCs w:val="14"/>
                <w:color w:val="auto"/>
              </w:rPr>
            </w:pPr>
          </w:p>
        </w:tc>
        <w:tc>
          <w:tcPr>
            <w:tcW w:w="6820" w:type="dxa"/>
            <w:vAlign w:val="bottom"/>
            <w:gridSpan w:val="5"/>
          </w:tcPr>
          <w:p>
            <w:pPr>
              <w:ind w:left="780"/>
              <w:spacing w:after="0" w:line="168" w:lineRule="exact"/>
              <w:rPr>
                <w:sz w:val="20"/>
                <w:szCs w:val="20"/>
                <w:color w:val="auto"/>
              </w:rPr>
            </w:pPr>
            <w:r>
              <w:rPr>
                <w:rFonts w:ascii="Courier New" w:cs="Courier New" w:eastAsia="Courier New" w:hAnsi="Courier New"/>
                <w:sz w:val="15"/>
                <w:szCs w:val="15"/>
                <w:color w:val="auto"/>
                <w:w w:val="98"/>
              </w:rPr>
              <w:t>------------ ------------- ------------ ---------------- -----------</w:t>
            </w:r>
          </w:p>
        </w:tc>
      </w:tr>
      <w:tr>
        <w:trPr>
          <w:trHeight w:val="168"/>
        </w:trPr>
        <w:tc>
          <w:tcPr>
            <w:tcW w:w="3420" w:type="dxa"/>
            <w:vAlign w:val="bottom"/>
          </w:tcPr>
          <w:p>
            <w:pPr>
              <w:spacing w:after="0"/>
              <w:rPr>
                <w:sz w:val="14"/>
                <w:szCs w:val="14"/>
                <w:color w:val="auto"/>
              </w:rPr>
            </w:pPr>
          </w:p>
        </w:tc>
        <w:tc>
          <w:tcPr>
            <w:tcW w:w="20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2002</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2001</w:t>
            </w:r>
          </w:p>
        </w:tc>
        <w:tc>
          <w:tcPr>
            <w:tcW w:w="17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1999</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3420" w:type="dxa"/>
            <w:vAlign w:val="bottom"/>
          </w:tcPr>
          <w:p>
            <w:pPr>
              <w:spacing w:after="0"/>
              <w:rPr>
                <w:sz w:val="14"/>
                <w:szCs w:val="14"/>
                <w:color w:val="auto"/>
              </w:rPr>
            </w:pPr>
          </w:p>
        </w:tc>
        <w:tc>
          <w:tcPr>
            <w:tcW w:w="6820" w:type="dxa"/>
            <w:vAlign w:val="bottom"/>
            <w:gridSpan w:val="5"/>
          </w:tcPr>
          <w:p>
            <w:pPr>
              <w:ind w:left="780"/>
              <w:spacing w:after="0" w:line="168" w:lineRule="exact"/>
              <w:rPr>
                <w:sz w:val="20"/>
                <w:szCs w:val="20"/>
                <w:color w:val="auto"/>
              </w:rPr>
            </w:pPr>
            <w:r>
              <w:rPr>
                <w:rFonts w:ascii="Courier New" w:cs="Courier New" w:eastAsia="Courier New" w:hAnsi="Courier New"/>
                <w:sz w:val="15"/>
                <w:szCs w:val="15"/>
                <w:color w:val="auto"/>
                <w:w w:val="98"/>
              </w:rPr>
              <w:t>------------ ------------- ------------ ---------------- -----------</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Unit Case Volume Mix by Category</w:t>
            </w:r>
          </w:p>
        </w:tc>
        <w:tc>
          <w:tcPr>
            <w:tcW w:w="20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 percentages)</w:t>
            </w:r>
          </w:p>
        </w:tc>
        <w:tc>
          <w:tcPr>
            <w:tcW w:w="9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w w:val="82"/>
              </w:rPr>
              <w:t>Colas.........................................</w:t>
            </w:r>
          </w:p>
        </w:tc>
        <w:tc>
          <w:tcPr>
            <w:tcW w:w="20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71.9%</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76.1%</w:t>
            </w:r>
          </w:p>
        </w:tc>
        <w:tc>
          <w:tcPr>
            <w:tcW w:w="17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76.9%</w:t>
            </w: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76.2%</w:t>
            </w:r>
          </w:p>
        </w:tc>
        <w:tc>
          <w:tcPr>
            <w:tcW w:w="14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75.5%</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w w:val="82"/>
              </w:rPr>
              <w:t>Flavored Soft Drinks..........................</w:t>
            </w:r>
          </w:p>
        </w:tc>
        <w:tc>
          <w:tcPr>
            <w:tcW w:w="20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22.2</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20.2</w:t>
            </w:r>
          </w:p>
        </w:tc>
        <w:tc>
          <w:tcPr>
            <w:tcW w:w="17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20.6</w:t>
            </w:r>
          </w:p>
        </w:tc>
        <w:tc>
          <w:tcPr>
            <w:tcW w:w="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21.5</w:t>
            </w:r>
          </w:p>
        </w:tc>
        <w:tc>
          <w:tcPr>
            <w:tcW w:w="14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21.7</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w w:val="82"/>
              </w:rPr>
              <w:t>Total Carbonated Soft Drinks..................</w:t>
            </w:r>
          </w:p>
        </w:tc>
        <w:tc>
          <w:tcPr>
            <w:tcW w:w="20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94.1</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96.3</w:t>
            </w:r>
          </w:p>
        </w:tc>
        <w:tc>
          <w:tcPr>
            <w:tcW w:w="17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97.5</w:t>
            </w:r>
          </w:p>
        </w:tc>
        <w:tc>
          <w:tcPr>
            <w:tcW w:w="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97.7</w:t>
            </w:r>
          </w:p>
        </w:tc>
        <w:tc>
          <w:tcPr>
            <w:tcW w:w="14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97.2</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w w:val="82"/>
              </w:rPr>
              <w:t>Water.........................................</w:t>
            </w:r>
          </w:p>
        </w:tc>
        <w:tc>
          <w:tcPr>
            <w:tcW w:w="20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4.2</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w:t>
            </w:r>
          </w:p>
        </w:tc>
        <w:tc>
          <w:tcPr>
            <w:tcW w:w="17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2.5</w:t>
            </w:r>
          </w:p>
        </w:tc>
        <w:tc>
          <w:tcPr>
            <w:tcW w:w="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2.3</w:t>
            </w:r>
          </w:p>
        </w:tc>
        <w:tc>
          <w:tcPr>
            <w:tcW w:w="14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2.8</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w w:val="82"/>
              </w:rPr>
              <w:t>Other Categories(1)...........................</w:t>
            </w:r>
          </w:p>
        </w:tc>
        <w:tc>
          <w:tcPr>
            <w:tcW w:w="20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1.7</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0.1</w:t>
            </w:r>
          </w:p>
        </w:tc>
        <w:tc>
          <w:tcPr>
            <w:tcW w:w="170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rPr>
                <w:sz w:val="14"/>
                <w:szCs w:val="14"/>
                <w:color w:val="auto"/>
              </w:rPr>
            </w:pPr>
          </w:p>
        </w:tc>
        <w:tc>
          <w:tcPr>
            <w:tcW w:w="6820" w:type="dxa"/>
            <w:vAlign w:val="bottom"/>
            <w:gridSpan w:val="5"/>
          </w:tcPr>
          <w:p>
            <w:pPr>
              <w:ind w:left="780"/>
              <w:spacing w:after="0" w:line="168" w:lineRule="exact"/>
              <w:rPr>
                <w:sz w:val="20"/>
                <w:szCs w:val="20"/>
                <w:color w:val="auto"/>
              </w:rPr>
            </w:pPr>
            <w:r>
              <w:rPr>
                <w:rFonts w:ascii="Courier New" w:cs="Courier New" w:eastAsia="Courier New" w:hAnsi="Courier New"/>
                <w:sz w:val="15"/>
                <w:szCs w:val="15"/>
                <w:color w:val="auto"/>
                <w:w w:val="98"/>
              </w:rPr>
              <w:t>------------ ------------- ------------ ------------ ---------------</w:t>
            </w: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81"/>
              </w:rPr>
              <w:t>Total.......................................</w:t>
            </w:r>
          </w:p>
        </w:tc>
        <w:tc>
          <w:tcPr>
            <w:tcW w:w="20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100.0%</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100.0%</w:t>
            </w:r>
          </w:p>
        </w:tc>
        <w:tc>
          <w:tcPr>
            <w:tcW w:w="17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100.0%</w:t>
            </w: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100.0%</w:t>
            </w:r>
          </w:p>
        </w:tc>
        <w:tc>
          <w:tcPr>
            <w:tcW w:w="14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100.0%</w:t>
            </w:r>
          </w:p>
        </w:tc>
      </w:tr>
      <w:tr>
        <w:trPr>
          <w:trHeight w:val="336"/>
        </w:trPr>
        <w:tc>
          <w:tcPr>
            <w:tcW w:w="5480" w:type="dxa"/>
            <w:vAlign w:val="bottom"/>
            <w:gridSpan w:val="2"/>
          </w:tcPr>
          <w:p>
            <w:pPr>
              <w:spacing w:after="0"/>
              <w:rPr>
                <w:sz w:val="20"/>
                <w:szCs w:val="20"/>
                <w:color w:val="auto"/>
              </w:rPr>
            </w:pPr>
            <w:r>
              <w:rPr>
                <w:rFonts w:ascii="Courier New" w:cs="Courier New" w:eastAsia="Courier New" w:hAnsi="Courier New"/>
                <w:sz w:val="15"/>
                <w:szCs w:val="15"/>
                <w:color w:val="auto"/>
                <w:w w:val="97"/>
              </w:rPr>
              <w:t>(1) Includes Powerade, Nestea, Kin Light and Mickey Aventuras.</w:t>
            </w:r>
          </w:p>
        </w:tc>
        <w:tc>
          <w:tcPr>
            <w:tcW w:w="6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505"/>
        </w:trPr>
        <w:tc>
          <w:tcPr>
            <w:tcW w:w="3420" w:type="dxa"/>
            <w:vAlign w:val="bottom"/>
          </w:tcPr>
          <w:p>
            <w:pPr>
              <w:spacing w:after="0"/>
              <w:rPr>
                <w:sz w:val="20"/>
                <w:szCs w:val="20"/>
                <w:color w:val="auto"/>
              </w:rPr>
            </w:pPr>
            <w:r>
              <w:rPr>
                <w:rFonts w:ascii="Courier New" w:cs="Courier New" w:eastAsia="Courier New" w:hAnsi="Courier New"/>
                <w:sz w:val="15"/>
                <w:szCs w:val="15"/>
                <w:color w:val="auto"/>
              </w:rPr>
              <w:t>Unit Case Volume</w:t>
            </w:r>
          </w:p>
        </w:tc>
        <w:tc>
          <w:tcPr>
            <w:tcW w:w="2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2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w w:val="96"/>
              </w:rPr>
              <w:t>(millions of unit cases)</w:t>
            </w:r>
          </w:p>
        </w:tc>
        <w:tc>
          <w:tcPr>
            <w:tcW w:w="1480" w:type="dxa"/>
            <w:vAlign w:val="bottom"/>
          </w:tcPr>
          <w:p>
            <w:pPr>
              <w:spacing w:after="0"/>
              <w:rPr>
                <w:sz w:val="24"/>
                <w:szCs w:val="24"/>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w w:val="82"/>
              </w:rPr>
              <w:t>Coca-Cola trademark beverages.................</w:t>
            </w:r>
          </w:p>
        </w:tc>
        <w:tc>
          <w:tcPr>
            <w:tcW w:w="20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366.5</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355.4</w:t>
            </w:r>
          </w:p>
        </w:tc>
        <w:tc>
          <w:tcPr>
            <w:tcW w:w="17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341.1</w:t>
            </w: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314.9</w:t>
            </w:r>
          </w:p>
        </w:tc>
        <w:tc>
          <w:tcPr>
            <w:tcW w:w="14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302.4</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w w:val="82"/>
              </w:rPr>
              <w:t>Other Beverages...............................</w:t>
            </w:r>
          </w:p>
        </w:tc>
        <w:tc>
          <w:tcPr>
            <w:tcW w:w="20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11.8</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0.9</w:t>
            </w:r>
          </w:p>
        </w:tc>
        <w:tc>
          <w:tcPr>
            <w:tcW w:w="17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2.4</w:t>
            </w: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w:t>
            </w:r>
          </w:p>
        </w:tc>
        <w:tc>
          <w:tcPr>
            <w:tcW w:w="14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2.1</w:t>
            </w:r>
          </w:p>
        </w:tc>
      </w:tr>
      <w:tr>
        <w:trPr>
          <w:trHeight w:val="168"/>
        </w:trPr>
        <w:tc>
          <w:tcPr>
            <w:tcW w:w="3420" w:type="dxa"/>
            <w:vAlign w:val="bottom"/>
          </w:tcPr>
          <w:p>
            <w:pPr>
              <w:spacing w:after="0"/>
              <w:rPr>
                <w:sz w:val="14"/>
                <w:szCs w:val="14"/>
                <w:color w:val="auto"/>
              </w:rPr>
            </w:pPr>
          </w:p>
        </w:tc>
        <w:tc>
          <w:tcPr>
            <w:tcW w:w="6820" w:type="dxa"/>
            <w:vAlign w:val="bottom"/>
            <w:gridSpan w:val="5"/>
          </w:tcPr>
          <w:p>
            <w:pPr>
              <w:ind w:left="780"/>
              <w:spacing w:after="0" w:line="168" w:lineRule="exact"/>
              <w:rPr>
                <w:sz w:val="20"/>
                <w:szCs w:val="20"/>
                <w:color w:val="auto"/>
              </w:rPr>
            </w:pPr>
            <w:r>
              <w:rPr>
                <w:rFonts w:ascii="Courier New" w:cs="Courier New" w:eastAsia="Courier New" w:hAnsi="Courier New"/>
                <w:sz w:val="15"/>
                <w:szCs w:val="15"/>
                <w:color w:val="auto"/>
                <w:w w:val="96"/>
              </w:rPr>
              <w:t>------------- ------------ ------------- ------------ ---------------</w:t>
            </w: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81"/>
              </w:rPr>
              <w:t>Total.......................................</w:t>
            </w:r>
          </w:p>
        </w:tc>
        <w:tc>
          <w:tcPr>
            <w:tcW w:w="20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378.3</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356.3</w:t>
            </w:r>
          </w:p>
        </w:tc>
        <w:tc>
          <w:tcPr>
            <w:tcW w:w="17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343.5</w:t>
            </w: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316.9</w:t>
            </w:r>
          </w:p>
        </w:tc>
        <w:tc>
          <w:tcPr>
            <w:tcW w:w="14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304.5</w:t>
            </w:r>
          </w:p>
        </w:tc>
      </w:tr>
      <w:tr>
        <w:trPr>
          <w:trHeight w:val="168"/>
        </w:trPr>
        <w:tc>
          <w:tcPr>
            <w:tcW w:w="3420" w:type="dxa"/>
            <w:vAlign w:val="bottom"/>
          </w:tcPr>
          <w:p>
            <w:pPr>
              <w:spacing w:after="0"/>
              <w:rPr>
                <w:sz w:val="14"/>
                <w:szCs w:val="14"/>
                <w:color w:val="auto"/>
              </w:rPr>
            </w:pPr>
          </w:p>
        </w:tc>
        <w:tc>
          <w:tcPr>
            <w:tcW w:w="6820" w:type="dxa"/>
            <w:vAlign w:val="bottom"/>
            <w:gridSpan w:val="5"/>
          </w:tcPr>
          <w:p>
            <w:pPr>
              <w:ind w:left="780"/>
              <w:spacing w:after="0" w:line="168" w:lineRule="exact"/>
              <w:rPr>
                <w:sz w:val="20"/>
                <w:szCs w:val="20"/>
                <w:color w:val="auto"/>
              </w:rPr>
            </w:pPr>
            <w:r>
              <w:rPr>
                <w:rFonts w:ascii="Courier New" w:cs="Courier New" w:eastAsia="Courier New" w:hAnsi="Courier New"/>
                <w:sz w:val="15"/>
                <w:szCs w:val="15"/>
                <w:color w:val="auto"/>
                <w:w w:val="96"/>
              </w:rPr>
              <w:t>============= ============ ============= ============ ===============</w:t>
            </w: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81"/>
              </w:rPr>
              <w:t>% Growth....................................</w:t>
            </w:r>
          </w:p>
        </w:tc>
        <w:tc>
          <w:tcPr>
            <w:tcW w:w="20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6.2%</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w:t>
            </w:r>
          </w:p>
        </w:tc>
        <w:tc>
          <w:tcPr>
            <w:tcW w:w="17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8.4%</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4.1%</w:t>
            </w:r>
          </w:p>
        </w:tc>
        <w:tc>
          <w:tcPr>
            <w:tcW w:w="14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17.3%</w:t>
            </w:r>
          </w:p>
        </w:tc>
      </w:tr>
      <w:tr>
        <w:trPr>
          <w:trHeight w:val="673"/>
        </w:trPr>
        <w:tc>
          <w:tcPr>
            <w:tcW w:w="3420" w:type="dxa"/>
            <w:vAlign w:val="bottom"/>
          </w:tcPr>
          <w:p>
            <w:pPr>
              <w:spacing w:after="0"/>
              <w:rPr>
                <w:sz w:val="24"/>
                <w:szCs w:val="24"/>
                <w:color w:val="auto"/>
              </w:rPr>
            </w:pPr>
          </w:p>
        </w:tc>
        <w:tc>
          <w:tcPr>
            <w:tcW w:w="2060" w:type="dxa"/>
            <w:vAlign w:val="bottom"/>
          </w:tcPr>
          <w:p>
            <w:pPr>
              <w:jc w:val="right"/>
              <w:ind w:right="1807"/>
              <w:spacing w:after="0"/>
              <w:rPr>
                <w:sz w:val="20"/>
                <w:szCs w:val="20"/>
                <w:color w:val="auto"/>
              </w:rPr>
            </w:pPr>
            <w:r>
              <w:rPr>
                <w:rFonts w:ascii="Courier New" w:cs="Courier New" w:eastAsia="Courier New" w:hAnsi="Courier New"/>
                <w:sz w:val="15"/>
                <w:szCs w:val="15"/>
                <w:color w:val="auto"/>
                <w:w w:val="88"/>
              </w:rPr>
              <w:t>44</w:t>
            </w:r>
          </w:p>
        </w:tc>
        <w:tc>
          <w:tcPr>
            <w:tcW w:w="6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0240"/>
          </w:cols>
          <w:pgMar w:left="220" w:top="624" w:right="1439" w:bottom="1440" w:gutter="0" w:footer="0" w:header="0"/>
          <w:type w:val="continuous"/>
        </w:sectPr>
      </w:pPr>
    </w:p>
    <w:bookmarkStart w:id="50" w:name="page51"/>
    <w:bookmarkEnd w:id="5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Southeast of Mexico Territory</w:t>
            </w:r>
          </w:p>
        </w:tc>
        <w:tc>
          <w:tcPr>
            <w:tcW w:w="7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36"/>
        </w:trPr>
        <w:tc>
          <w:tcPr>
            <w:tcW w:w="40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6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w w:val="95"/>
              </w:rPr>
              <w:t>Year ended December 31,</w:t>
            </w:r>
          </w:p>
        </w:tc>
        <w:tc>
          <w:tcPr>
            <w:tcW w:w="1260" w:type="dxa"/>
            <w:vAlign w:val="bottom"/>
          </w:tcPr>
          <w:p>
            <w:pPr>
              <w:spacing w:after="0"/>
              <w:rPr>
                <w:sz w:val="24"/>
                <w:szCs w:val="24"/>
                <w:color w:val="auto"/>
              </w:rPr>
            </w:pPr>
          </w:p>
        </w:tc>
      </w:tr>
      <w:tr>
        <w:trPr>
          <w:trHeight w:val="168"/>
        </w:trPr>
        <w:tc>
          <w:tcPr>
            <w:tcW w:w="4080" w:type="dxa"/>
            <w:vAlign w:val="bottom"/>
          </w:tcPr>
          <w:p>
            <w:pPr>
              <w:spacing w:after="0"/>
              <w:rPr>
                <w:sz w:val="14"/>
                <w:szCs w:val="14"/>
                <w:color w:val="auto"/>
              </w:rPr>
            </w:pPr>
          </w:p>
        </w:tc>
        <w:tc>
          <w:tcPr>
            <w:tcW w:w="598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 ------------- ------------ ------------ -------------</w:t>
            </w:r>
          </w:p>
        </w:tc>
      </w:tr>
      <w:tr>
        <w:trPr>
          <w:trHeight w:val="168"/>
        </w:trPr>
        <w:tc>
          <w:tcPr>
            <w:tcW w:w="4080" w:type="dxa"/>
            <w:vAlign w:val="bottom"/>
          </w:tcPr>
          <w:p>
            <w:pPr>
              <w:spacing w:after="0"/>
              <w:rPr>
                <w:sz w:val="14"/>
                <w:szCs w:val="14"/>
                <w:color w:val="auto"/>
              </w:rPr>
            </w:pPr>
          </w:p>
        </w:tc>
        <w:tc>
          <w:tcPr>
            <w:tcW w:w="13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2002</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2001</w:t>
            </w:r>
          </w:p>
        </w:tc>
        <w:tc>
          <w:tcPr>
            <w:tcW w:w="17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1999</w:t>
            </w:r>
          </w:p>
        </w:tc>
        <w:tc>
          <w:tcPr>
            <w:tcW w:w="12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4080" w:type="dxa"/>
            <w:vAlign w:val="bottom"/>
          </w:tcPr>
          <w:p>
            <w:pPr>
              <w:spacing w:after="0"/>
              <w:rPr>
                <w:sz w:val="14"/>
                <w:szCs w:val="14"/>
                <w:color w:val="auto"/>
              </w:rPr>
            </w:pPr>
          </w:p>
        </w:tc>
        <w:tc>
          <w:tcPr>
            <w:tcW w:w="598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 ------------- ------------ ------------ -------------</w:t>
            </w:r>
          </w:p>
        </w:tc>
      </w:tr>
      <w:tr>
        <w:trPr>
          <w:trHeight w:val="168"/>
        </w:trPr>
        <w:tc>
          <w:tcPr>
            <w:tcW w:w="4080" w:type="dxa"/>
            <w:vAlign w:val="bottom"/>
          </w:tcPr>
          <w:p>
            <w:pPr>
              <w:jc w:val="right"/>
              <w:ind w:right="1207"/>
              <w:spacing w:after="0" w:line="168" w:lineRule="exact"/>
              <w:rPr>
                <w:sz w:val="20"/>
                <w:szCs w:val="20"/>
                <w:color w:val="auto"/>
              </w:rPr>
            </w:pPr>
            <w:r>
              <w:rPr>
                <w:rFonts w:ascii="Courier New" w:cs="Courier New" w:eastAsia="Courier New" w:hAnsi="Courier New"/>
                <w:sz w:val="15"/>
                <w:szCs w:val="15"/>
                <w:color w:val="auto"/>
                <w:w w:val="96"/>
              </w:rPr>
              <w:t>Unit Case Volume Mix by Category</w:t>
            </w:r>
          </w:p>
        </w:tc>
        <w:tc>
          <w:tcPr>
            <w:tcW w:w="1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 percentages)</w:t>
            </w:r>
          </w:p>
        </w:tc>
        <w:tc>
          <w:tcPr>
            <w:tcW w:w="9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36"/>
        </w:trPr>
        <w:tc>
          <w:tcPr>
            <w:tcW w:w="40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Colas.......................................</w:t>
            </w: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71.5%</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72.4%</w:t>
            </w:r>
          </w:p>
        </w:tc>
        <w:tc>
          <w:tcPr>
            <w:tcW w:w="17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73.9%</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73.9%</w:t>
            </w:r>
          </w:p>
        </w:tc>
        <w:tc>
          <w:tcPr>
            <w:tcW w:w="126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72.5%</w:t>
            </w:r>
          </w:p>
        </w:tc>
      </w:tr>
      <w:tr>
        <w:trPr>
          <w:trHeight w:val="168"/>
        </w:trPr>
        <w:tc>
          <w:tcPr>
            <w:tcW w:w="4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Flavored Soft Drinks........................</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21.3</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21.4</w:t>
            </w:r>
          </w:p>
        </w:tc>
        <w:tc>
          <w:tcPr>
            <w:tcW w:w="17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20.5</w:t>
            </w: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20.1</w:t>
            </w: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21.0</w:t>
            </w:r>
          </w:p>
        </w:tc>
      </w:tr>
      <w:tr>
        <w:trPr>
          <w:trHeight w:val="168"/>
        </w:trPr>
        <w:tc>
          <w:tcPr>
            <w:tcW w:w="4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Total Carbonated Soft Drinks................</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92.8</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93.8</w:t>
            </w:r>
          </w:p>
        </w:tc>
        <w:tc>
          <w:tcPr>
            <w:tcW w:w="17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94.4</w:t>
            </w: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94.0</w:t>
            </w: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93.5</w:t>
            </w:r>
          </w:p>
        </w:tc>
      </w:tr>
      <w:tr>
        <w:trPr>
          <w:trHeight w:val="168"/>
        </w:trPr>
        <w:tc>
          <w:tcPr>
            <w:tcW w:w="4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Water.......................................</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6.3</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6.1</w:t>
            </w:r>
          </w:p>
        </w:tc>
        <w:tc>
          <w:tcPr>
            <w:tcW w:w="17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5.6</w:t>
            </w: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6.0</w:t>
            </w: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6.5</w:t>
            </w:r>
          </w:p>
        </w:tc>
      </w:tr>
      <w:tr>
        <w:trPr>
          <w:trHeight w:val="168"/>
        </w:trPr>
        <w:tc>
          <w:tcPr>
            <w:tcW w:w="4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Other Categories(1).........................</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0.9</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0.1</w:t>
            </w:r>
          </w:p>
        </w:tc>
        <w:tc>
          <w:tcPr>
            <w:tcW w:w="17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80" w:type="dxa"/>
            <w:vAlign w:val="bottom"/>
          </w:tcPr>
          <w:p>
            <w:pPr>
              <w:spacing w:after="0"/>
              <w:rPr>
                <w:sz w:val="14"/>
                <w:szCs w:val="14"/>
                <w:color w:val="auto"/>
              </w:rPr>
            </w:pPr>
          </w:p>
        </w:tc>
        <w:tc>
          <w:tcPr>
            <w:tcW w:w="598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 ------------- ------------ ------------ -------------</w:t>
            </w:r>
          </w:p>
        </w:tc>
      </w:tr>
      <w:tr>
        <w:trPr>
          <w:trHeight w:val="168"/>
        </w:trPr>
        <w:tc>
          <w:tcPr>
            <w:tcW w:w="4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Total.....................................</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100.0%</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c>
          <w:tcPr>
            <w:tcW w:w="17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100.0%</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100.0%</w:t>
            </w:r>
          </w:p>
        </w:tc>
        <w:tc>
          <w:tcPr>
            <w:tcW w:w="12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4080" w:type="dxa"/>
            <w:vAlign w:val="bottom"/>
          </w:tcPr>
          <w:p>
            <w:pPr>
              <w:spacing w:after="0"/>
              <w:rPr>
                <w:sz w:val="14"/>
                <w:szCs w:val="14"/>
                <w:color w:val="auto"/>
              </w:rPr>
            </w:pPr>
          </w:p>
        </w:tc>
        <w:tc>
          <w:tcPr>
            <w:tcW w:w="598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 ============= ============ ============ =============</w:t>
            </w:r>
          </w:p>
        </w:tc>
      </w:tr>
    </w:tbl>
    <w:p>
      <w:pPr>
        <w:spacing w:after="0" w:line="166" w:lineRule="exact"/>
        <w:rPr>
          <w:sz w:val="20"/>
          <w:szCs w:val="20"/>
          <w:color w:val="auto"/>
        </w:rPr>
      </w:pPr>
    </w:p>
    <w:p>
      <w:pPr>
        <w:ind w:left="800" w:hanging="528"/>
        <w:spacing w:after="0"/>
        <w:tabs>
          <w:tab w:leader="none" w:pos="80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Powerade, Nestea, Kin Light and Mickey Aventuras.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80" w:type="dxa"/>
            <w:vAlign w:val="bottom"/>
          </w:tcPr>
          <w:p>
            <w:pPr>
              <w:jc w:val="right"/>
              <w:ind w:right="2607"/>
              <w:spacing w:after="0"/>
              <w:rPr>
                <w:sz w:val="20"/>
                <w:szCs w:val="20"/>
                <w:color w:val="auto"/>
              </w:rPr>
            </w:pPr>
            <w:r>
              <w:rPr>
                <w:rFonts w:ascii="Courier New" w:cs="Courier New" w:eastAsia="Courier New" w:hAnsi="Courier New"/>
                <w:sz w:val="15"/>
                <w:szCs w:val="15"/>
                <w:color w:val="auto"/>
                <w:w w:val="95"/>
              </w:rPr>
              <w:t>Unit Case Volume</w:t>
            </w:r>
          </w:p>
        </w:tc>
        <w:tc>
          <w:tcPr>
            <w:tcW w:w="1360" w:type="dxa"/>
            <w:vAlign w:val="bottom"/>
          </w:tcPr>
          <w:p>
            <w:pPr>
              <w:spacing w:after="0"/>
              <w:rPr>
                <w:sz w:val="14"/>
                <w:szCs w:val="14"/>
                <w:color w:val="auto"/>
              </w:rPr>
            </w:pPr>
          </w:p>
        </w:tc>
        <w:tc>
          <w:tcPr>
            <w:tcW w:w="3400" w:type="dxa"/>
            <w:vAlign w:val="bottom"/>
            <w:gridSpan w:val="3"/>
          </w:tcPr>
          <w:p>
            <w:pPr>
              <w:jc w:val="right"/>
              <w:ind w:right="627"/>
              <w:spacing w:after="0"/>
              <w:rPr>
                <w:sz w:val="20"/>
                <w:szCs w:val="20"/>
                <w:color w:val="auto"/>
              </w:rPr>
            </w:pPr>
            <w:r>
              <w:rPr>
                <w:rFonts w:ascii="Courier New" w:cs="Courier New" w:eastAsia="Courier New" w:hAnsi="Courier New"/>
                <w:sz w:val="15"/>
                <w:szCs w:val="15"/>
                <w:color w:val="auto"/>
              </w:rPr>
              <w:t>(millions of unit cases)</w:t>
            </w:r>
          </w:p>
        </w:tc>
        <w:tc>
          <w:tcPr>
            <w:tcW w:w="1220" w:type="dxa"/>
            <w:vAlign w:val="bottom"/>
          </w:tcPr>
          <w:p>
            <w:pPr>
              <w:spacing w:after="0"/>
              <w:rPr>
                <w:sz w:val="14"/>
                <w:szCs w:val="14"/>
                <w:color w:val="auto"/>
              </w:rPr>
            </w:pPr>
          </w:p>
        </w:tc>
      </w:tr>
      <w:tr>
        <w:trPr>
          <w:trHeight w:val="168"/>
        </w:trPr>
        <w:tc>
          <w:tcPr>
            <w:tcW w:w="4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Coca-Cola trademark beverages.............</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124.4</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121.1</w:t>
            </w:r>
          </w:p>
        </w:tc>
        <w:tc>
          <w:tcPr>
            <w:tcW w:w="15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116.0</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99.9</w:t>
            </w:r>
          </w:p>
        </w:tc>
        <w:tc>
          <w:tcPr>
            <w:tcW w:w="12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95.3</w:t>
            </w:r>
          </w:p>
        </w:tc>
      </w:tr>
      <w:tr>
        <w:trPr>
          <w:trHeight w:val="168"/>
        </w:trPr>
        <w:tc>
          <w:tcPr>
            <w:tcW w:w="4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Other Beverages...........................</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0.5</w:t>
            </w:r>
          </w:p>
        </w:tc>
        <w:tc>
          <w:tcPr>
            <w:tcW w:w="15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1.6</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w:t>
            </w:r>
          </w:p>
        </w:tc>
        <w:tc>
          <w:tcPr>
            <w:tcW w:w="12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4080" w:type="dxa"/>
            <w:vAlign w:val="bottom"/>
          </w:tcPr>
          <w:p>
            <w:pPr>
              <w:spacing w:after="0"/>
              <w:rPr>
                <w:sz w:val="14"/>
                <w:szCs w:val="14"/>
                <w:color w:val="auto"/>
              </w:rPr>
            </w:pPr>
          </w:p>
        </w:tc>
        <w:tc>
          <w:tcPr>
            <w:tcW w:w="598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 ------------- ------------ ------------ -------------</w:t>
            </w:r>
          </w:p>
        </w:tc>
      </w:tr>
      <w:tr>
        <w:trPr>
          <w:trHeight w:val="168"/>
        </w:trPr>
        <w:tc>
          <w:tcPr>
            <w:tcW w:w="4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Total....................................</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126.4</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121.6</w:t>
            </w:r>
          </w:p>
        </w:tc>
        <w:tc>
          <w:tcPr>
            <w:tcW w:w="15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117.6</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101.2</w:t>
            </w:r>
          </w:p>
        </w:tc>
        <w:tc>
          <w:tcPr>
            <w:tcW w:w="12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96.7</w:t>
            </w:r>
          </w:p>
        </w:tc>
      </w:tr>
      <w:tr>
        <w:trPr>
          <w:trHeight w:val="168"/>
        </w:trPr>
        <w:tc>
          <w:tcPr>
            <w:tcW w:w="4080" w:type="dxa"/>
            <w:vAlign w:val="bottom"/>
          </w:tcPr>
          <w:p>
            <w:pPr>
              <w:spacing w:after="0"/>
              <w:rPr>
                <w:sz w:val="14"/>
                <w:szCs w:val="14"/>
                <w:color w:val="auto"/>
              </w:rPr>
            </w:pPr>
          </w:p>
        </w:tc>
        <w:tc>
          <w:tcPr>
            <w:tcW w:w="598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 ============= ============ ============ =============</w:t>
            </w:r>
          </w:p>
        </w:tc>
      </w:tr>
      <w:tr>
        <w:trPr>
          <w:trHeight w:val="168"/>
        </w:trPr>
        <w:tc>
          <w:tcPr>
            <w:tcW w:w="4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Growth.................................</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w:t>
            </w:r>
          </w:p>
        </w:tc>
        <w:tc>
          <w:tcPr>
            <w:tcW w:w="15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16.2%</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4.7%</w:t>
            </w:r>
          </w:p>
        </w:tc>
        <w:tc>
          <w:tcPr>
            <w:tcW w:w="12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27.9%</w:t>
            </w:r>
          </w:p>
        </w:tc>
      </w:tr>
      <w:tr>
        <w:trPr>
          <w:trHeight w:val="673"/>
        </w:trPr>
        <w:tc>
          <w:tcPr>
            <w:tcW w:w="54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Combined Mexican Territories Sales Volume</w:t>
            </w:r>
          </w:p>
        </w:tc>
        <w:tc>
          <w:tcPr>
            <w:tcW w:w="7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673"/>
        </w:trPr>
        <w:tc>
          <w:tcPr>
            <w:tcW w:w="40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70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w w:val="95"/>
              </w:rPr>
              <w:t>Year ended December 31,</w:t>
            </w:r>
          </w:p>
        </w:tc>
        <w:tc>
          <w:tcPr>
            <w:tcW w:w="1220" w:type="dxa"/>
            <w:vAlign w:val="bottom"/>
          </w:tcPr>
          <w:p>
            <w:pPr>
              <w:spacing w:after="0"/>
              <w:rPr>
                <w:sz w:val="24"/>
                <w:szCs w:val="24"/>
                <w:color w:val="auto"/>
              </w:rPr>
            </w:pPr>
          </w:p>
        </w:tc>
      </w:tr>
      <w:tr>
        <w:trPr>
          <w:trHeight w:val="168"/>
        </w:trPr>
        <w:tc>
          <w:tcPr>
            <w:tcW w:w="4080" w:type="dxa"/>
            <w:vAlign w:val="bottom"/>
          </w:tcPr>
          <w:p>
            <w:pPr>
              <w:spacing w:after="0"/>
              <w:rPr>
                <w:sz w:val="14"/>
                <w:szCs w:val="14"/>
                <w:color w:val="auto"/>
              </w:rPr>
            </w:pPr>
          </w:p>
        </w:tc>
        <w:tc>
          <w:tcPr>
            <w:tcW w:w="598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 ------------ ------------ -------------- ------------</w:t>
            </w:r>
          </w:p>
        </w:tc>
      </w:tr>
      <w:tr>
        <w:trPr>
          <w:trHeight w:val="168"/>
        </w:trPr>
        <w:tc>
          <w:tcPr>
            <w:tcW w:w="4080" w:type="dxa"/>
            <w:vAlign w:val="bottom"/>
          </w:tcPr>
          <w:p>
            <w:pPr>
              <w:spacing w:after="0"/>
              <w:rPr>
                <w:sz w:val="14"/>
                <w:szCs w:val="14"/>
                <w:color w:val="auto"/>
              </w:rPr>
            </w:pPr>
          </w:p>
        </w:tc>
        <w:tc>
          <w:tcPr>
            <w:tcW w:w="13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2002</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2001</w:t>
            </w:r>
          </w:p>
        </w:tc>
        <w:tc>
          <w:tcPr>
            <w:tcW w:w="15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2000</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1999</w:t>
            </w:r>
          </w:p>
        </w:tc>
        <w:tc>
          <w:tcPr>
            <w:tcW w:w="12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4080" w:type="dxa"/>
            <w:vAlign w:val="bottom"/>
          </w:tcPr>
          <w:p>
            <w:pPr>
              <w:spacing w:after="0"/>
              <w:rPr>
                <w:sz w:val="14"/>
                <w:szCs w:val="14"/>
                <w:color w:val="auto"/>
              </w:rPr>
            </w:pPr>
          </w:p>
        </w:tc>
        <w:tc>
          <w:tcPr>
            <w:tcW w:w="598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 ------------ ------------ -------------- ------------</w:t>
            </w:r>
          </w:p>
        </w:tc>
      </w:tr>
      <w:tr>
        <w:trPr>
          <w:trHeight w:val="168"/>
        </w:trPr>
        <w:tc>
          <w:tcPr>
            <w:tcW w:w="4080" w:type="dxa"/>
            <w:vAlign w:val="bottom"/>
          </w:tcPr>
          <w:p>
            <w:pPr>
              <w:jc w:val="right"/>
              <w:ind w:right="2607"/>
              <w:spacing w:after="0" w:line="168" w:lineRule="exact"/>
              <w:rPr>
                <w:sz w:val="20"/>
                <w:szCs w:val="20"/>
                <w:color w:val="auto"/>
              </w:rPr>
            </w:pPr>
            <w:r>
              <w:rPr>
                <w:rFonts w:ascii="Courier New" w:cs="Courier New" w:eastAsia="Courier New" w:hAnsi="Courier New"/>
                <w:sz w:val="15"/>
                <w:szCs w:val="15"/>
                <w:color w:val="auto"/>
                <w:w w:val="95"/>
              </w:rPr>
              <w:t>Unit Case Volume</w:t>
            </w:r>
          </w:p>
        </w:tc>
        <w:tc>
          <w:tcPr>
            <w:tcW w:w="1360" w:type="dxa"/>
            <w:vAlign w:val="bottom"/>
          </w:tcPr>
          <w:p>
            <w:pPr>
              <w:spacing w:after="0"/>
              <w:rPr>
                <w:sz w:val="14"/>
                <w:szCs w:val="14"/>
                <w:color w:val="auto"/>
              </w:rPr>
            </w:pPr>
          </w:p>
        </w:tc>
        <w:tc>
          <w:tcPr>
            <w:tcW w:w="3400" w:type="dxa"/>
            <w:vAlign w:val="bottom"/>
            <w:gridSpan w:val="3"/>
          </w:tcPr>
          <w:p>
            <w:pPr>
              <w:jc w:val="right"/>
              <w:ind w:right="627"/>
              <w:spacing w:after="0" w:line="168" w:lineRule="exact"/>
              <w:rPr>
                <w:sz w:val="20"/>
                <w:szCs w:val="20"/>
                <w:color w:val="auto"/>
              </w:rPr>
            </w:pPr>
            <w:r>
              <w:rPr>
                <w:rFonts w:ascii="Courier New" w:cs="Courier New" w:eastAsia="Courier New" w:hAnsi="Courier New"/>
                <w:sz w:val="15"/>
                <w:szCs w:val="15"/>
                <w:color w:val="auto"/>
              </w:rPr>
              <w:t>(millions of unit cases)</w:t>
            </w:r>
          </w:p>
        </w:tc>
        <w:tc>
          <w:tcPr>
            <w:tcW w:w="1220" w:type="dxa"/>
            <w:vAlign w:val="bottom"/>
          </w:tcPr>
          <w:p>
            <w:pPr>
              <w:spacing w:after="0"/>
              <w:rPr>
                <w:sz w:val="14"/>
                <w:szCs w:val="14"/>
                <w:color w:val="auto"/>
              </w:rPr>
            </w:pPr>
          </w:p>
        </w:tc>
      </w:tr>
      <w:tr>
        <w:trPr>
          <w:trHeight w:val="336"/>
        </w:trPr>
        <w:tc>
          <w:tcPr>
            <w:tcW w:w="40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Total.......................................</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504.7</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477.9</w:t>
            </w:r>
          </w:p>
        </w:tc>
        <w:tc>
          <w:tcPr>
            <w:tcW w:w="15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461.1</w:t>
            </w: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418.1</w:t>
            </w:r>
          </w:p>
        </w:tc>
        <w:tc>
          <w:tcPr>
            <w:tcW w:w="1220" w:type="dxa"/>
            <w:vAlign w:val="bottom"/>
          </w:tcPr>
          <w:p>
            <w:pPr>
              <w:ind w:left="360"/>
              <w:spacing w:after="0"/>
              <w:rPr>
                <w:sz w:val="20"/>
                <w:szCs w:val="20"/>
                <w:color w:val="auto"/>
              </w:rPr>
            </w:pPr>
            <w:r>
              <w:rPr>
                <w:rFonts w:ascii="Courier New" w:cs="Courier New" w:eastAsia="Courier New" w:hAnsi="Courier New"/>
                <w:sz w:val="15"/>
                <w:szCs w:val="15"/>
                <w:color w:val="auto"/>
              </w:rPr>
              <w:t>401.2</w:t>
            </w:r>
          </w:p>
        </w:tc>
      </w:tr>
      <w:tr>
        <w:trPr>
          <w:trHeight w:val="168"/>
        </w:trPr>
        <w:tc>
          <w:tcPr>
            <w:tcW w:w="4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 Growth....................................</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5.6%</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w:t>
            </w:r>
          </w:p>
        </w:tc>
        <w:tc>
          <w:tcPr>
            <w:tcW w:w="15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10.3%</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4.2%</w:t>
            </w:r>
          </w:p>
        </w:tc>
        <w:tc>
          <w:tcPr>
            <w:tcW w:w="12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19.8%</w:t>
            </w:r>
          </w:p>
        </w:tc>
      </w:tr>
    </w:tbl>
    <w:p>
      <w:pPr>
        <w:spacing w:after="0" w:line="200" w:lineRule="exact"/>
        <w:rPr>
          <w:sz w:val="20"/>
          <w:szCs w:val="20"/>
          <w:color w:val="auto"/>
        </w:rPr>
      </w:pPr>
    </w:p>
    <w:p>
      <w:pPr>
        <w:spacing w:after="0" w:line="309"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2002, Coca-Cola FEMSA introduced The Coca-Cola Company trademark powdered products under the Kin Light brand, a diet-flavored powder. It offered Kin Light on a complimentary basis to its customers in order to better examine this category's potential and evaluate consumption patterns and price strategies. Coca-Cola FEMSA's sales volume for 2002 in the Mexican Territories includes 6.3 million unit cases of Kin Light.</w:t>
      </w:r>
    </w:p>
    <w:p>
      <w:pPr>
        <w:spacing w:after="0" w:line="175"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Since 1995, Coca-Cola FEMSA has introduced a number of new presentations in the Mexican Territories. These include 2.5 and 2.0-liter returnable plastic bottles, 1.0-liter non-returnable plastic bottles, 8oz non-returnable glass bottles, 0.25-liter non-returnable plastic bottles and 0.6-liter plastic contour bottles to replace the 0.5-liter non-returnable glass and plastic presentations.</w:t>
      </w:r>
    </w:p>
    <w:p>
      <w:pPr>
        <w:spacing w:after="0" w:line="16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Coca-Cola FEMSA's most popular soft drink presentations are the 2.0-liter returnable plastic bottles, the 0.6-liter non-returnable plastic contour bottle and the 2.0-liter non-returnable plastic bottle, which accounted for 27.9%, 23.0% and 16.4%, respectively, of Coca-Cola FEMSA's total soft drink sales volume in 2002 in the Mexican Territories.</w:t>
      </w:r>
    </w:p>
    <w:p>
      <w:pPr>
        <w:spacing w:after="0" w:line="174"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In recent years, the packaging trend in the soft drink industry in Mexico has moved toward non-returnable presentations. Total non-returnable presentations (excluding fountain and powders) represented 60.6% of total sales in the Mexican Territories in 2002 as compared to 57.5% in 2001 and 55.7% in 2000. During 2002, Coca-Cola FEMSA refocused its packaging mix strategy to reinforce its sales of returnable packages. Returnable plastic and glass presentations offer consumers a more affordable product. The price of a</w:t>
      </w:r>
    </w:p>
    <w:p>
      <w:pPr>
        <w:spacing w:after="0" w:line="2"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2.0-liter returnable package is approximately 17% less than the same size non-returnable package. These returnable products are mainly sold to small store retailers, which represent the largest distribution channel in the Mexican market, who benefit from returnable bottles' lower price per ounce of product, allowing them to compete with larger supermarkets. Returnable packages present an opportunity to attract new customers and maintain customer loyalty because they make Coca-Cola trademark beverages more attractive to price-sensitive consumers. Coca-Cola FEMSA believes that its continued commitment to returnable bottle availability will allow it to compete with low-price entrants to the Mexican soft drink market.</w:t>
      </w:r>
    </w:p>
    <w:p>
      <w:pPr>
        <w:spacing w:after="0" w:line="34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39"/>
          </w:cols>
          <w:pgMar w:left="220" w:top="1122" w:right="1440" w:bottom="1021" w:gutter="0" w:footer="0" w:header="0"/>
        </w:sectPr>
      </w:pPr>
    </w:p>
    <w:bookmarkStart w:id="51" w:name="page52"/>
    <w:bookmarkEnd w:id="51"/>
    <w:p>
      <w:pPr>
        <w:ind w:left="800"/>
        <w:spacing w:after="0"/>
        <w:rPr>
          <w:sz w:val="20"/>
          <w:szCs w:val="20"/>
          <w:color w:val="auto"/>
        </w:rPr>
      </w:pPr>
      <w:r>
        <w:rPr>
          <w:rFonts w:ascii="Courier New" w:cs="Courier New" w:eastAsia="Courier New" w:hAnsi="Courier New"/>
          <w:sz w:val="15"/>
          <w:szCs w:val="15"/>
          <w:color w:val="auto"/>
        </w:rPr>
        <w:t>Multi-serving presentations (those presentations of more than</w:t>
      </w:r>
    </w:p>
    <w:p>
      <w:pPr>
        <w:spacing w:after="0" w:line="237" w:lineRule="auto"/>
        <w:rPr>
          <w:sz w:val="20"/>
          <w:szCs w:val="20"/>
          <w:color w:val="auto"/>
        </w:rPr>
      </w:pPr>
      <w:r>
        <w:rPr>
          <w:rFonts w:ascii="Courier New" w:cs="Courier New" w:eastAsia="Courier New" w:hAnsi="Courier New"/>
          <w:sz w:val="15"/>
          <w:szCs w:val="15"/>
          <w:color w:val="auto"/>
        </w:rPr>
        <w:t>1.0-liter) are an important component of Coca-Cola FEMSA's product mix. In 2002,</w:t>
      </w:r>
    </w:p>
    <w:p>
      <w:pPr>
        <w:spacing w:after="0" w:line="238" w:lineRule="auto"/>
        <w:rPr>
          <w:sz w:val="20"/>
          <w:szCs w:val="20"/>
          <w:color w:val="auto"/>
        </w:rPr>
      </w:pPr>
      <w:r>
        <w:rPr>
          <w:rFonts w:ascii="Courier New" w:cs="Courier New" w:eastAsia="Courier New" w:hAnsi="Courier New"/>
          <w:sz w:val="15"/>
          <w:szCs w:val="15"/>
          <w:color w:val="auto"/>
        </w:rPr>
        <w:t>multi-serving presentations represented 46.9% of Coca-Cola FEMSA's total soft</w:t>
      </w:r>
    </w:p>
    <w:p>
      <w:pPr>
        <w:spacing w:after="0" w:line="237" w:lineRule="auto"/>
        <w:rPr>
          <w:sz w:val="20"/>
          <w:szCs w:val="20"/>
          <w:color w:val="auto"/>
        </w:rPr>
      </w:pPr>
      <w:r>
        <w:rPr>
          <w:rFonts w:ascii="Courier New" w:cs="Courier New" w:eastAsia="Courier New" w:hAnsi="Courier New"/>
          <w:sz w:val="15"/>
          <w:szCs w:val="15"/>
          <w:color w:val="auto"/>
        </w:rPr>
        <w:t>drink sales in the Mexican Territories, as compared to 48.4% in 2001. Although</w:t>
      </w:r>
    </w:p>
    <w:p>
      <w:pPr>
        <w:spacing w:after="0" w:line="238" w:lineRule="auto"/>
        <w:rPr>
          <w:sz w:val="20"/>
          <w:szCs w:val="20"/>
          <w:color w:val="auto"/>
        </w:rPr>
      </w:pPr>
      <w:r>
        <w:rPr>
          <w:rFonts w:ascii="Courier New" w:cs="Courier New" w:eastAsia="Courier New" w:hAnsi="Courier New"/>
          <w:sz w:val="15"/>
          <w:szCs w:val="15"/>
          <w:color w:val="auto"/>
        </w:rPr>
        <w:t>the volume of multi-serving presentations has decreased slightly in the last</w:t>
      </w:r>
    </w:p>
    <w:p>
      <w:pPr>
        <w:spacing w:after="0" w:line="237" w:lineRule="auto"/>
        <w:rPr>
          <w:sz w:val="20"/>
          <w:szCs w:val="20"/>
          <w:color w:val="auto"/>
        </w:rPr>
      </w:pPr>
      <w:r>
        <w:rPr>
          <w:rFonts w:ascii="Courier New" w:cs="Courier New" w:eastAsia="Courier New" w:hAnsi="Courier New"/>
          <w:sz w:val="15"/>
          <w:szCs w:val="15"/>
          <w:color w:val="auto"/>
        </w:rPr>
        <w:t>couple of years, Coca-Cola FEMSA expects that demand for multi-serving</w:t>
      </w:r>
    </w:p>
    <w:p>
      <w:pPr>
        <w:spacing w:after="0" w:line="238" w:lineRule="auto"/>
        <w:rPr>
          <w:sz w:val="20"/>
          <w:szCs w:val="20"/>
          <w:color w:val="auto"/>
        </w:rPr>
      </w:pPr>
      <w:r>
        <w:rPr>
          <w:rFonts w:ascii="Courier New" w:cs="Courier New" w:eastAsia="Courier New" w:hAnsi="Courier New"/>
          <w:sz w:val="15"/>
          <w:szCs w:val="15"/>
          <w:color w:val="auto"/>
        </w:rPr>
        <w:t>presentations will increase after the launch of the 2.5-liter Coca-Cola</w:t>
      </w:r>
    </w:p>
    <w:p>
      <w:pPr>
        <w:spacing w:after="0" w:line="237" w:lineRule="auto"/>
        <w:rPr>
          <w:sz w:val="20"/>
          <w:szCs w:val="20"/>
          <w:color w:val="auto"/>
        </w:rPr>
      </w:pPr>
      <w:r>
        <w:rPr>
          <w:rFonts w:ascii="Courier New" w:cs="Courier New" w:eastAsia="Courier New" w:hAnsi="Courier New"/>
          <w:sz w:val="15"/>
          <w:szCs w:val="15"/>
          <w:color w:val="auto"/>
        </w:rPr>
        <w:t>presentation. Coca-Cola FEMSA believes that the popularity of multi-serving</w:t>
      </w:r>
    </w:p>
    <w:p>
      <w:pPr>
        <w:spacing w:after="0" w:line="238" w:lineRule="auto"/>
        <w:rPr>
          <w:sz w:val="20"/>
          <w:szCs w:val="20"/>
          <w:color w:val="auto"/>
        </w:rPr>
      </w:pPr>
      <w:r>
        <w:rPr>
          <w:rFonts w:ascii="Courier New" w:cs="Courier New" w:eastAsia="Courier New" w:hAnsi="Courier New"/>
          <w:sz w:val="15"/>
          <w:szCs w:val="15"/>
          <w:color w:val="auto"/>
        </w:rPr>
        <w:t>presentations is primarily attributable to the lower price per ounce of product</w:t>
      </w:r>
    </w:p>
    <w:p>
      <w:pPr>
        <w:spacing w:after="0" w:line="238" w:lineRule="auto"/>
        <w:rPr>
          <w:sz w:val="20"/>
          <w:szCs w:val="20"/>
          <w:color w:val="auto"/>
        </w:rPr>
      </w:pPr>
      <w:r>
        <w:rPr>
          <w:rFonts w:ascii="Courier New" w:cs="Courier New" w:eastAsia="Courier New" w:hAnsi="Courier New"/>
          <w:sz w:val="15"/>
          <w:szCs w:val="15"/>
          <w:color w:val="auto"/>
        </w:rPr>
        <w:t>in larger presentations.</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The following table sets forth Coca-Cola FEMSA's unit case volume mix</w:t>
      </w:r>
    </w:p>
    <w:tbl>
      <w:tblPr>
        <w:tblLayout w:type="fixed"/>
        <w:tblInd w:w="0" w:type="dxa"/>
        <w:tblCellMar>
          <w:top w:w="0" w:type="dxa"/>
          <w:left w:w="0" w:type="dxa"/>
          <w:bottom w:w="0" w:type="dxa"/>
          <w:right w:w="0" w:type="dxa"/>
        </w:tblCellMar>
      </w:tblP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by presentation in the Mexican Territories:</w:t>
            </w: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673"/>
        </w:trPr>
        <w:tc>
          <w:tcPr>
            <w:tcW w:w="4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60" w:type="dxa"/>
            <w:vAlign w:val="bottom"/>
            <w:gridSpan w:val="3"/>
          </w:tcPr>
          <w:p>
            <w:pPr>
              <w:jc w:val="right"/>
              <w:ind w:right="627"/>
              <w:spacing w:after="0"/>
              <w:rPr>
                <w:sz w:val="20"/>
                <w:szCs w:val="20"/>
                <w:color w:val="auto"/>
              </w:rPr>
            </w:pPr>
            <w:r>
              <w:rPr>
                <w:rFonts w:ascii="Courier New" w:cs="Courier New" w:eastAsia="Courier New" w:hAnsi="Courier New"/>
                <w:sz w:val="15"/>
                <w:szCs w:val="15"/>
                <w:color w:val="auto"/>
              </w:rPr>
              <w:t>Year ended December 31,</w:t>
            </w:r>
          </w:p>
        </w:tc>
        <w:tc>
          <w:tcPr>
            <w:tcW w:w="1220" w:type="dxa"/>
            <w:vAlign w:val="bottom"/>
          </w:tcPr>
          <w:p>
            <w:pPr>
              <w:spacing w:after="0"/>
              <w:rPr>
                <w:sz w:val="24"/>
                <w:szCs w:val="24"/>
                <w:color w:val="auto"/>
              </w:rPr>
            </w:pPr>
          </w:p>
        </w:tc>
      </w:tr>
      <w:tr>
        <w:trPr>
          <w:trHeight w:val="168"/>
        </w:trPr>
        <w:tc>
          <w:tcPr>
            <w:tcW w:w="4160" w:type="dxa"/>
            <w:vAlign w:val="bottom"/>
          </w:tcPr>
          <w:p>
            <w:pPr>
              <w:spacing w:after="0"/>
              <w:rPr>
                <w:sz w:val="14"/>
                <w:szCs w:val="14"/>
                <w:color w:val="auto"/>
              </w:rPr>
            </w:pPr>
          </w:p>
        </w:tc>
        <w:tc>
          <w:tcPr>
            <w:tcW w:w="582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9"/>
              </w:rPr>
              <w:t>------------ ------------ ------------ ------------ -------------</w:t>
            </w:r>
          </w:p>
        </w:tc>
      </w:tr>
      <w:tr>
        <w:trPr>
          <w:trHeight w:val="168"/>
        </w:trPr>
        <w:tc>
          <w:tcPr>
            <w:tcW w:w="416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2002</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2001</w:t>
            </w:r>
          </w:p>
        </w:tc>
        <w:tc>
          <w:tcPr>
            <w:tcW w:w="16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2000</w:t>
            </w: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1999</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4160" w:type="dxa"/>
            <w:vAlign w:val="bottom"/>
          </w:tcPr>
          <w:p>
            <w:pPr>
              <w:spacing w:after="0"/>
              <w:rPr>
                <w:sz w:val="14"/>
                <w:szCs w:val="14"/>
                <w:color w:val="auto"/>
              </w:rPr>
            </w:pPr>
          </w:p>
        </w:tc>
        <w:tc>
          <w:tcPr>
            <w:tcW w:w="582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9"/>
              </w:rPr>
              <w:t>------------ ------------ ------------ ------------ -------------</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Unit Case Volume Mix by Presentation</w:t>
            </w: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 percentages)</w:t>
            </w: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336"/>
        </w:trPr>
        <w:tc>
          <w:tcPr>
            <w:tcW w:w="4160" w:type="dxa"/>
            <w:vAlign w:val="bottom"/>
          </w:tcPr>
          <w:p>
            <w:pPr>
              <w:spacing w:after="0"/>
              <w:rPr>
                <w:sz w:val="20"/>
                <w:szCs w:val="20"/>
                <w:color w:val="auto"/>
              </w:rPr>
            </w:pPr>
            <w:r>
              <w:rPr>
                <w:rFonts w:ascii="Courier New" w:cs="Courier New" w:eastAsia="Courier New" w:hAnsi="Courier New"/>
                <w:sz w:val="15"/>
                <w:szCs w:val="15"/>
                <w:color w:val="auto"/>
              </w:rPr>
              <w:t>Valley of Mexico</w:t>
            </w:r>
          </w:p>
        </w:tc>
        <w:tc>
          <w:tcPr>
            <w:tcW w:w="1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41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Returnable.................................</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33.7%</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39.3%</w:t>
            </w:r>
          </w:p>
        </w:tc>
        <w:tc>
          <w:tcPr>
            <w:tcW w:w="16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42.2%</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40.6%</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48.0%</w:t>
            </w:r>
          </w:p>
        </w:tc>
      </w:tr>
      <w:tr>
        <w:trPr>
          <w:trHeight w:val="168"/>
        </w:trPr>
        <w:tc>
          <w:tcPr>
            <w:tcW w:w="41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Non-returnable (1).........................</w:t>
            </w: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64.0</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58.4</w:t>
            </w:r>
          </w:p>
        </w:tc>
        <w:tc>
          <w:tcPr>
            <w:tcW w:w="16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55.5</w:t>
            </w: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57.3</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50.0</w:t>
            </w:r>
          </w:p>
        </w:tc>
      </w:tr>
      <w:tr>
        <w:trPr>
          <w:trHeight w:val="168"/>
        </w:trPr>
        <w:tc>
          <w:tcPr>
            <w:tcW w:w="41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Fountain...................................</w:t>
            </w: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2.3</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w:t>
            </w:r>
          </w:p>
        </w:tc>
        <w:tc>
          <w:tcPr>
            <w:tcW w:w="16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2.3</w:t>
            </w: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2.1</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Southeast of Mexico</w:t>
            </w: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41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Returnable.................................</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43.7%</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44.6%</w:t>
            </w:r>
          </w:p>
        </w:tc>
        <w:tc>
          <w:tcPr>
            <w:tcW w:w="16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50.3%</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56.7%</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60.8%</w:t>
            </w:r>
          </w:p>
        </w:tc>
      </w:tr>
      <w:tr>
        <w:trPr>
          <w:trHeight w:val="168"/>
        </w:trPr>
        <w:tc>
          <w:tcPr>
            <w:tcW w:w="41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Non-returnable (1)........................</w:t>
            </w: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55.6</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54.8</w:t>
            </w:r>
          </w:p>
        </w:tc>
        <w:tc>
          <w:tcPr>
            <w:tcW w:w="16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49.1</w:t>
            </w: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42.8</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38.8</w:t>
            </w:r>
          </w:p>
        </w:tc>
      </w:tr>
      <w:tr>
        <w:trPr>
          <w:trHeight w:val="168"/>
        </w:trPr>
        <w:tc>
          <w:tcPr>
            <w:tcW w:w="41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Fountain...................................</w:t>
            </w: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0.7</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0.6</w:t>
            </w:r>
          </w:p>
        </w:tc>
        <w:tc>
          <w:tcPr>
            <w:tcW w:w="16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0.6</w:t>
            </w: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0.5</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0.4</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Includes powders for 2002.</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Argentine Operations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the Buenos Aires Territory, in 2002, Coca-Cola FEMSA sold the majority of its products in the take-home segment, which consists of sales to customers who take the beverages home or elsewhere for consumption. In 2002, the percentage of sales through supermarkets decreased, to 23.4% in 2002 from 28.4% in 2001.</w:t>
      </w:r>
    </w:p>
    <w:p>
      <w:pPr>
        <w:spacing w:after="0" w:line="174"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In 2002, 100% of Coca-Cola FEMSA's unit case sales in the Buenos Aires Territory were of Coca-Cola trademark beverages. Sales volume of Coca-Cola trademark beverages in the Buenos Aires Territory decreased 11.0% in 2002 as compared to 2001.</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39"/>
          </w:cols>
          <w:pgMar w:left="220" w:top="617" w:right="1440" w:bottom="1440" w:gutter="0" w:footer="0" w:header="0"/>
        </w:sectPr>
      </w:pPr>
    </w:p>
    <w:bookmarkStart w:id="52" w:name="page53"/>
    <w:bookmarkEnd w:id="52"/>
    <w:p>
      <w:pPr>
        <w:ind w:right="3319" w:firstLine="437"/>
        <w:spacing w:after="0" w:line="234" w:lineRule="auto"/>
        <w:rPr>
          <w:sz w:val="20"/>
          <w:szCs w:val="20"/>
          <w:color w:val="auto"/>
        </w:rPr>
      </w:pPr>
      <w:r>
        <w:rPr>
          <w:rFonts w:ascii="Courier New" w:cs="Courier New" w:eastAsia="Courier New" w:hAnsi="Courier New"/>
          <w:sz w:val="15"/>
          <w:szCs w:val="15"/>
          <w:color w:val="auto"/>
        </w:rPr>
        <w:t>The following tables highlight historical sales volume mix and total sales volumes in the Buenos Aires Territory:</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gridSpan w:val="2"/>
          </w:tcPr>
          <w:p>
            <w:pPr>
              <w:jc w:val="right"/>
              <w:ind w:right="887"/>
              <w:spacing w:after="0"/>
              <w:rPr>
                <w:sz w:val="20"/>
                <w:szCs w:val="20"/>
                <w:color w:val="auto"/>
              </w:rPr>
            </w:pPr>
            <w:r>
              <w:rPr>
                <w:rFonts w:ascii="Courier New" w:cs="Courier New" w:eastAsia="Courier New" w:hAnsi="Courier New"/>
                <w:sz w:val="15"/>
                <w:szCs w:val="15"/>
                <w:color w:val="auto"/>
              </w:rPr>
              <w:t>Buenos Aires Territory</w:t>
            </w:r>
          </w:p>
        </w:tc>
        <w:tc>
          <w:tcPr>
            <w:tcW w:w="8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336"/>
        </w:trPr>
        <w:tc>
          <w:tcPr>
            <w:tcW w:w="40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Year ended December 31,</w:t>
            </w:r>
          </w:p>
        </w:tc>
        <w:tc>
          <w:tcPr>
            <w:tcW w:w="8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4080" w:type="dxa"/>
            <w:vAlign w:val="bottom"/>
          </w:tcPr>
          <w:p>
            <w:pPr>
              <w:spacing w:after="0"/>
              <w:rPr>
                <w:sz w:val="14"/>
                <w:szCs w:val="14"/>
                <w:color w:val="auto"/>
              </w:rPr>
            </w:pPr>
          </w:p>
        </w:tc>
        <w:tc>
          <w:tcPr>
            <w:tcW w:w="590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80" w:type="dxa"/>
            <w:vAlign w:val="bottom"/>
          </w:tcPr>
          <w:p>
            <w:pPr>
              <w:spacing w:after="0"/>
              <w:rPr>
                <w:sz w:val="14"/>
                <w:szCs w:val="14"/>
                <w:color w:val="auto"/>
              </w:rPr>
            </w:pPr>
          </w:p>
        </w:tc>
        <w:tc>
          <w:tcPr>
            <w:tcW w:w="13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2002</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2001</w:t>
            </w:r>
          </w:p>
        </w:tc>
        <w:tc>
          <w:tcPr>
            <w:tcW w:w="16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2000</w:t>
            </w:r>
          </w:p>
        </w:tc>
        <w:tc>
          <w:tcPr>
            <w:tcW w:w="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4"/>
              </w:rPr>
              <w:t>1999</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4080" w:type="dxa"/>
            <w:vAlign w:val="bottom"/>
          </w:tcPr>
          <w:p>
            <w:pPr>
              <w:spacing w:after="0"/>
              <w:rPr>
                <w:sz w:val="14"/>
                <w:szCs w:val="14"/>
                <w:color w:val="auto"/>
              </w:rPr>
            </w:pPr>
          </w:p>
        </w:tc>
        <w:tc>
          <w:tcPr>
            <w:tcW w:w="590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 ------------ ------------ ------------ -------------</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Unit Case Volume Mix by Category</w:t>
            </w:r>
          </w:p>
        </w:tc>
        <w:tc>
          <w:tcPr>
            <w:tcW w:w="1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(in percentages)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336"/>
        </w:trPr>
        <w:tc>
          <w:tcPr>
            <w:tcW w:w="40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Colas.......................................</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68.3%</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69.7%</w:t>
            </w:r>
          </w:p>
        </w:tc>
        <w:tc>
          <w:tcPr>
            <w:tcW w:w="166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75.8%</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75.9%</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76.9%</w:t>
            </w:r>
          </w:p>
        </w:tc>
      </w:tr>
      <w:tr>
        <w:trPr>
          <w:trHeight w:val="168"/>
        </w:trPr>
        <w:tc>
          <w:tcPr>
            <w:tcW w:w="4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Flavored Soft Drinks........................</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30.4</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29.0</w:t>
            </w:r>
          </w:p>
        </w:tc>
        <w:tc>
          <w:tcPr>
            <w:tcW w:w="16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23.5</w:t>
            </w: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23.4</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22.1</w:t>
            </w:r>
          </w:p>
        </w:tc>
      </w:tr>
      <w:tr>
        <w:trPr>
          <w:trHeight w:val="168"/>
        </w:trPr>
        <w:tc>
          <w:tcPr>
            <w:tcW w:w="4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Total Carbonated Soft Drinks..............</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98.7</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98.7</w:t>
            </w:r>
          </w:p>
        </w:tc>
        <w:tc>
          <w:tcPr>
            <w:tcW w:w="16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99.3</w:t>
            </w: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99.3</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99.0</w:t>
            </w:r>
          </w:p>
        </w:tc>
      </w:tr>
      <w:tr>
        <w:trPr>
          <w:trHeight w:val="168"/>
        </w:trPr>
        <w:tc>
          <w:tcPr>
            <w:tcW w:w="4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Water.......................................</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0.8</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0.5</w:t>
            </w:r>
          </w:p>
        </w:tc>
        <w:tc>
          <w:tcPr>
            <w:tcW w:w="16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0.6</w:t>
            </w: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0.7</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4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Other Categories(1).........................</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0.5</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0.8</w:t>
            </w:r>
          </w:p>
        </w:tc>
        <w:tc>
          <w:tcPr>
            <w:tcW w:w="16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0.1</w:t>
            </w:r>
          </w:p>
        </w:tc>
        <w:tc>
          <w:tcPr>
            <w:tcW w:w="8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80" w:type="dxa"/>
            <w:vAlign w:val="bottom"/>
          </w:tcPr>
          <w:p>
            <w:pPr>
              <w:spacing w:after="0"/>
              <w:rPr>
                <w:sz w:val="14"/>
                <w:szCs w:val="14"/>
                <w:color w:val="auto"/>
              </w:rPr>
            </w:pPr>
          </w:p>
        </w:tc>
        <w:tc>
          <w:tcPr>
            <w:tcW w:w="590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 ------------ ------------ ------------ -------------</w:t>
            </w:r>
          </w:p>
        </w:tc>
      </w:tr>
      <w:tr>
        <w:trPr>
          <w:trHeight w:val="168"/>
        </w:trPr>
        <w:tc>
          <w:tcPr>
            <w:tcW w:w="4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Total.....................................</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100.0%</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100.0%</w:t>
            </w:r>
          </w:p>
        </w:tc>
        <w:tc>
          <w:tcPr>
            <w:tcW w:w="16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100.0%</w:t>
            </w: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100.0%</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4080" w:type="dxa"/>
            <w:vAlign w:val="bottom"/>
          </w:tcPr>
          <w:p>
            <w:pPr>
              <w:spacing w:after="0"/>
              <w:rPr>
                <w:sz w:val="14"/>
                <w:szCs w:val="14"/>
                <w:color w:val="auto"/>
              </w:rPr>
            </w:pPr>
          </w:p>
        </w:tc>
        <w:tc>
          <w:tcPr>
            <w:tcW w:w="590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 ============ ============ ============ =============</w:t>
            </w:r>
          </w:p>
        </w:tc>
      </w:tr>
      <w:tr>
        <w:trPr>
          <w:trHeight w:val="336"/>
        </w:trPr>
        <w:tc>
          <w:tcPr>
            <w:tcW w:w="4080" w:type="dxa"/>
            <w:vAlign w:val="bottom"/>
          </w:tcPr>
          <w:p>
            <w:pPr>
              <w:spacing w:after="0"/>
              <w:rPr>
                <w:sz w:val="20"/>
                <w:szCs w:val="20"/>
                <w:color w:val="auto"/>
              </w:rPr>
            </w:pPr>
            <w:r>
              <w:rPr>
                <w:rFonts w:ascii="Courier New" w:cs="Courier New" w:eastAsia="Courier New" w:hAnsi="Courier New"/>
                <w:sz w:val="15"/>
                <w:szCs w:val="15"/>
                <w:color w:val="auto"/>
              </w:rPr>
              <w:t>Unit Case Volume</w:t>
            </w:r>
          </w:p>
        </w:tc>
        <w:tc>
          <w:tcPr>
            <w:tcW w:w="1360" w:type="dxa"/>
            <w:vAlign w:val="bottom"/>
          </w:tcPr>
          <w:p>
            <w:pPr>
              <w:spacing w:after="0"/>
              <w:rPr>
                <w:sz w:val="24"/>
                <w:szCs w:val="24"/>
                <w:color w:val="auto"/>
              </w:rPr>
            </w:pPr>
          </w:p>
        </w:tc>
        <w:tc>
          <w:tcPr>
            <w:tcW w:w="3360" w:type="dxa"/>
            <w:vAlign w:val="bottom"/>
            <w:gridSpan w:val="3"/>
          </w:tcPr>
          <w:p>
            <w:pPr>
              <w:jc w:val="right"/>
              <w:ind w:right="587"/>
              <w:spacing w:after="0"/>
              <w:rPr>
                <w:sz w:val="20"/>
                <w:szCs w:val="20"/>
                <w:color w:val="auto"/>
              </w:rPr>
            </w:pPr>
            <w:r>
              <w:rPr>
                <w:rFonts w:ascii="Courier New" w:cs="Courier New" w:eastAsia="Courier New" w:hAnsi="Courier New"/>
                <w:sz w:val="15"/>
                <w:szCs w:val="15"/>
                <w:color w:val="auto"/>
              </w:rPr>
              <w:t>(millions of unit cases)</w:t>
            </w:r>
          </w:p>
        </w:tc>
        <w:tc>
          <w:tcPr>
            <w:tcW w:w="1180" w:type="dxa"/>
            <w:vAlign w:val="bottom"/>
          </w:tcPr>
          <w:p>
            <w:pPr>
              <w:spacing w:after="0"/>
              <w:rPr>
                <w:sz w:val="24"/>
                <w:szCs w:val="24"/>
                <w:color w:val="auto"/>
              </w:rPr>
            </w:pPr>
          </w:p>
        </w:tc>
      </w:tr>
      <w:tr>
        <w:trPr>
          <w:trHeight w:val="168"/>
        </w:trPr>
        <w:tc>
          <w:tcPr>
            <w:tcW w:w="4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Total.......................................</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115.6</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129.9</w:t>
            </w:r>
          </w:p>
        </w:tc>
        <w:tc>
          <w:tcPr>
            <w:tcW w:w="16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121.5</w:t>
            </w: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3"/>
              </w:rPr>
              <w:t>126.1</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118.4</w:t>
            </w:r>
          </w:p>
        </w:tc>
      </w:tr>
      <w:tr>
        <w:trPr>
          <w:trHeight w:val="168"/>
        </w:trPr>
        <w:tc>
          <w:tcPr>
            <w:tcW w:w="4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 Growth....................................</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(11.0)%</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6.9%</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(3.7)%</w:t>
            </w: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6.5%</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14.8%</w:t>
            </w:r>
          </w:p>
        </w:tc>
      </w:tr>
    </w:tbl>
    <w:p>
      <w:pPr>
        <w:spacing w:after="0" w:line="200" w:lineRule="exact"/>
        <w:rPr>
          <w:sz w:val="20"/>
          <w:szCs w:val="20"/>
          <w:color w:val="auto"/>
        </w:rPr>
      </w:pPr>
    </w:p>
    <w:p>
      <w:pPr>
        <w:spacing w:after="0" w:line="303" w:lineRule="exact"/>
        <w:rPr>
          <w:sz w:val="20"/>
          <w:szCs w:val="20"/>
          <w:color w:val="auto"/>
        </w:rPr>
      </w:pPr>
    </w:p>
    <w:p>
      <w:pPr>
        <w:ind w:left="440" w:hanging="430"/>
        <w:spacing w:after="0"/>
        <w:tabs>
          <w:tab w:leader="none" w:pos="44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Including Hi-C</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2002, 2.25-liter and 1.5-liter non-returnable plastic bottles accounted for 47.2% and 18.5% of total soft drink sales volume, respectively. In order to minimize the impact of the deteriorated economic situation in Argentina, Coca-Cola FEMSA launched new returnable presentations such as a 1.25-liter returnable glass presentation, which accounted for almost 10% of Coca-Cola FEMSA's sales volume in 2002, to increase the affordability of Coca-Cola FEMSA's products in this territory.</w:t>
      </w:r>
    </w:p>
    <w:p>
      <w:pPr>
        <w:spacing w:after="0" w:line="176"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The following table sets forth Coca-Cola FEMSA's unit case volume mix by presentation in the Buenos Aires Territory:</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0" w:type="dxa"/>
            <w:vAlign w:val="bottom"/>
            <w:gridSpan w:val="3"/>
          </w:tcPr>
          <w:p>
            <w:pPr>
              <w:jc w:val="right"/>
              <w:ind w:right="467"/>
              <w:spacing w:after="0"/>
              <w:rPr>
                <w:sz w:val="20"/>
                <w:szCs w:val="20"/>
                <w:color w:val="auto"/>
              </w:rPr>
            </w:pPr>
            <w:r>
              <w:rPr>
                <w:rFonts w:ascii="Courier New" w:cs="Courier New" w:eastAsia="Courier New" w:hAnsi="Courier New"/>
                <w:sz w:val="15"/>
                <w:szCs w:val="15"/>
                <w:color w:val="auto"/>
              </w:rPr>
              <w:t>Year ended December 31,</w:t>
            </w:r>
          </w:p>
        </w:tc>
        <w:tc>
          <w:tcPr>
            <w:tcW w:w="860" w:type="dxa"/>
            <w:vAlign w:val="bottom"/>
          </w:tcPr>
          <w:p>
            <w:pPr>
              <w:spacing w:after="0"/>
              <w:rPr>
                <w:sz w:val="14"/>
                <w:szCs w:val="14"/>
                <w:color w:val="auto"/>
              </w:rPr>
            </w:pPr>
          </w:p>
        </w:tc>
      </w:tr>
      <w:tr>
        <w:trPr>
          <w:trHeight w:val="168"/>
        </w:trPr>
        <w:tc>
          <w:tcPr>
            <w:tcW w:w="4260" w:type="dxa"/>
            <w:vAlign w:val="bottom"/>
          </w:tcPr>
          <w:p>
            <w:pPr>
              <w:spacing w:after="0"/>
              <w:rPr>
                <w:sz w:val="14"/>
                <w:szCs w:val="14"/>
                <w:color w:val="auto"/>
              </w:rPr>
            </w:pPr>
          </w:p>
        </w:tc>
        <w:tc>
          <w:tcPr>
            <w:tcW w:w="484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 --------- ---------- ---------- ----------</w:t>
            </w:r>
          </w:p>
        </w:tc>
      </w:tr>
      <w:tr>
        <w:trPr>
          <w:trHeight w:val="168"/>
        </w:trPr>
        <w:tc>
          <w:tcPr>
            <w:tcW w:w="4260" w:type="dxa"/>
            <w:vAlign w:val="bottom"/>
          </w:tcPr>
          <w:p>
            <w:pPr>
              <w:spacing w:after="0"/>
              <w:rPr>
                <w:sz w:val="14"/>
                <w:szCs w:val="14"/>
                <w:color w:val="auto"/>
              </w:rPr>
            </w:pP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2002</w:t>
            </w: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2001</w:t>
            </w:r>
          </w:p>
        </w:tc>
        <w:tc>
          <w:tcPr>
            <w:tcW w:w="10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2000</w:t>
            </w:r>
          </w:p>
        </w:tc>
        <w:tc>
          <w:tcPr>
            <w:tcW w:w="8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4"/>
              </w:rPr>
              <w:t>1999</w:t>
            </w: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4260" w:type="dxa"/>
            <w:vAlign w:val="bottom"/>
          </w:tcPr>
          <w:p>
            <w:pPr>
              <w:spacing w:after="0"/>
              <w:rPr>
                <w:sz w:val="14"/>
                <w:szCs w:val="14"/>
                <w:color w:val="auto"/>
              </w:rPr>
            </w:pPr>
          </w:p>
        </w:tc>
        <w:tc>
          <w:tcPr>
            <w:tcW w:w="484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 --------- ---------- ---------- ----------</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Unit Case Volume Mix by Presentation</w:t>
            </w:r>
          </w:p>
        </w:tc>
        <w:tc>
          <w:tcPr>
            <w:tcW w:w="1180" w:type="dxa"/>
            <w:vAlign w:val="bottom"/>
          </w:tcPr>
          <w:p>
            <w:pPr>
              <w:spacing w:after="0"/>
              <w:rPr>
                <w:sz w:val="14"/>
                <w:szCs w:val="14"/>
                <w:color w:val="auto"/>
              </w:rPr>
            </w:pPr>
          </w:p>
        </w:tc>
        <w:tc>
          <w:tcPr>
            <w:tcW w:w="2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(in percentages)</w:t>
            </w: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Buenos Aires</w:t>
            </w: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6"/>
        </w:trPr>
        <w:tc>
          <w:tcPr>
            <w:tcW w:w="4260" w:type="dxa"/>
            <w:vAlign w:val="bottom"/>
          </w:tcPr>
          <w:p>
            <w:pPr>
              <w:ind w:left="280"/>
              <w:spacing w:after="0"/>
              <w:rPr>
                <w:sz w:val="20"/>
                <w:szCs w:val="20"/>
                <w:color w:val="auto"/>
              </w:rPr>
            </w:pPr>
            <w:r>
              <w:rPr>
                <w:rFonts w:ascii="Courier New" w:cs="Courier New" w:eastAsia="Courier New" w:hAnsi="Courier New"/>
                <w:sz w:val="15"/>
                <w:szCs w:val="15"/>
                <w:color w:val="auto"/>
              </w:rPr>
              <w:t>Returnable.................................</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12.4%</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5.8%</w:t>
            </w:r>
          </w:p>
        </w:tc>
        <w:tc>
          <w:tcPr>
            <w:tcW w:w="10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9.8%</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10.3%</w:t>
            </w: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10.8%</w:t>
            </w:r>
          </w:p>
        </w:tc>
      </w:tr>
      <w:tr>
        <w:trPr>
          <w:trHeight w:val="168"/>
        </w:trPr>
        <w:tc>
          <w:tcPr>
            <w:tcW w:w="42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Non-returnable.............................</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82.9</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89.1</w:t>
            </w:r>
          </w:p>
        </w:tc>
        <w:tc>
          <w:tcPr>
            <w:tcW w:w="10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83.7</w:t>
            </w: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83.9</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83.3</w:t>
            </w:r>
          </w:p>
        </w:tc>
      </w:tr>
      <w:tr>
        <w:trPr>
          <w:trHeight w:val="168"/>
        </w:trPr>
        <w:tc>
          <w:tcPr>
            <w:tcW w:w="42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Fountain...................................</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4.7</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w:t>
            </w:r>
          </w:p>
        </w:tc>
        <w:tc>
          <w:tcPr>
            <w:tcW w:w="10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6.5</w:t>
            </w: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5.8</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5.9</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Marketing</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Coca-Cola FEMSA relies extensively on advertising, sales promotions and non-price related retailer incentive programs designed by local affiliates of The Coca-Cola Company to target the particular preferences of its soft drink consumers. Coca-Cola FEMSA, in conjunction with The Coca-Cola Company, has developed a sophisticated marketing strategy to promote the sale and consumption of Coca-Cola FEMSA's products. Through the use of advanced information technology, Coca-Cola FEMSA has gained customer and consumer information that allows Coca-Cola FEMSA to tailor its marketing strategies to the types of customers located in each of its territories and to meet the specific needs of the various market segments Coca-Cola FEMSA serves.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Retailer Incentive Programs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Incentive programs include providing retailers with commercial refrigerators for the display and cooling of soft drink products at little or no charge, free point-of-sale display materials and complimentary soft drink products. Coca-Cola FEMSA seeks, in particular, to increase the number of distribution coolers among retailers to increase the visibility and consumption of its products and to ensure that they are sold at the proper temperature. Sales promotions include sponsorship of community activities, sporting, cultural and social events and consumer sales promotions such as contests, sweepstakes and product giveaways.</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39"/>
          </w:cols>
          <w:pgMar w:left="220" w:top="624" w:right="1440" w:bottom="1440" w:gutter="0" w:footer="0" w:header="0"/>
        </w:sectPr>
      </w:pPr>
    </w:p>
    <w:bookmarkStart w:id="53" w:name="page54"/>
    <w:bookmarkEnd w:id="53"/>
    <w:p>
      <w:pPr>
        <w:ind w:left="440"/>
        <w:spacing w:after="0"/>
        <w:rPr>
          <w:sz w:val="20"/>
          <w:szCs w:val="20"/>
          <w:color w:val="auto"/>
        </w:rPr>
      </w:pPr>
      <w:r>
        <w:rPr>
          <w:rFonts w:ascii="Courier New" w:cs="Courier New" w:eastAsia="Courier New" w:hAnsi="Courier New"/>
          <w:sz w:val="15"/>
          <w:szCs w:val="15"/>
          <w:color w:val="auto"/>
        </w:rPr>
        <w:t>Advertising</w:t>
      </w:r>
    </w:p>
    <w:p>
      <w:pPr>
        <w:spacing w:after="0" w:line="173"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In addition, Coca-Cola FEMSA advertises in all major communications media. Coca-Cola FEMSA also focuses attention on increasing brand recognition by consumers and improving its customer relations. National advertising campaigns are designed and proposed by The Coca-Cola Company's local affiliates, with Coca-Cola FEMSA's input at the local or regional level.</w:t>
      </w:r>
    </w:p>
    <w:p>
      <w:pPr>
        <w:spacing w:after="0" w:line="15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Channel Marketing</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order to provide a more dynamic and specialized marketing of Coca-Cola FEMSA's products, Coca-Cola FEMSA's marketing strategy is to segment its market and develop targeted marketing efforts for each segment or distribution channel. This channel marketing strategy entails a comprehensive and detailed analysis of the purchasing patterns and preferences of various groups of soft drink consumers in each of the various types of locations or distribution channels where they might potentially purchase Coca-Cola trademark beverages. In response to this analysis, Coca-Cola FEMSA tailors its product, price, packaging and distribution strategies to meet the particular needs and exploit the potential of each channel.</w:t>
      </w:r>
    </w:p>
    <w:p>
      <w:pPr>
        <w:spacing w:after="0" w:line="179"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Coca-Cola FEMSA believes that the implementation of its channel marketing strategy also enables Coca-Cola FEMSA to respond to competitive initiatives with channel-specific responses as opposed to market-wide responses. This focused response capability isolates the effects of competitive pressure in a specific channel, thereby avoiding costlier market-wide responses. Coca-Cola FEMSA's channel marketing activities are facilitated by its management information systems. Coca-Cola FEMSA has invested significantly in creating such systems, including hand-held computers for most of its sales routes in the Valley of Mexico, Southeast of Mexico and Buenos Aires Territories to support the gathering of product, consumer and delivery information required to implement Coca-Cola FEMSA's channel marketing strategies effectively.</w:t>
      </w:r>
    </w:p>
    <w:p>
      <w:pPr>
        <w:spacing w:after="0" w:line="15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Cooperative Marketing Budget</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Coca-Cola FEMSA's total marketing expenditures made in the Mexican Territories increased 8.3% to Ps. 667.6 million in 2002 from Ps. 616.0 million in 2001. In the Buenos Aires Territory, Coca-Cola FEMSA's marketing expenditures decreased 38.5% to approximately Aps.15.2 million (Ps. 47.2 million) from Aps.24.7 million (Ps. 70.2 million) in 2001. Under the 2002 and 2001 cooperative marketing budgets, The Coca-Cola Company contributed to Coca-Cola FEMSA's marketing expenditures by approximately matching the amount Coca-Cola FEMSA spent on these marketing efforts in each respective year. See "--Bottler Agreements."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 Distribution</w:t>
      </w:r>
    </w:p>
    <w:p>
      <w:pPr>
        <w:spacing w:after="0" w:line="173" w:lineRule="exact"/>
        <w:rPr>
          <w:sz w:val="20"/>
          <w:szCs w:val="20"/>
          <w:color w:val="auto"/>
        </w:rPr>
      </w:pPr>
    </w:p>
    <w:p>
      <w:pPr>
        <w:ind w:right="3759" w:firstLine="437"/>
        <w:spacing w:after="0" w:line="261" w:lineRule="auto"/>
        <w:rPr>
          <w:sz w:val="20"/>
          <w:szCs w:val="20"/>
          <w:color w:val="auto"/>
        </w:rPr>
      </w:pPr>
      <w:r>
        <w:rPr>
          <w:rFonts w:ascii="Courier New" w:cs="Courier New" w:eastAsia="Courier New" w:hAnsi="Courier New"/>
          <w:sz w:val="14"/>
          <w:szCs w:val="14"/>
          <w:color w:val="auto"/>
        </w:rPr>
        <w:t>The following table provides an overview of Coca-Cola FEMSA's product distribution infrastructure and retail network as of December 31, 2002:</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58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Product Distribution Summary</w:t>
            </w:r>
          </w:p>
        </w:tc>
        <w:tc>
          <w:tcPr>
            <w:tcW w:w="660" w:type="dxa"/>
            <w:vAlign w:val="bottom"/>
          </w:tcPr>
          <w:p>
            <w:pPr>
              <w:spacing w:after="0"/>
              <w:rPr>
                <w:sz w:val="14"/>
                <w:szCs w:val="14"/>
                <w:color w:val="auto"/>
              </w:rPr>
            </w:pPr>
          </w:p>
        </w:tc>
      </w:tr>
      <w:tr>
        <w:trPr>
          <w:trHeight w:val="336"/>
        </w:trPr>
        <w:tc>
          <w:tcPr>
            <w:tcW w:w="10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5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Mexico Argentina</w:t>
            </w:r>
          </w:p>
        </w:tc>
        <w:tc>
          <w:tcPr>
            <w:tcW w:w="660" w:type="dxa"/>
            <w:vAlign w:val="bottom"/>
          </w:tcPr>
          <w:p>
            <w:pPr>
              <w:spacing w:after="0"/>
              <w:rPr>
                <w:sz w:val="24"/>
                <w:szCs w:val="24"/>
                <w:color w:val="auto"/>
              </w:rPr>
            </w:pP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Distribution</w:t>
            </w:r>
          </w:p>
        </w:tc>
        <w:tc>
          <w:tcPr>
            <w:tcW w:w="1220" w:type="dxa"/>
            <w:vAlign w:val="bottom"/>
          </w:tcPr>
          <w:p>
            <w:pPr>
              <w:jc w:val="right"/>
              <w:spacing w:after="0"/>
              <w:rPr>
                <w:sz w:val="20"/>
                <w:szCs w:val="20"/>
                <w:color w:val="auto"/>
              </w:rPr>
            </w:pPr>
            <w:r>
              <w:rPr>
                <w:rFonts w:ascii="Courier New" w:cs="Courier New" w:eastAsia="Courier New" w:hAnsi="Courier New"/>
                <w:sz w:val="12"/>
                <w:szCs w:val="12"/>
                <w:color w:val="auto"/>
                <w:w w:val="75"/>
              </w:rPr>
              <w:t>Centers...............</w:t>
            </w:r>
          </w:p>
        </w:tc>
        <w:tc>
          <w:tcPr>
            <w:tcW w:w="25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53</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Sales Routes</w:t>
            </w:r>
          </w:p>
        </w:tc>
        <w:tc>
          <w:tcPr>
            <w:tcW w:w="1220" w:type="dxa"/>
            <w:vAlign w:val="bottom"/>
          </w:tcPr>
          <w:p>
            <w:pPr>
              <w:jc w:val="right"/>
              <w:spacing w:after="0"/>
              <w:rPr>
                <w:sz w:val="20"/>
                <w:szCs w:val="20"/>
                <w:color w:val="auto"/>
              </w:rPr>
            </w:pPr>
            <w:r>
              <w:rPr>
                <w:rFonts w:ascii="Courier New" w:cs="Courier New" w:eastAsia="Courier New" w:hAnsi="Courier New"/>
                <w:sz w:val="12"/>
                <w:szCs w:val="12"/>
                <w:color w:val="auto"/>
                <w:w w:val="72"/>
              </w:rPr>
              <w:t>.......................</w:t>
            </w:r>
          </w:p>
        </w:tc>
        <w:tc>
          <w:tcPr>
            <w:tcW w:w="25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1,486</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201</w:t>
            </w:r>
          </w:p>
        </w:tc>
      </w:tr>
      <w:tr>
        <w:trPr>
          <w:trHeight w:val="168"/>
        </w:trPr>
        <w:tc>
          <w:tcPr>
            <w:tcW w:w="22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71"/>
              </w:rPr>
              <w:t>Number of Retailers (1)............</w:t>
            </w:r>
          </w:p>
        </w:tc>
        <w:tc>
          <w:tcPr>
            <w:tcW w:w="25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283,650</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76,400</w:t>
            </w:r>
          </w:p>
        </w:tc>
      </w:tr>
    </w:tbl>
    <w:p>
      <w:pPr>
        <w:spacing w:after="0" w:line="166" w:lineRule="exact"/>
        <w:rPr>
          <w:sz w:val="20"/>
          <w:szCs w:val="20"/>
          <w:color w:val="auto"/>
        </w:rPr>
      </w:pPr>
    </w:p>
    <w:p>
      <w:pPr>
        <w:ind w:left="540" w:hanging="530"/>
        <w:spacing w:after="0"/>
        <w:tabs>
          <w:tab w:leader="none" w:pos="54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Estimated</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Mexican Territories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Coca-Cola FEMSA subcontracts to its affiliate FEMSA Logistica the transportation of finished products to Coca-Cola FEMSA's distribution centers from its Mexican production facilities. From the distribution centers, Coca-Cola FEMSA then distributes its finished products to retailers through Coca-Cola FEMSA's own fleet of trucks. Coca-Cola FEMSA's distribution centers range from large warehousing facilities and re-loading centers to small deposit centers. In addition to Coca-Cola FEMSA's fleet of trucks, Coca-Cola FEMSA distributes its products in certain locations through a fleet of electric carts and hand-trucks in order to comply with local environmental and traffic regulations.</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39"/>
          </w:cols>
          <w:pgMar w:left="220" w:top="617" w:right="1440" w:bottom="1440" w:gutter="0" w:footer="0" w:header="0"/>
        </w:sectPr>
      </w:pPr>
    </w:p>
    <w:bookmarkStart w:id="54" w:name="page55"/>
    <w:bookmarkEnd w:id="54"/>
    <w:p>
      <w:pPr>
        <w:ind w:right="3239" w:firstLine="437"/>
        <w:spacing w:after="0" w:line="236" w:lineRule="auto"/>
        <w:rPr>
          <w:sz w:val="20"/>
          <w:szCs w:val="20"/>
          <w:color w:val="auto"/>
        </w:rPr>
      </w:pPr>
      <w:r>
        <w:rPr>
          <w:rFonts w:ascii="Courier New" w:cs="Courier New" w:eastAsia="Courier New" w:hAnsi="Courier New"/>
          <w:sz w:val="15"/>
          <w:szCs w:val="15"/>
          <w:color w:val="auto"/>
        </w:rPr>
        <w:t>Coca-Cola FEMSA believes that service visits to retailers and frequency of deliveries are essential elements in an effective distribution system for soft drink products. Accordingly, Coca-Cola FEMSA has continued to expand its pre-sale system in the Valley of Mexico Territory and throughout the main cities in the Southeast of Mexico Territory. The pre-sale program separates the sales and delivery functions, allowing sales personnel to sell products prior to delivery and enabling trucks to be loaded with the mix of products that retailers need and desire, thereby increasing distribution efficiency. Under the pre-sale program, sales personnel also provide merchandising services during retailer visits, which Coca-Cola FEMSA believes enhances the presentation of its products at the point of sale.</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Buenos Aires Territory</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At December 31, 2002, Coca-Cola FEMSA operated three distribution centers in the Buenos Aires Territory. Coca-Cola FEMSA also utilizes the pre-sale system in the Buenos Aires Territory and distributes its products by means of its own fleet of trucks and non-affiliate transportation subcontractors and through independent wholesalers. In addition, in designated zones independent wholesalers purchase Coca-Cola FEMSA's products at a discount from the wholesale price and resell the products to retailers. Independent wholesalers distributed approximately 6% of Coca-Cola FEMSA's products in Argentina in 2002.</w:t>
      </w:r>
    </w:p>
    <w:p>
      <w:pPr>
        <w:spacing w:after="0" w:line="166"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At December 31, 2002, Coca-Cola FEMSA made approximately 92% and 94% of its sales through the pre-sale system in Coca-Cola FEMSA's Mexican and Buenos Aires Territories, respectively.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Although Coca-Cola FEMSA believes that its products enjoy wider recognition and greater consumer loyalty than those of its principal competitors, the soft drink segments of the Mexican and Argentine beverage markets are highly competitive. Coca-Cola FEMSA's principal competitors are local bottlers of PepsiCo, beverage brands and other bottlers and distributors of national and regional soft drink brands. PBG recently bought Coca-Cola FEMSA's main competitor in Mexico. Coca-Cola FEMSA faces increased competition in many of its territories from producers of low cost beverages, commonly referred to as "B" brands.</w:t>
      </w:r>
    </w:p>
    <w:p>
      <w:pPr>
        <w:spacing w:after="0" w:line="178"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Recently, price discounting and packaging have joined consumer sales promotions, customer service, and non-price retailer incentives as the primary means of competition among soft drink bottlers. Coca-Cola FEMSA believes that the introduction of new presentations has been a major competitive technique in the soft drink industry during recent years. See "--Sales."</w:t>
      </w:r>
    </w:p>
    <w:p>
      <w:pPr>
        <w:spacing w:after="0" w:line="16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Coca-Cola FEMSA's ability to maintain existing prices or implement price increases depends to a great extent on competitive conditions and the effect of such prices on sales volume. Price discounting has been a means of maintaining or increasing sales volume share in our territories. As a result of the Panamco acquisition, Coca-Cola FEMSA now faces competitive pressures that are different than those it has historically faced. In Brazil, Coca-Cola FEMSA competes against both AmBev, a Brazilian company with a portfolio of brands that includes Pepsi and local brands with flavors such as guarana, and "B" brands or "Tubainas," which are small, local, producers of low cost flavored soft drinks that represent an important portion of the soft drink market. In addition, distribution and marketing practices in some of these territories differ from Coca-Cola FEMSA's historical practices. Several of Panamco's territories have a lower level of pre-sale as a percentage of total distribution than Coca-Cola FEMSA is accustomed to having in its territories, and the product and presentation mix varies from territory to territory with customer preferences. Coca-Cola FEMSA may have to adapt its marketing and distribution strategies to effectively compete. Coca-Cola FEMSA's inability to compete effectively may have an adverse effect on Coca-Cola FEMSA's future operating results.</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Coca-Cola FEMSA's principal competitors in the Mexican Territories are bottlers of PepsiCo products, whose territories overlap but are not co-extensive with its own. These competitors include Pepsi Gemex in the Valley of Mexico Territory, recently acquired by PBG, the largest bottler of PepsiCo globally, and several other PepsiCo bottlers in the Southeast of Mexico Territory. In addition, Coca-Cola FEMSA competes with Cadbury and with national and regional brands in both of Coca-Cola FEMSA's Mexican Territories.</w:t>
      </w:r>
    </w:p>
    <w:p>
      <w:pPr>
        <w:spacing w:after="0" w:line="32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39"/>
          </w:cols>
          <w:pgMar w:left="220" w:top="624" w:right="1440" w:bottom="1440" w:gutter="0" w:footer="0" w:header="0"/>
        </w:sectPr>
      </w:pPr>
    </w:p>
    <w:bookmarkStart w:id="55" w:name="page56"/>
    <w:bookmarkEnd w:id="55"/>
    <w:p>
      <w:pPr>
        <w:ind w:right="3319" w:firstLine="437"/>
        <w:spacing w:after="0" w:line="255" w:lineRule="auto"/>
        <w:rPr>
          <w:sz w:val="20"/>
          <w:szCs w:val="20"/>
          <w:color w:val="auto"/>
        </w:rPr>
      </w:pPr>
      <w:r>
        <w:rPr>
          <w:rFonts w:ascii="Courier New" w:cs="Courier New" w:eastAsia="Courier New" w:hAnsi="Courier New"/>
          <w:sz w:val="14"/>
          <w:szCs w:val="14"/>
          <w:color w:val="auto"/>
        </w:rPr>
        <w:t>In the Buenos Aires Territory, Coca-Cola FEMSA's main competitor is BAESA, a PepsiCo bottler, which is owned by Argentina's principal brewery, Quilmes Industrial S.A. In addition to BAESA, competition has intensified over the last several years with the entrance of a number of competitors offering generic, low-priced soft drinks as well as many other generic products and private label proprietary supermarket brands that are produced by contract bottlers.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Seasonality</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Sales of Coca-Cola FEMSA's products are seasonal, as Coca-Cola FEMSA's sales levels generally increase during the summer and the Christmas holiday season. In the Mexican Territories, Coca-Cola FEMSA typically achieves its highest sales during the summer months (April through September) as well as during the Christmas holidays in December. In the Buenos Aires Territory, Coca-Cola FEMSA's highest sales levels occur during the summer months (October through March) and the Christmas holidays.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Raw Materials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Pursuant to the bottler agreements with The Coca-Cola Company, Coca-Cola FEMSA is required to purchase concentrate for all Coca-Cola trademark beverages from companies designated by The Coca-Cola Company. The price of concentrate for all Coca-Cola trademark beverages is a percentage of the average price Coca-Cola FEMSA charges to its retailers that is set pursuant to periodic negotiations with The Coca-Cola Company. Historically, concentrate has been purchased in the local currency of the territory. In addition to concentrates, Coca-Cola FEMSA purchases sweeteners, carbon dioxide, glass and plastic bottles, cans, closures and fountain containers, as well as other packaging materials. The bottler agreements provide that, with respect to Coca-Cola trademark beverages, all containers, closures, cases, cartons and other packages and labels may be purchased only from manufacturers approved by The Coca-Cola Company, which includes FEMSA Empaques.</w:t>
      </w:r>
    </w:p>
    <w:p>
      <w:pPr>
        <w:spacing w:after="0" w:line="33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None of the materials or supplies that Coca-Cola FEMSA uses is presently in short supply, although the supply of specific materials could be affected by strikes, weather conditions, governmental controls or national emergency situations.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Mexican Territories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Coca-Cola FEMSA purchases some glass bottles, closures, plastic cases, cardboard products, commercial refrigerators and certain lubricants and detergents for bottling lines from subsidiaries of FEMSA Empaques at competitive prices. Coca-Cola FEMSA purchases its returnable plastic bottles from Continental PET Technologies de Mexico, S.A. de C.V, a subsidiary of Continental Can, Inc., which has been the exclusive supplier of returnable plastic bottles to The Coca-Cola Company and its bottlers in Mexico. Coca-Cola FEMSA purchases the large majority of its non-returnable plastic bottles, as well as pre-formed plastic ingots for the production of non-returnable plastic bottles, from ALPLA Fabrica de Plasticos, S.A. de C.V., an authorized provider of PET for The Coca-Cola Company.</w:t>
      </w:r>
    </w:p>
    <w:p>
      <w:pPr>
        <w:spacing w:after="0" w:line="180" w:lineRule="exact"/>
        <w:rPr>
          <w:sz w:val="20"/>
          <w:szCs w:val="20"/>
          <w:color w:val="auto"/>
        </w:rPr>
      </w:pPr>
    </w:p>
    <w:p>
      <w:pPr>
        <w:jc w:val="both"/>
        <w:ind w:right="3239" w:firstLine="437"/>
        <w:spacing w:after="0" w:line="256" w:lineRule="auto"/>
        <w:rPr>
          <w:sz w:val="20"/>
          <w:szCs w:val="20"/>
          <w:color w:val="auto"/>
        </w:rPr>
      </w:pPr>
      <w:r>
        <w:rPr>
          <w:rFonts w:ascii="Courier New" w:cs="Courier New" w:eastAsia="Courier New" w:hAnsi="Courier New"/>
          <w:sz w:val="14"/>
          <w:szCs w:val="14"/>
          <w:color w:val="auto"/>
        </w:rPr>
        <w:t>Coca-Cola FEMSA purchases some can presentations from Industria Envasadora de Queretaro, S.A. de C.V. ("IEQSA"), a bottler cooperative in which it holds an approximate 19.6% interest. Both Coca-Cola FEMSA and IEQSA purchase a portion of their empty can supply requirements from Famosa, a subsidiary of FEMSA Empaques.</w:t>
      </w:r>
    </w:p>
    <w:p>
      <w:pPr>
        <w:spacing w:after="0" w:line="164"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Coca-Cola FEMSA obtains water from groundwater sources under concessions obtained from the Mexican government and held by Coca-Cola FEMSA's various subsidiaries. Coca-Cola FEMSA also obtains water from the municipalities where bottling plants are located. See "--Regulatory Matters--Water Supply Law." Coca-Cola FEMSA believes that such sources provide an adequate supply of water to meet Coca-Cola FEMSA's current and projected requirements in Mexico. In addition, Coca-Cola FEMSA obtains carbon dioxide gas from domestic sources.</w:t>
      </w:r>
    </w:p>
    <w:p>
      <w:pPr>
        <w:spacing w:after="0" w:line="32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39"/>
          </w:cols>
          <w:pgMar w:left="220" w:top="624" w:right="1440" w:bottom="1440" w:gutter="0" w:footer="0" w:header="0"/>
        </w:sectPr>
      </w:pPr>
    </w:p>
    <w:bookmarkStart w:id="56" w:name="page57"/>
    <w:bookmarkEnd w:id="56"/>
    <w:p>
      <w:pPr>
        <w:ind w:right="3239" w:firstLine="437"/>
        <w:spacing w:after="0" w:line="236" w:lineRule="auto"/>
        <w:rPr>
          <w:sz w:val="20"/>
          <w:szCs w:val="20"/>
          <w:color w:val="auto"/>
        </w:rPr>
      </w:pPr>
      <w:r>
        <w:rPr>
          <w:rFonts w:ascii="Courier New" w:cs="Courier New" w:eastAsia="Courier New" w:hAnsi="Courier New"/>
          <w:sz w:val="15"/>
          <w:szCs w:val="15"/>
          <w:color w:val="auto"/>
        </w:rPr>
        <w:t>Sweeteners are combined with water to produce basic syrup, which is added to the concentrate as the sweetener for the soft drink. Coca-Cola FEMSA may utilize raw or refined sugar or HFCS as sweeteners in its products. The Coca-Cola Company authorizes the use of a sugar/HFCS mix. Coca-Cola FEMSA has discontinued, however, using HFCS due to the Mexican excise tax imposed in January 2002 to soft drinks sweetened with HFCS. Aspartame, an artificial sweetener for diet sodas, is included in the concentrates of Coca-Cola light and Sprite light, which are purchased from The Coca-Cola Company, and Mundet light, which is purchased from Promotora de Marcas Nacionales, S.A. de C.V.</w:t>
      </w:r>
    </w:p>
    <w:p>
      <w:pPr>
        <w:spacing w:after="0" w:line="17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Coca-Cola FEMSA regularly purchases sugar from Promotora Mexicana de Embotelladoras, S.A. de C.V., ("PROMESA"), a cooperative of Coca-Cola bottlers. These purchases are regularly made under one-year agreements between PROMESA and each bottling subsidiary for the sale of sugar at a price that is determined monthly based on the cost of sugar to PROMESA. The agreements incorporated by reference standard industry provisions relating to the quality and delivery of the sugar.</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December 2001, the Mexican government expropriated the sugar industry in Mexico. To administer this industry, the Mexican government entered into a trust agreement with Nacional Financiera, S.N.C. ("Nafin"), a Mexican government-owned development bank, pursuant to which Nafin acts as trustee. During 2002, Coca-Cola FEMSA also purchased sugar directly from Nafin.</w:t>
      </w:r>
    </w:p>
    <w:p>
      <w:pPr>
        <w:spacing w:after="0" w:line="174"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Sugar may also be obtained through purchases in the international market. However, imported sugar is presently subject to import duties, the amount of which is set by the Mexican government. Although there are currently no statutory price controls for sugar in Mexico, increases in the price of sugar, which may occur in the event that import duties increase or import restrictions on sugar are imposed, will increase Coca-Cola FEMSA's cost of sales. To the extent Coca-Cola FEMSA is unable to pass along their full amount to the consumer, such increases would affect Coca-Cola FEMSA's cost of sales.</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Historically, Coca-Cola FEMSA has bought HFCS from domestic sources at prices competitive to the price of sugar. In 2001, the Mexican government imposed a 20% excise tax, effective January 1, 2002, on carbonated soft drinks sweetened with HFCS. As a result Coca-Cola FEMSA converted its Mexican bottling facilities to sugar-cane-based production in early 2002. On January 1, 2003, the Mexican government broadened the reach of this tax by imposing, a 20% excise tax on carbonated soft drinks produced with any non-sugar sweetener, including HFCS.</w:t>
      </w:r>
    </w:p>
    <w:p>
      <w:pPr>
        <w:spacing w:after="0" w:line="166"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The following table set forth the average real price increase or decrease of sugar as purchased from Coca-Cola FEMSA's suppliers over the course of each year.</w:t>
      </w:r>
    </w:p>
    <w:p>
      <w:pPr>
        <w:spacing w:after="0" w:line="17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Average Real Price Increase (Decrease) of Sugar in the Mexican Territories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2002</w:t>
            </w:r>
          </w:p>
        </w:tc>
        <w:tc>
          <w:tcPr>
            <w:tcW w:w="880" w:type="dxa"/>
            <w:vAlign w:val="bottom"/>
          </w:tcPr>
          <w:p>
            <w:pPr>
              <w:jc w:val="center"/>
              <w:ind w:left="7"/>
              <w:spacing w:after="0"/>
              <w:rPr>
                <w:sz w:val="20"/>
                <w:szCs w:val="20"/>
                <w:color w:val="auto"/>
              </w:rPr>
            </w:pPr>
            <w:r>
              <w:rPr>
                <w:rFonts w:ascii="Courier New" w:cs="Courier New" w:eastAsia="Courier New" w:hAnsi="Courier New"/>
                <w:sz w:val="15"/>
                <w:szCs w:val="15"/>
                <w:color w:val="auto"/>
                <w:w w:val="99"/>
              </w:rPr>
              <w:t>2001</w:t>
            </w:r>
          </w:p>
        </w:tc>
        <w:tc>
          <w:tcPr>
            <w:tcW w:w="9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2000</w:t>
            </w:r>
          </w:p>
        </w:tc>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1999</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r>
      <w:tr>
        <w:trPr>
          <w:trHeight w:val="168"/>
        </w:trPr>
        <w:tc>
          <w:tcPr>
            <w:tcW w:w="33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Change over previous year (1)   4.6%</w:t>
            </w:r>
          </w:p>
        </w:tc>
        <w:tc>
          <w:tcPr>
            <w:tcW w:w="88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6"/>
              </w:rPr>
              <w:t>(6.3)%</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(10.2)%</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(12.7)%</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w:t>
            </w:r>
          </w:p>
        </w:tc>
      </w:tr>
    </w:tbl>
    <w:p>
      <w:pPr>
        <w:spacing w:after="0" w:line="173" w:lineRule="exact"/>
        <w:rPr>
          <w:sz w:val="20"/>
          <w:szCs w:val="20"/>
          <w:color w:val="auto"/>
        </w:rPr>
      </w:pPr>
    </w:p>
    <w:p>
      <w:pPr>
        <w:ind w:left="440" w:right="3319" w:hanging="430"/>
        <w:spacing w:after="0" w:line="235" w:lineRule="auto"/>
        <w:tabs>
          <w:tab w:leader="none" w:pos="44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the imposition of a Mexican excise tax on soft drinks sweetened with HFCS on January 1, 2002, Coca-Cola FEMSA purchased greater amounts of refined sugar than in the past, which increased its sugar costs.</w:t>
      </w:r>
    </w:p>
    <w:p>
      <w:pPr>
        <w:spacing w:after="0" w:line="342"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Of the raw materials required in the bottling of its products, the prices of aluminum cans, plastic bottles, bottle closures (both steel and plastic), other packaging materials and HFCS are quoted in U.S. Dollars and therefore are affected by the fluctuation of the Mexican Peso against the U.S. Dollar. Coca-Cola FEMSA has historically passed on increases in these costs to its customers in the form of price increases. During 2002, the average real unit price in Mexican Pesos of these Dollar-denominated costs increased as a result of the appreciation of the Mexican Peso against the U.S. Dollar. Except for those discussed in this paragraph, Coca-Cola FEMSA purchases all of its raw materials for its Mexican Territories in Pesos, including soft drink concentrate.</w:t>
      </w:r>
    </w:p>
    <w:p>
      <w:pPr>
        <w:spacing w:after="0" w:line="3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39"/>
          </w:cols>
          <w:pgMar w:left="220" w:top="624" w:right="1440" w:bottom="1440" w:gutter="0" w:footer="0" w:header="0"/>
        </w:sectPr>
      </w:pPr>
    </w:p>
    <w:bookmarkStart w:id="57" w:name="page58"/>
    <w:bookmarkEnd w:id="57"/>
    <w:p>
      <w:pPr>
        <w:ind w:left="440"/>
        <w:spacing w:after="0"/>
        <w:rPr>
          <w:sz w:val="20"/>
          <w:szCs w:val="20"/>
          <w:color w:val="auto"/>
        </w:rPr>
      </w:pPr>
      <w:r>
        <w:rPr>
          <w:rFonts w:ascii="Courier New" w:cs="Courier New" w:eastAsia="Courier New" w:hAnsi="Courier New"/>
          <w:sz w:val="15"/>
          <w:szCs w:val="15"/>
          <w:color w:val="auto"/>
        </w:rPr>
        <w:t>Buenos Aires Territory</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Coca-Cola FEMSA purchases glass bottles, plastic trays and other raw materials from several domestic sources. Coca-Cola FEMSA purchases pre-formed plastic ingots, as well as returnable plastic bottles, at competitive prices from Complejo Industrial PET S.A. ("CIPET"), a local subsidiary of Embotelladora Andina S.A., a Coca-Cola bottler with operations in Argentina, Chile and Brazil, and other international suppliers. Coca-Cola FEMSA purchases crown caps from local and international suppliers.</w:t>
      </w:r>
    </w:p>
    <w:p>
      <w:pPr>
        <w:spacing w:after="0" w:line="176"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Coca-Cola FEMSA purchases its can presentations for distribution to its customers in Buenos Aires from Complejo Industrial CAN S.A. ("CICAN"). In December 1996, The Coca-Cola Company sold CICAN to a group of bottlers that included Coca-Cola FEMSA de Buenos Aires. Under the terms of the shareholders' agreement among these bottlers, CICAN is managed as a joint venture. As of December 31, 2002, Coca-Cola FEMSA de Buenos Aires owned a 48.1% equity in CICAN.</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Coca-Cola FEMSA obtains water for its plant in Buenos Aires from Aguas Argentinas S.A., a private company responsible for managing the public water supply. Coca-Cola FEMSA believes that this source provides an adequate supply of water to meet the needs for its Argentine operations. Praxair Argentina S.A. provides Coca-Cola FEMSA's requirements of carbon dioxide gas.</w:t>
      </w:r>
    </w:p>
    <w:p>
      <w:pPr>
        <w:spacing w:after="0" w:line="174"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In Argentina, Coca-Cola FEMSA principally uses HFCS sweetener in its products, although it may use sugar in the future. Aspartame, an artificial sweetener for diet sodas, is included in the concentrate of Coca-Cola light and Sprite light, which Coca-Cola FEMSA purchases from The Coca-Cola Company.</w:t>
      </w:r>
    </w:p>
    <w:p>
      <w:pPr>
        <w:spacing w:after="0" w:line="16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following table sets forth the average real price increase or decrease of HFCS as purchased form Coca-Cola FEMSA's suppliers over the course of each year.</w:t>
      </w:r>
    </w:p>
    <w:p>
      <w:pPr>
        <w:spacing w:after="0" w:line="174"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Average Real Price Increase (Decrease) of HFCS in the Buenos Aires Territory</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00" w:type="dxa"/>
            <w:vAlign w:val="bottom"/>
          </w:tcPr>
          <w:p>
            <w:pPr>
              <w:spacing w:after="0"/>
              <w:rPr>
                <w:sz w:val="14"/>
                <w:szCs w:val="14"/>
                <w:color w:val="auto"/>
              </w:rPr>
            </w:pPr>
          </w:p>
        </w:tc>
        <w:tc>
          <w:tcPr>
            <w:tcW w:w="1320" w:type="dxa"/>
            <w:vAlign w:val="bottom"/>
          </w:tcPr>
          <w:p>
            <w:pPr>
              <w:ind w:left="620"/>
              <w:spacing w:after="0"/>
              <w:rPr>
                <w:sz w:val="20"/>
                <w:szCs w:val="20"/>
                <w:color w:val="auto"/>
              </w:rPr>
            </w:pPr>
            <w:r>
              <w:rPr>
                <w:rFonts w:ascii="Courier New" w:cs="Courier New" w:eastAsia="Courier New" w:hAnsi="Courier New"/>
                <w:sz w:val="15"/>
                <w:szCs w:val="15"/>
                <w:color w:val="auto"/>
              </w:rPr>
              <w:t>2002</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2001</w:t>
            </w:r>
          </w:p>
        </w:tc>
        <w:tc>
          <w:tcPr>
            <w:tcW w:w="960" w:type="dxa"/>
            <w:vAlign w:val="bottom"/>
          </w:tcPr>
          <w:p>
            <w:pPr>
              <w:jc w:val="center"/>
              <w:ind w:left="7"/>
              <w:spacing w:after="0"/>
              <w:rPr>
                <w:sz w:val="20"/>
                <w:szCs w:val="20"/>
                <w:color w:val="auto"/>
              </w:rPr>
            </w:pPr>
            <w:r>
              <w:rPr>
                <w:rFonts w:ascii="Courier New" w:cs="Courier New" w:eastAsia="Courier New" w:hAnsi="Courier New"/>
                <w:sz w:val="15"/>
                <w:szCs w:val="15"/>
                <w:color w:val="auto"/>
                <w:w w:val="99"/>
              </w:rPr>
              <w:t>2000</w:t>
            </w: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1999</w:t>
            </w:r>
          </w:p>
        </w:tc>
      </w:tr>
      <w:tr>
        <w:trPr>
          <w:trHeight w:val="168"/>
        </w:trPr>
        <w:tc>
          <w:tcPr>
            <w:tcW w:w="2800" w:type="dxa"/>
            <w:vAlign w:val="bottom"/>
          </w:tcPr>
          <w:p>
            <w:pPr>
              <w:spacing w:after="0"/>
              <w:rPr>
                <w:sz w:val="14"/>
                <w:szCs w:val="14"/>
                <w:color w:val="auto"/>
              </w:rPr>
            </w:pPr>
          </w:p>
        </w:tc>
        <w:tc>
          <w:tcPr>
            <w:tcW w:w="13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9"/>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Change over previous year</w:t>
            </w:r>
          </w:p>
        </w:tc>
        <w:tc>
          <w:tcPr>
            <w:tcW w:w="13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53.0%</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8.9%</w:t>
            </w:r>
          </w:p>
        </w:tc>
        <w:tc>
          <w:tcPr>
            <w:tcW w:w="96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6"/>
              </w:rPr>
              <w:t>(7.4)%</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(14.3)%</w:t>
            </w:r>
          </w:p>
        </w:tc>
      </w:tr>
    </w:tbl>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Purchases from FEMSA Empaques</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In 2002, Coca-Cola FEMSA purchased crown caps, plastic bottle caps, cans, commercial refrigerators, lubricants, detergents, plastic cases and substantially all of its returnable glass bottle requirements for its Mexican operations from FEMSA Empaques under several supply agreements. The aggregate amount of these purchases was Ps. 403.3 million in 2002. In addition, some canned beverages in the Mexican Territories are purchased from IEQSA, which in turn purchases a portion of empty cans from Famosa, a subsidiary of FEMSA Empaques.</w:t>
      </w:r>
    </w:p>
    <w:p>
      <w:pPr>
        <w:spacing w:after="0" w:line="171"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FEMSA Comercio</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Overview and Background</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FEMSA Comercio operates the largest chain of convenience stores in Mexico under the trade name Oxxo. As of December 31, 2002, FEMSA Comercio operated 2,216 Oxxo stores located in 24 states of the country, with a particularly strong presence in the northern part of Mexico. FEMSA Comercio also operated 60 Bara stores concentrated in the central region of Mexico.</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FEMSA Comercio, the largest single customer of FEMSA Cerveza and of the Coca-Cola system in Mexico, was established by FEMSA in 1978 when two Oxxo stores were opened in Monterrey, one store in Mexico City and another in Guadalajara. The motivating factor behind FEMSA's entrance into the retail industry was to enhance beer sales through company-owned retail outlets as well as to gather information on customer preferences. In 2002, sales of beer through Oxxo represented 4.5% of FEMSA Cerveza's domestic sales volume as well as approximately 13.3% of FEMSA Comercio's revenues. A typical Oxxo store carries 2,515 different SKUs in 37 main product categories, a figure which represents a significant increase in the number of products historically distributed in Oxxo stores.</w:t>
      </w:r>
    </w:p>
    <w:p>
      <w:pPr>
        <w:spacing w:after="0" w:line="3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39"/>
          </w:cols>
          <w:pgMar w:left="220" w:top="617" w:right="1440" w:bottom="1440" w:gutter="0" w:footer="0" w:header="0"/>
        </w:sectPr>
      </w:pPr>
    </w:p>
    <w:bookmarkStart w:id="58" w:name="page59"/>
    <w:bookmarkEnd w:id="58"/>
    <w:p>
      <w:pPr>
        <w:ind w:right="3319" w:firstLine="437"/>
        <w:spacing w:after="0" w:line="237" w:lineRule="auto"/>
        <w:rPr>
          <w:sz w:val="20"/>
          <w:szCs w:val="20"/>
          <w:color w:val="auto"/>
        </w:rPr>
      </w:pPr>
      <w:r>
        <w:rPr>
          <w:rFonts w:ascii="Courier New" w:cs="Courier New" w:eastAsia="Courier New" w:hAnsi="Courier New"/>
          <w:sz w:val="15"/>
          <w:szCs w:val="15"/>
          <w:color w:val="auto"/>
        </w:rPr>
        <w:t>In recent years, FEMSA Comercio has gained relevance as an effective distribution channel for our beverage products, as well as a rapidly growing point of contact with our end consumers. Based on the knowledge that location plays a major role in the long-term success of a retail operation such as a convenience store, as well as a role in our continually improving ability to accelerate and streamline the new-store development process, we have focused on a strategy of rapid, profitable growth. We continue to add selling space across Mexico, even as macroeconomic variables have weakened in some parts of the country, particularly along the Mexican northern border with the United States, in furtherance of our long-term view of our businesses. FEMSA Comercio opened 257, 297 and 437 net new Oxxo stores in 2000, 2001 and 2002, respectively, each year representing a new record. The accelerated expansion yielded total revenue growth of 18.7% to reach Ps. 12.740 billion in 2002, while same store sales increased 2.5% which was considerably above the retail industry average. FEMSA Comercio received approximately 508 million customers in 2002 compared to 419 million in 2001.</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Business Strategy</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 fundamental element of FEMSA Comercio's business strategy is to utilize its leading position in the convenience store market to grow in a cost-effective and profitable manner. As a market leader in convenience store retailing, based on internal company surveys, management believes that FEMSA Comercio has an in-depth understanding of its markets and significant expertise in operating a multiple store chain. FEMSA Comercio intends to continue increasing its store base while capitalizing on the market knowledge gained at existing stores.</w:t>
      </w:r>
    </w:p>
    <w:p>
      <w:pPr>
        <w:spacing w:after="0" w:line="166"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FEMSA Comercio has developed proprietary models to assist in identifying appropriate store locations, store formats and product categories. The model utilizes location-specific demographic data and FEMSA Comercio's experience in similar locations to fine tune the store format and product offerings to the target market. Market segmentation is becoming an important strategic tool, and it should increasingly allow FEMSA Comercio to improve the operating efficiency of each location and the overall profitability of the chain.</w:t>
      </w:r>
    </w:p>
    <w:p>
      <w:pPr>
        <w:spacing w:after="0" w:line="16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FEMSA Comercio has made and will continue to make significant investments in technology to improve its ability to capture customer information from its existing stores and to improve its overall operating performance. Approximately 90% of the products carried through Oxxo stores are bar-coded, and 100% of the Oxxo stores are equipped with point of sale systems that are integrated into a company-wide computer network.</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FEMSA Comercio has adopted innovative promotional strategies in order to increase store traffic and sales. In particular, FEMSA Comercio prices high-frequency items (such as beverages, snacks and cigarettes) at competitive prices. FEMSA Comercio's ability to implement this strategy profitably is partly attributable to the size of the Oxxo chain, as FEMSA Comercio is able to work together with its suppliers to implement revenue-management strategies through differentiated promotions. Oxxo's national and local marketing and promotional strategies are an effective revenue driver and a means of reaching new segments of the population while strengthening the Oxxo brand. For example, the organization refined its expertise in executing cross promotions (discounts on multi-packs or sales of complementary products at a special price) and targeted promotions to attract new customer segments, such as housewives, by expanding the offerings in the grocery product category in certain stores.</w:t>
      </w:r>
    </w:p>
    <w:p>
      <w:pPr>
        <w:spacing w:after="0" w:line="16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To implement such revenue management strategies, FEMSA Comercio created a division in charge of product category management, such as beverages, fast food and perishables, to enhance and better utilize its consumer information base and market intelligence capabilities. FEMSA Comercio is implementing an ERP system, which will allow FEMSA Comercio to redesign its key operating processes and enhance the usefulness of its market information going forward.</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39"/>
          </w:cols>
          <w:pgMar w:left="220" w:top="624" w:right="1440" w:bottom="1440" w:gutter="0" w:footer="0" w:header="0"/>
        </w:sectPr>
      </w:pPr>
    </w:p>
    <w:bookmarkStart w:id="59" w:name="page60"/>
    <w:bookmarkEnd w:id="59"/>
    <w:p>
      <w:pPr>
        <w:ind w:left="440"/>
        <w:spacing w:after="0"/>
        <w:rPr>
          <w:sz w:val="20"/>
          <w:szCs w:val="20"/>
          <w:color w:val="auto"/>
        </w:rPr>
      </w:pPr>
      <w:r>
        <w:rPr>
          <w:rFonts w:ascii="Courier New" w:cs="Courier New" w:eastAsia="Courier New" w:hAnsi="Courier New"/>
          <w:sz w:val="15"/>
          <w:szCs w:val="15"/>
          <w:color w:val="auto"/>
        </w:rPr>
        <w:t>Store Locations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With 2,276 stores in Mexico as of December 31, 2002 (2,216 Oxxo stores and 60 Bara stores), FEMSA Comercio operates the largest convenience store chain in Latin America (measured by number of stores). Oxxo stores are concentrated in the northern part of Mexico, but also have a growing presence in central Mexico and the Gulf coast.</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FEMSA Comercio has aggressively expanded its number of stores over the past several years. The average investment required to open a new store varies, depending on such factors as location and format and whether the store is opened in an existing retail location or requires construction of a new store. FEMSA Comercio is generally able to use supplier credit to fund the initial inventory of new stores.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40" w:type="dxa"/>
            <w:vAlign w:val="bottom"/>
          </w:tcPr>
          <w:p>
            <w:pPr>
              <w:spacing w:after="0"/>
              <w:rPr>
                <w:sz w:val="14"/>
                <w:szCs w:val="14"/>
                <w:color w:val="auto"/>
              </w:rPr>
            </w:pPr>
          </w:p>
        </w:tc>
        <w:tc>
          <w:tcPr>
            <w:tcW w:w="22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Growth in Oxxo Stores</w:t>
            </w: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6"/>
        </w:trPr>
        <w:tc>
          <w:tcPr>
            <w:tcW w:w="3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0" w:type="dxa"/>
            <w:vAlign w:val="bottom"/>
            <w:gridSpan w:val="3"/>
          </w:tcPr>
          <w:p>
            <w:pPr>
              <w:jc w:val="right"/>
              <w:ind w:right="507"/>
              <w:spacing w:after="0"/>
              <w:rPr>
                <w:sz w:val="20"/>
                <w:szCs w:val="20"/>
                <w:color w:val="auto"/>
              </w:rPr>
            </w:pPr>
            <w:r>
              <w:rPr>
                <w:rFonts w:ascii="Courier New" w:cs="Courier New" w:eastAsia="Courier New" w:hAnsi="Courier New"/>
                <w:sz w:val="15"/>
                <w:szCs w:val="15"/>
                <w:color w:val="auto"/>
              </w:rPr>
              <w:t>Year Ended December 31,</w:t>
            </w:r>
          </w:p>
        </w:tc>
        <w:tc>
          <w:tcPr>
            <w:tcW w:w="820" w:type="dxa"/>
            <w:vAlign w:val="bottom"/>
          </w:tcPr>
          <w:p>
            <w:pPr>
              <w:spacing w:after="0"/>
              <w:rPr>
                <w:sz w:val="24"/>
                <w:szCs w:val="24"/>
                <w:color w:val="auto"/>
              </w:rPr>
            </w:pPr>
          </w:p>
        </w:tc>
      </w:tr>
      <w:tr>
        <w:trPr>
          <w:trHeight w:val="168"/>
        </w:trPr>
        <w:tc>
          <w:tcPr>
            <w:tcW w:w="324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2002</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2001</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2000</w:t>
            </w: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1999</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324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40" w:type="dxa"/>
            <w:vAlign w:val="bottom"/>
          </w:tcPr>
          <w:p>
            <w:pPr>
              <w:spacing w:after="0"/>
              <w:rPr>
                <w:sz w:val="20"/>
                <w:szCs w:val="20"/>
                <w:color w:val="auto"/>
              </w:rPr>
            </w:pPr>
            <w:r>
              <w:rPr>
                <w:rFonts w:ascii="Courier New" w:cs="Courier New" w:eastAsia="Courier New" w:hAnsi="Courier New"/>
                <w:sz w:val="15"/>
                <w:szCs w:val="15"/>
                <w:color w:val="auto"/>
                <w:w w:val="99"/>
              </w:rPr>
              <w:t>Total Oxxo Stores...................</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2,216</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1,779</w:t>
            </w: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1,482</w:t>
            </w: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1,225</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1,027</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Store Growth (%)....................</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24.6%</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21.0%</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19.3%</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12.1%</w:t>
            </w:r>
          </w:p>
        </w:tc>
      </w:tr>
    </w:tbl>
    <w:p>
      <w:pPr>
        <w:spacing w:after="0" w:line="200" w:lineRule="exact"/>
        <w:rPr>
          <w:sz w:val="20"/>
          <w:szCs w:val="20"/>
          <w:color w:val="auto"/>
        </w:rPr>
      </w:pPr>
    </w:p>
    <w:p>
      <w:pPr>
        <w:spacing w:after="0" w:line="309"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FEMSA Comercio expects to continue the growth trend established over the past several years by emphasizing growth in areas of high economic potential in existing markets and by expanding in underserved and unexploited markets. Management believes that the southeast part of Mexico is particularly underserved by the convenience store industry.</w:t>
      </w:r>
    </w:p>
    <w:p>
      <w:pPr>
        <w:spacing w:after="0" w:line="174"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The identification of locations and pre-opening planning in order to optimize the results of new stores are important elements in FEMSA Comercio's growth plan. FEMSA Comercio continuously reviews store performance against certain operating and financial benchmarks to optimize the overall performance of the chain. Stores unable to maintain benchmark standards are generally closed. Between December 1998 and December 31, 2002, a period during which the total number of stores increased by 1,189 units, 1,278 new stores were opened and 89 stores were closed.</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Competition</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Oxxo competes in the convenience store segment of the retail market with 7-Eleven, Super Extra and Circle-K as well as other local brands of convenience stores. The format of these stores is similar to the format of the Oxxo stores. Based on an internal market survey conducted by FEMSA Comercio, management believes that, as of December 31, 2002, there were approximately 3,940 stores in Mexico that could be considered part of a convenience store chain or network. Oxxo is the leading chain in Mexico operating more than half of these stores. Furthermore, FEMSA Comercio operates in 24 states and has much broader geographical coverage than any of its competitors.</w:t>
      </w:r>
    </w:p>
    <w:p>
      <w:pPr>
        <w:spacing w:after="0" w:line="1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Market and Store Characteristics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Market Characteristics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FEMSA Comercio is placing increased emphasis on market segmentation and differentiation of store formats to more appropriately serve the needs of customers on a location-by-location basis. The principal segments include residential neighborhoods, commercial and office locations, stores near schools and universities, along with other types of specialized locations.</w:t>
      </w:r>
    </w:p>
    <w:p>
      <w:pPr>
        <w:spacing w:after="0" w:line="174"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Approximately 71% of Oxxo's clientele is between the ages of 15 and 35. FEMSA Comercio also segments the market according to demographic criteria, including income level.</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39"/>
          </w:cols>
          <w:pgMar w:left="220" w:top="617" w:right="1440" w:bottom="1440" w:gutter="0" w:footer="0" w:header="0"/>
        </w:sectPr>
      </w:pPr>
    </w:p>
    <w:bookmarkStart w:id="60" w:name="page61"/>
    <w:bookmarkEnd w:id="60"/>
    <w:p>
      <w:pPr>
        <w:ind w:left="440"/>
        <w:spacing w:after="0"/>
        <w:rPr>
          <w:sz w:val="20"/>
          <w:szCs w:val="20"/>
          <w:color w:val="auto"/>
        </w:rPr>
      </w:pPr>
      <w:r>
        <w:rPr>
          <w:rFonts w:ascii="Courier New" w:cs="Courier New" w:eastAsia="Courier New" w:hAnsi="Courier New"/>
          <w:sz w:val="15"/>
          <w:szCs w:val="15"/>
          <w:color w:val="auto"/>
        </w:rPr>
        <w:t>Store Characteristics</w:t>
      </w:r>
    </w:p>
    <w:p>
      <w:pPr>
        <w:spacing w:after="0" w:line="173" w:lineRule="exact"/>
        <w:rPr>
          <w:sz w:val="20"/>
          <w:szCs w:val="20"/>
          <w:color w:val="auto"/>
        </w:rPr>
      </w:pPr>
    </w:p>
    <w:p>
      <w:pPr>
        <w:ind w:right="3320" w:firstLine="437"/>
        <w:spacing w:after="0" w:line="236" w:lineRule="auto"/>
        <w:rPr>
          <w:sz w:val="20"/>
          <w:szCs w:val="20"/>
          <w:color w:val="auto"/>
        </w:rPr>
      </w:pPr>
      <w:r>
        <w:rPr>
          <w:rFonts w:ascii="Courier New" w:cs="Courier New" w:eastAsia="Courier New" w:hAnsi="Courier New"/>
          <w:sz w:val="15"/>
          <w:szCs w:val="15"/>
          <w:color w:val="auto"/>
        </w:rPr>
        <w:t>The average size of an Oxxo store is approximately 115 square meters of selling space, excluding space dedicated to refrigeration, storage or parking. The average constructed area of a store is approximately 182 square meters and, when parking areas are included, the average store size increases to approximately 412 square meters.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rPr>
              <w:t>FEMSA Comercio--</w:t>
            </w:r>
          </w:p>
        </w:tc>
        <w:tc>
          <w:tcPr>
            <w:tcW w:w="2480" w:type="dxa"/>
            <w:vAlign w:val="bottom"/>
          </w:tcPr>
          <w:p>
            <w:pPr>
              <w:jc w:val="right"/>
              <w:ind w:right="667"/>
              <w:spacing w:after="0"/>
              <w:rPr>
                <w:sz w:val="20"/>
                <w:szCs w:val="20"/>
                <w:color w:val="auto"/>
              </w:rPr>
            </w:pPr>
            <w:r>
              <w:rPr>
                <w:rFonts w:ascii="Courier New" w:cs="Courier New" w:eastAsia="Courier New" w:hAnsi="Courier New"/>
                <w:sz w:val="15"/>
                <w:szCs w:val="15"/>
                <w:color w:val="auto"/>
                <w:w w:val="95"/>
              </w:rPr>
              <w:t>Operating Indicators</w:t>
            </w:r>
          </w:p>
        </w:tc>
        <w:tc>
          <w:tcPr>
            <w:tcW w:w="1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6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Year Ended December 31,</w:t>
            </w: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58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(percentage change against previous year)</w:t>
            </w:r>
          </w:p>
        </w:tc>
        <w:tc>
          <w:tcPr>
            <w:tcW w:w="1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2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2002</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2001</w:t>
            </w:r>
          </w:p>
        </w:tc>
        <w:tc>
          <w:tcPr>
            <w:tcW w:w="148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2000</w:t>
            </w:r>
          </w:p>
        </w:tc>
        <w:tc>
          <w:tcPr>
            <w:tcW w:w="9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1999</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3340" w:type="dxa"/>
            <w:vAlign w:val="bottom"/>
          </w:tcPr>
          <w:p>
            <w:pPr>
              <w:spacing w:after="0"/>
              <w:rPr>
                <w:sz w:val="14"/>
                <w:szCs w:val="14"/>
                <w:color w:val="auto"/>
              </w:rPr>
            </w:pPr>
          </w:p>
        </w:tc>
        <w:tc>
          <w:tcPr>
            <w:tcW w:w="2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w w:val="78"/>
              </w:rPr>
              <w:t>Total Store Sales..............................</w:t>
            </w:r>
          </w:p>
        </w:tc>
        <w:tc>
          <w:tcPr>
            <w:tcW w:w="24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18.7%</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19.8%</w:t>
            </w:r>
          </w:p>
        </w:tc>
        <w:tc>
          <w:tcPr>
            <w:tcW w:w="1480" w:type="dxa"/>
            <w:vAlign w:val="bottom"/>
          </w:tcPr>
          <w:p>
            <w:pPr>
              <w:jc w:val="right"/>
              <w:ind w:right="567"/>
              <w:spacing w:after="0"/>
              <w:rPr>
                <w:sz w:val="20"/>
                <w:szCs w:val="20"/>
                <w:color w:val="auto"/>
              </w:rPr>
            </w:pPr>
            <w:r>
              <w:rPr>
                <w:rFonts w:ascii="Courier New" w:cs="Courier New" w:eastAsia="Courier New" w:hAnsi="Courier New"/>
                <w:sz w:val="15"/>
                <w:szCs w:val="15"/>
                <w:color w:val="auto"/>
              </w:rPr>
              <w:t>28.4%</w:t>
            </w:r>
          </w:p>
        </w:tc>
        <w:tc>
          <w:tcPr>
            <w:tcW w:w="9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19.2%</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12.1%</w:t>
            </w:r>
          </w:p>
        </w:tc>
      </w:tr>
      <w:tr>
        <w:trPr>
          <w:trHeight w:val="168"/>
        </w:trPr>
        <w:tc>
          <w:tcPr>
            <w:tcW w:w="3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8"/>
              </w:rPr>
              <w:t>Comparative Store Sales(1) ....................</w:t>
            </w:r>
          </w:p>
        </w:tc>
        <w:tc>
          <w:tcPr>
            <w:tcW w:w="2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0.1%</w:t>
            </w:r>
          </w:p>
        </w:tc>
        <w:tc>
          <w:tcPr>
            <w:tcW w:w="148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6.9%</w:t>
            </w:r>
          </w:p>
        </w:tc>
        <w:tc>
          <w:tcPr>
            <w:tcW w:w="9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6.5%</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11.4%</w:t>
            </w:r>
          </w:p>
        </w:tc>
      </w:tr>
      <w:tr>
        <w:trPr>
          <w:trHeight w:val="168"/>
        </w:trPr>
        <w:tc>
          <w:tcPr>
            <w:tcW w:w="3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8"/>
              </w:rPr>
              <w:t>Same-Store Sales(2) ...........................</w:t>
            </w:r>
          </w:p>
        </w:tc>
        <w:tc>
          <w:tcPr>
            <w:tcW w:w="24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2.5%</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4.5%</w:t>
            </w:r>
          </w:p>
        </w:tc>
        <w:tc>
          <w:tcPr>
            <w:tcW w:w="148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10.9%</w:t>
            </w:r>
          </w:p>
        </w:tc>
        <w:tc>
          <w:tcPr>
            <w:tcW w:w="9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8.1%</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12.5%</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Beer-related data:</w:t>
            </w:r>
          </w:p>
        </w:tc>
        <w:tc>
          <w:tcPr>
            <w:tcW w:w="2480" w:type="dxa"/>
            <w:vAlign w:val="bottom"/>
          </w:tcPr>
          <w:p>
            <w:pPr>
              <w:spacing w:after="0"/>
              <w:rPr>
                <w:sz w:val="24"/>
                <w:szCs w:val="24"/>
                <w:color w:val="auto"/>
              </w:rPr>
            </w:pPr>
          </w:p>
        </w:tc>
        <w:tc>
          <w:tcPr>
            <w:tcW w:w="2620" w:type="dxa"/>
            <w:vAlign w:val="bottom"/>
            <w:gridSpan w:val="2"/>
          </w:tcPr>
          <w:p>
            <w:pPr>
              <w:jc w:val="right"/>
              <w:ind w:right="127"/>
              <w:spacing w:after="0"/>
              <w:rPr>
                <w:sz w:val="20"/>
                <w:szCs w:val="20"/>
                <w:color w:val="auto"/>
              </w:rPr>
            </w:pPr>
            <w:r>
              <w:rPr>
                <w:rFonts w:ascii="Courier New" w:cs="Courier New" w:eastAsia="Courier New" w:hAnsi="Courier New"/>
                <w:sz w:val="15"/>
                <w:szCs w:val="15"/>
                <w:color w:val="auto"/>
              </w:rPr>
              <w:t>(percentage of total)</w:t>
            </w: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36"/>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w w:val="78"/>
              </w:rPr>
              <w:t>Beer sales as % of Oxxo stores sales...........</w:t>
            </w:r>
          </w:p>
        </w:tc>
        <w:tc>
          <w:tcPr>
            <w:tcW w:w="24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13.3%</w:t>
            </w: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13.6%</w:t>
            </w:r>
          </w:p>
        </w:tc>
        <w:tc>
          <w:tcPr>
            <w:tcW w:w="1480" w:type="dxa"/>
            <w:vAlign w:val="bottom"/>
          </w:tcPr>
          <w:p>
            <w:pPr>
              <w:jc w:val="right"/>
              <w:ind w:right="567"/>
              <w:spacing w:after="0"/>
              <w:rPr>
                <w:sz w:val="20"/>
                <w:szCs w:val="20"/>
                <w:color w:val="auto"/>
              </w:rPr>
            </w:pPr>
            <w:r>
              <w:rPr>
                <w:rFonts w:ascii="Courier New" w:cs="Courier New" w:eastAsia="Courier New" w:hAnsi="Courier New"/>
                <w:sz w:val="15"/>
                <w:szCs w:val="15"/>
                <w:color w:val="auto"/>
              </w:rPr>
              <w:t>14.0%</w:t>
            </w:r>
          </w:p>
        </w:tc>
        <w:tc>
          <w:tcPr>
            <w:tcW w:w="9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14.7%</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14.5%</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Oxxo store sales as a % of</w:t>
            </w:r>
          </w:p>
        </w:tc>
        <w:tc>
          <w:tcPr>
            <w:tcW w:w="2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3"/>
              </w:rPr>
              <w:t>FEMSA Cerveza's volume......................</w:t>
            </w:r>
          </w:p>
        </w:tc>
        <w:tc>
          <w:tcPr>
            <w:tcW w:w="2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4.5%</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3.9%</w:t>
            </w:r>
          </w:p>
        </w:tc>
        <w:tc>
          <w:tcPr>
            <w:tcW w:w="148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3.7%</w:t>
            </w:r>
          </w:p>
        </w:tc>
        <w:tc>
          <w:tcPr>
            <w:tcW w:w="9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3.0%</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w:t>
            </w:r>
          </w:p>
        </w:tc>
      </w:tr>
    </w:tbl>
    <w:p>
      <w:pPr>
        <w:spacing w:after="0" w:line="341" w:lineRule="exact"/>
        <w:rPr>
          <w:sz w:val="20"/>
          <w:szCs w:val="20"/>
          <w:color w:val="auto"/>
        </w:rPr>
      </w:pPr>
    </w:p>
    <w:p>
      <w:pPr>
        <w:ind w:left="360" w:right="3500" w:hanging="359"/>
        <w:spacing w:after="0" w:line="261" w:lineRule="auto"/>
        <w:tabs>
          <w:tab w:leader="none" w:pos="340" w:val="left"/>
        </w:tabs>
        <w:rPr>
          <w:sz w:val="20"/>
          <w:szCs w:val="20"/>
          <w:color w:val="auto"/>
        </w:rPr>
      </w:pPr>
      <w:r>
        <w:rPr>
          <w:rFonts w:ascii="Courier New" w:cs="Courier New" w:eastAsia="Courier New" w:hAnsi="Courier New"/>
          <w:sz w:val="14"/>
          <w:szCs w:val="14"/>
          <w:color w:val="auto"/>
        </w:rPr>
        <w:t>(1)</w:t>
        <w:tab/>
        <w:t>Comparative-store sales growth is calculated by comparing average monthly sales per store of those sites with more than 18 months of operation.</w:t>
      </w:r>
    </w:p>
    <w:p>
      <w:pPr>
        <w:spacing w:after="0" w:line="160" w:lineRule="exact"/>
        <w:rPr>
          <w:sz w:val="20"/>
          <w:szCs w:val="20"/>
          <w:color w:val="auto"/>
        </w:rPr>
      </w:pPr>
    </w:p>
    <w:p>
      <w:pPr>
        <w:ind w:left="360" w:right="3240" w:hanging="359"/>
        <w:spacing w:after="0" w:line="236" w:lineRule="auto"/>
        <w:tabs>
          <w:tab w:leader="none" w:pos="340" w:val="left"/>
        </w:tabs>
        <w:rPr>
          <w:sz w:val="20"/>
          <w:szCs w:val="20"/>
          <w:color w:val="auto"/>
        </w:rPr>
      </w:pPr>
      <w:r>
        <w:rPr>
          <w:rFonts w:ascii="Courier New" w:cs="Courier New" w:eastAsia="Courier New" w:hAnsi="Courier New"/>
          <w:sz w:val="15"/>
          <w:szCs w:val="15"/>
          <w:color w:val="auto"/>
        </w:rPr>
        <w:t>(2)</w:t>
        <w:tab/>
        <w:t>Same-store sales growth is calculated by comparing the sales of stores existing on December 31 of the base year with more than twelve months of operation and still in operation on December 31 of the following year. Going forward, FEMSA Comercio will reflect this calculation as its main same store benchmark.</w:t>
      </w:r>
    </w:p>
    <w:p>
      <w:pPr>
        <w:spacing w:after="0" w:line="174" w:lineRule="exact"/>
        <w:rPr>
          <w:sz w:val="20"/>
          <w:szCs w:val="20"/>
          <w:color w:val="auto"/>
        </w:rPr>
      </w:pPr>
    </w:p>
    <w:p>
      <w:pPr>
        <w:ind w:right="3240" w:firstLine="437"/>
        <w:spacing w:after="0" w:line="236" w:lineRule="auto"/>
        <w:rPr>
          <w:sz w:val="20"/>
          <w:szCs w:val="20"/>
          <w:color w:val="auto"/>
        </w:rPr>
      </w:pPr>
      <w:r>
        <w:rPr>
          <w:rFonts w:ascii="Courier New" w:cs="Courier New" w:eastAsia="Courier New" w:hAnsi="Courier New"/>
          <w:sz w:val="15"/>
          <w:szCs w:val="15"/>
          <w:color w:val="auto"/>
        </w:rPr>
        <w:t>Beer, telephone cards, soft drinks and cigarettes represent the main product categories for Oxxo stores. FEMSA Comercio has an exclusivity agreement with FEMSA Cerveza. As a result of this agreement Oxxo stores only carry beer brands produced by FEMSA Cerveza. See "Item 10. Additional Information--Material Contracts--FEMSA Cerveza." Prior to 2001, Oxxo stores had informal agreements with Coca-Cola bottlers, including Coca-Cola FEMSA in the Valley of Mexico, to sell only their products. In 2001, a limited number of Oxxo stores commenced the sale of Pepsi Cola products in certain cities in northern Mexico, as part of a defensive competitive strategy.</w:t>
      </w:r>
    </w:p>
    <w:p>
      <w:pPr>
        <w:spacing w:after="0" w:line="178" w:lineRule="exact"/>
        <w:rPr>
          <w:sz w:val="20"/>
          <w:szCs w:val="20"/>
          <w:color w:val="auto"/>
        </w:rPr>
      </w:pPr>
    </w:p>
    <w:p>
      <w:pPr>
        <w:ind w:right="3240" w:firstLine="437"/>
        <w:spacing w:after="0" w:line="255" w:lineRule="auto"/>
        <w:rPr>
          <w:sz w:val="20"/>
          <w:szCs w:val="20"/>
          <w:color w:val="auto"/>
        </w:rPr>
      </w:pPr>
      <w:r>
        <w:rPr>
          <w:rFonts w:ascii="Courier New" w:cs="Courier New" w:eastAsia="Courier New" w:hAnsi="Courier New"/>
          <w:sz w:val="14"/>
          <w:szCs w:val="14"/>
          <w:color w:val="auto"/>
        </w:rPr>
        <w:t>Approximately 90% of the Oxxo stores are operated by independent managers responsible for all aspects of store operations. The managers are commission agents and are not employees of FEMSA Comercio. Each store manager is the legal employer of the store's staff, which typically numbers six people. FEMSA Comercio continually invests in on-site operating personnel, with the objective of promoting loyalty, customer-service and low personnel turnover in the stores.</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Advertising and Promotion</w:t>
      </w:r>
    </w:p>
    <w:p>
      <w:pPr>
        <w:spacing w:after="0" w:line="173" w:lineRule="exact"/>
        <w:rPr>
          <w:sz w:val="20"/>
          <w:szCs w:val="20"/>
          <w:color w:val="auto"/>
        </w:rPr>
      </w:pPr>
    </w:p>
    <w:p>
      <w:pPr>
        <w:jc w:val="both"/>
        <w:ind w:right="3240" w:firstLine="437"/>
        <w:spacing w:after="0" w:line="235" w:lineRule="auto"/>
        <w:rPr>
          <w:sz w:val="20"/>
          <w:szCs w:val="20"/>
          <w:color w:val="auto"/>
        </w:rPr>
      </w:pPr>
      <w:r>
        <w:rPr>
          <w:rFonts w:ascii="Courier New" w:cs="Courier New" w:eastAsia="Courier New" w:hAnsi="Courier New"/>
          <w:sz w:val="15"/>
          <w:szCs w:val="15"/>
          <w:color w:val="auto"/>
        </w:rPr>
        <w:t>FEMSA Comercio's marketing efforts include both specific product promotions and image advertising campaigns. These strategies seek to increase store traffic and sales, and to reinforce the Oxxo name and market position.</w:t>
      </w:r>
    </w:p>
    <w:p>
      <w:pPr>
        <w:spacing w:after="0" w:line="174" w:lineRule="exact"/>
        <w:rPr>
          <w:sz w:val="20"/>
          <w:szCs w:val="20"/>
          <w:color w:val="auto"/>
        </w:rPr>
      </w:pPr>
    </w:p>
    <w:p>
      <w:pPr>
        <w:ind w:right="3240" w:firstLine="437"/>
        <w:spacing w:after="0" w:line="236" w:lineRule="auto"/>
        <w:rPr>
          <w:sz w:val="20"/>
          <w:szCs w:val="20"/>
          <w:color w:val="auto"/>
        </w:rPr>
      </w:pPr>
      <w:r>
        <w:rPr>
          <w:rFonts w:ascii="Courier New" w:cs="Courier New" w:eastAsia="Courier New" w:hAnsi="Courier New"/>
          <w:sz w:val="15"/>
          <w:szCs w:val="15"/>
          <w:color w:val="auto"/>
        </w:rPr>
        <w:t>FEMSA Comercio manages its advertising on three levels depending on the nature and scope of the specific campaign: local or store-specific, regional and national. Store-specific and regional campaigns are closely monitored to ensure consistency with the overall corporate image of Oxxo stores and to avoid conflicts with national campaigns. FEMSA Comercio primarily uses point of purchase materials, flyers, handbills and print and radio media for promotional campaigns, although television is used occasionally for the introduction of new products and services. The Oxxo chain's image and brand name are presented consistently across all stores, irrespective of location.</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40"/>
          </w:cols>
          <w:pgMar w:left="220" w:top="617" w:right="1439" w:bottom="1440" w:gutter="0" w:footer="0" w:header="0"/>
        </w:sectPr>
      </w:pPr>
    </w:p>
    <w:bookmarkStart w:id="61" w:name="page62"/>
    <w:bookmarkEnd w:id="61"/>
    <w:p>
      <w:pPr>
        <w:ind w:left="440"/>
        <w:spacing w:after="0"/>
        <w:rPr>
          <w:sz w:val="20"/>
          <w:szCs w:val="20"/>
          <w:color w:val="auto"/>
        </w:rPr>
      </w:pPr>
      <w:r>
        <w:rPr>
          <w:rFonts w:ascii="Courier New" w:cs="Courier New" w:eastAsia="Courier New" w:hAnsi="Courier New"/>
          <w:sz w:val="15"/>
          <w:szCs w:val="15"/>
          <w:color w:val="auto"/>
        </w:rPr>
        <w:t>Inventory and Purchasing</w:t>
      </w:r>
    </w:p>
    <w:p>
      <w:pPr>
        <w:spacing w:after="0" w:line="173" w:lineRule="exact"/>
        <w:rPr>
          <w:sz w:val="20"/>
          <w:szCs w:val="20"/>
          <w:color w:val="auto"/>
        </w:rPr>
      </w:pPr>
    </w:p>
    <w:p>
      <w:pPr>
        <w:jc w:val="both"/>
        <w:ind w:right="3579" w:firstLine="437"/>
        <w:spacing w:after="0" w:line="254" w:lineRule="auto"/>
        <w:rPr>
          <w:sz w:val="20"/>
          <w:szCs w:val="20"/>
          <w:color w:val="auto"/>
        </w:rPr>
      </w:pPr>
      <w:r>
        <w:rPr>
          <w:rFonts w:ascii="Courier New" w:cs="Courier New" w:eastAsia="Courier New" w:hAnsi="Courier New"/>
          <w:sz w:val="14"/>
          <w:szCs w:val="14"/>
          <w:color w:val="auto"/>
        </w:rPr>
        <w:t>FEMSA Comercio has placed considerable emphasis on improving operating performance. As part of these efforts, FEMSA Comercio continues to invest in extensive information management systems to improve inventory management.</w:t>
      </w:r>
    </w:p>
    <w:p>
      <w:pPr>
        <w:spacing w:after="0" w:line="1" w:lineRule="exact"/>
        <w:rPr>
          <w:sz w:val="20"/>
          <w:szCs w:val="20"/>
          <w:color w:val="auto"/>
        </w:rPr>
      </w:pPr>
    </w:p>
    <w:p>
      <w:pPr>
        <w:jc w:val="both"/>
        <w:ind w:right="3939"/>
        <w:spacing w:after="0" w:line="235" w:lineRule="auto"/>
        <w:rPr>
          <w:sz w:val="20"/>
          <w:szCs w:val="20"/>
          <w:color w:val="auto"/>
        </w:rPr>
      </w:pPr>
      <w:r>
        <w:rPr>
          <w:rFonts w:ascii="Courier New" w:cs="Courier New" w:eastAsia="Courier New" w:hAnsi="Courier New"/>
          <w:sz w:val="15"/>
          <w:szCs w:val="15"/>
          <w:color w:val="auto"/>
        </w:rPr>
        <w:t>Electronic data collection has enabled FEMSA Comercio to reduce average inventory levels. Inventory replenishment decisions are carried out on a store-by-store basis.</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Management believes that the Oxxo chain's scale of operations provides FEMSA Comercio with a competitive advantage in its ability to realize strategic alliances with suppliers. General category offerings are determined on a national level, although purchasing decisions are implemented on a local, regional or national level, depending on the nature of the product category. Given the fragmented nature of the retail industry in Mexico in general, Mexican producers of beer, soft drinks, bread, dairy products, snacks, cigarettes and other high-frequency products have established proprietary distribution systems with extensive direct distribution routes. As a result, almost 75% of the products carried by the Oxxo chain are delivered directly to the stores by suppliers. Other products with longer shelf lives are distributed to stores by FEMSA Comercio's distribution system, which includes five regional warehouses located in Monterrey, Mexico City, Guadalajara, Mexicali and Leon. The distribution centers operate a fleet of 165 trucks that make deliveries to each store approximately every week.</w:t>
      </w:r>
    </w:p>
    <w:p>
      <w:pPr>
        <w:spacing w:after="0" w:line="32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Seasonality</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Oxxo stores experience periods of high demand in December, as a result of the holidays, and in July and August as a result of increased consumption of beer and soft drinks during the hot summer months. The months of November and February are generally the weakest sales months for Oxxo stores. In general, colder weather during these months reduces store traffic and consumption of cold beverages.</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SIX and Matador Stores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addition to the Oxxo stores, FEMSA Comercio operates a chain of approximately 644 retail outlets under the trade names SIX and Matador owned by FEMSA Cerveza pursuant to a management arrangement. This arrangement establishes that a fixed charge per outlet will be negotiated on an annual basis, the amount of which is designed to compensate FEMSA Comercio for management services and out-of-pocket expenses. The SIX and Matador stores are primarily beverage and snack outlets, and therefore, their product categories are considerably narrower, and average store size is considerably smaller than those of the Oxxo stores. FEMSA Comercio has managed the SIX and Matador stores since 1994.</w:t>
      </w:r>
    </w:p>
    <w:p>
      <w:pPr>
        <w:spacing w:after="0" w:line="1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Bara Discount Chain</w:t>
      </w:r>
    </w:p>
    <w:p>
      <w:pPr>
        <w:spacing w:after="0" w:line="173" w:lineRule="exact"/>
        <w:rPr>
          <w:sz w:val="20"/>
          <w:szCs w:val="20"/>
          <w:color w:val="auto"/>
        </w:rPr>
      </w:pPr>
    </w:p>
    <w:p>
      <w:pPr>
        <w:ind w:right="3579" w:firstLine="437"/>
        <w:spacing w:after="0" w:line="256" w:lineRule="auto"/>
        <w:rPr>
          <w:sz w:val="20"/>
          <w:szCs w:val="20"/>
          <w:color w:val="auto"/>
        </w:rPr>
      </w:pPr>
      <w:r>
        <w:rPr>
          <w:rFonts w:ascii="Courier New" w:cs="Courier New" w:eastAsia="Courier New" w:hAnsi="Courier New"/>
          <w:sz w:val="14"/>
          <w:szCs w:val="14"/>
          <w:color w:val="auto"/>
        </w:rPr>
        <w:t>In 1999, FEMSA Comercio began testing a business model to operate a multi-site discount grocery store chain targeted to serve basic consumption needs of the lower socioeconomic segments of the Mexican population. FEMSA Comercio's management selected the city of Leon, Guanajuato to launch a test pilot operation of the Bara discount grocery store chain.</w:t>
      </w:r>
    </w:p>
    <w:p>
      <w:pPr>
        <w:spacing w:after="0" w:line="16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average selling space of a Bara store is 258 square meters, approximately 2 times larger than selling space of an Oxxo store. The investment per site, however, is very similar to an Oxxo store because it follows a simpler format. The Bara store is more heavily weighted to food and grocery items compared to an Oxxo store, and relies more heavily on internal distribution systems. Despite the important distinctions with the convenience store format, FEMSA Comercio's management believes that FEMSA Comercio has the knowledge and skills required to profitably operate and manage a multi-site chain and has developed the abilities to successfully participate in the discount grocery market in Mexico. During 2002, 18 new Bara stores were opened, and as of December 31, 2002, there were 60 Bara stores in operation.</w:t>
      </w:r>
    </w:p>
    <w:p>
      <w:pPr>
        <w:spacing w:after="0" w:line="3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39"/>
          </w:cols>
          <w:pgMar w:left="220" w:top="617" w:right="1440" w:bottom="1440" w:gutter="0" w:footer="0" w:header="0"/>
        </w:sectPr>
      </w:pPr>
    </w:p>
    <w:bookmarkStart w:id="62" w:name="page63"/>
    <w:bookmarkEnd w:id="62"/>
    <w:p>
      <w:pPr>
        <w:ind w:left="2900"/>
        <w:spacing w:after="0"/>
        <w:rPr>
          <w:sz w:val="20"/>
          <w:szCs w:val="20"/>
          <w:color w:val="auto"/>
        </w:rPr>
      </w:pPr>
      <w:r>
        <w:rPr>
          <w:rFonts w:ascii="Courier New" w:cs="Courier New" w:eastAsia="Courier New" w:hAnsi="Courier New"/>
          <w:sz w:val="15"/>
          <w:szCs w:val="15"/>
          <w:color w:val="auto"/>
        </w:rPr>
        <w:t>FEMSA Empaques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Overview and Background</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FEMSA Empaques is a Mexican holding company whose operating subsidiaries produce and distribute a wide variety of packaging materials, primarily oriented to provide packaging solutions to the beverage industry. FEMSA Empaques' main subsidiaries produce the following products:</w:t>
      </w:r>
    </w:p>
    <w:p>
      <w:pPr>
        <w:spacing w:after="0" w:line="169" w:lineRule="exact"/>
        <w:rPr>
          <w:sz w:val="20"/>
          <w:szCs w:val="20"/>
          <w:color w:val="auto"/>
        </w:rPr>
      </w:pPr>
    </w:p>
    <w:p>
      <w:pPr>
        <w:ind w:left="180" w:hanging="170"/>
        <w:spacing w:after="0"/>
        <w:tabs>
          <w:tab w:leader="none" w:pos="18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aluminum beverage cans and ends;</w:t>
      </w:r>
    </w:p>
    <w:p>
      <w:pPr>
        <w:spacing w:after="0" w:line="166"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bottle caps and other closures;</w:t>
      </w:r>
    </w:p>
    <w:p>
      <w:pPr>
        <w:spacing w:after="0" w:line="166"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glass beverage bottles;</w:t>
      </w:r>
    </w:p>
    <w:p>
      <w:pPr>
        <w:spacing w:after="0" w:line="166"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labels and other flexible packaging materials; and</w:t>
      </w:r>
    </w:p>
    <w:p>
      <w:pPr>
        <w:spacing w:after="0" w:line="166"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commercial refrigeration equipment.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40" w:type="dxa"/>
            <w:vAlign w:val="bottom"/>
          </w:tcPr>
          <w:p>
            <w:pPr>
              <w:spacing w:after="0"/>
              <w:rPr>
                <w:sz w:val="14"/>
                <w:szCs w:val="14"/>
                <w:color w:val="auto"/>
              </w:rPr>
            </w:pPr>
          </w:p>
        </w:tc>
        <w:tc>
          <w:tcPr>
            <w:tcW w:w="5560" w:type="dxa"/>
            <w:vAlign w:val="bottom"/>
            <w:gridSpan w:val="4"/>
          </w:tcPr>
          <w:p>
            <w:pPr>
              <w:spacing w:after="0"/>
              <w:rPr>
                <w:sz w:val="20"/>
                <w:szCs w:val="20"/>
                <w:color w:val="auto"/>
              </w:rPr>
            </w:pPr>
            <w:r>
              <w:rPr>
                <w:rFonts w:ascii="Courier New" w:cs="Courier New" w:eastAsia="Courier New" w:hAnsi="Courier New"/>
                <w:sz w:val="15"/>
                <w:szCs w:val="15"/>
                <w:color w:val="auto"/>
                <w:w w:val="97"/>
              </w:rPr>
              <w:t>Overview of FEMSA Empaques' Principal Product Lines and Markets</w:t>
            </w:r>
          </w:p>
        </w:tc>
        <w:tc>
          <w:tcPr>
            <w:tcW w:w="1180" w:type="dxa"/>
            <w:vAlign w:val="bottom"/>
          </w:tcPr>
          <w:p>
            <w:pPr>
              <w:spacing w:after="0"/>
              <w:rPr>
                <w:sz w:val="14"/>
                <w:szCs w:val="14"/>
                <w:color w:val="auto"/>
              </w:rPr>
            </w:pPr>
          </w:p>
        </w:tc>
      </w:tr>
      <w:tr>
        <w:trPr>
          <w:trHeight w:val="336"/>
        </w:trPr>
        <w:tc>
          <w:tcPr>
            <w:tcW w:w="11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0" w:type="dxa"/>
            <w:vAlign w:val="bottom"/>
          </w:tcPr>
          <w:p>
            <w:pPr>
              <w:ind w:left="220"/>
              <w:spacing w:after="0"/>
              <w:rPr>
                <w:sz w:val="20"/>
                <w:szCs w:val="20"/>
                <w:color w:val="auto"/>
              </w:rPr>
            </w:pPr>
            <w:r>
              <w:rPr>
                <w:rFonts w:ascii="Courier New" w:cs="Courier New" w:eastAsia="Courier New" w:hAnsi="Courier New"/>
                <w:sz w:val="15"/>
                <w:szCs w:val="15"/>
                <w:color w:val="auto"/>
              </w:rPr>
              <w:t>Labels and</w:t>
            </w:r>
          </w:p>
        </w:tc>
        <w:tc>
          <w:tcPr>
            <w:tcW w:w="1180" w:type="dxa"/>
            <w:vAlign w:val="bottom"/>
          </w:tcPr>
          <w:p>
            <w:pPr>
              <w:spacing w:after="0"/>
              <w:rPr>
                <w:sz w:val="24"/>
                <w:szCs w:val="24"/>
                <w:color w:val="auto"/>
              </w:rPr>
            </w:pPr>
          </w:p>
        </w:tc>
      </w:tr>
      <w:tr>
        <w:trPr>
          <w:trHeight w:val="168"/>
        </w:trPr>
        <w:tc>
          <w:tcPr>
            <w:tcW w:w="1140" w:type="dxa"/>
            <w:vAlign w:val="bottom"/>
          </w:tcPr>
          <w:p>
            <w:pPr>
              <w:spacing w:after="0"/>
              <w:rPr>
                <w:sz w:val="14"/>
                <w:szCs w:val="14"/>
                <w:color w:val="auto"/>
              </w:rPr>
            </w:pPr>
          </w:p>
        </w:tc>
        <w:tc>
          <w:tcPr>
            <w:tcW w:w="180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Beverage</w:t>
            </w:r>
          </w:p>
        </w:tc>
        <w:tc>
          <w:tcPr>
            <w:tcW w:w="13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Crown Caps</w:t>
            </w:r>
          </w:p>
        </w:tc>
        <w:tc>
          <w:tcPr>
            <w:tcW w:w="104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3"/>
              </w:rPr>
              <w:t>Glass</w:t>
            </w:r>
          </w:p>
        </w:tc>
        <w:tc>
          <w:tcPr>
            <w:tcW w:w="1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Flexible</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Commercial</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Markets</w:t>
            </w:r>
          </w:p>
        </w:tc>
        <w:tc>
          <w:tcPr>
            <w:tcW w:w="180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Cans</w:t>
            </w:r>
          </w:p>
        </w:tc>
        <w:tc>
          <w:tcPr>
            <w:tcW w:w="13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&amp; Closures</w:t>
            </w:r>
          </w:p>
        </w:tc>
        <w:tc>
          <w:tcPr>
            <w:tcW w:w="10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Bottles</w:t>
            </w:r>
          </w:p>
        </w:tc>
        <w:tc>
          <w:tcPr>
            <w:tcW w:w="140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Packaging</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Refrigerators</w:t>
            </w: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4"/>
                <w:szCs w:val="14"/>
                <w:color w:val="auto"/>
                <w:w w:val="74"/>
              </w:rPr>
              <w:t>Beer..............</w:t>
            </w:r>
          </w:p>
        </w:tc>
        <w:tc>
          <w:tcPr>
            <w:tcW w:w="1800" w:type="dxa"/>
            <w:vAlign w:val="bottom"/>
          </w:tcPr>
          <w:p>
            <w:pPr>
              <w:ind w:left="1060"/>
              <w:spacing w:after="0"/>
              <w:rPr>
                <w:sz w:val="20"/>
                <w:szCs w:val="20"/>
                <w:color w:val="auto"/>
              </w:rPr>
            </w:pPr>
            <w:r>
              <w:rPr>
                <w:rFonts w:ascii="Courier New" w:cs="Courier New" w:eastAsia="Courier New" w:hAnsi="Courier New"/>
                <w:sz w:val="15"/>
                <w:szCs w:val="15"/>
                <w:color w:val="auto"/>
              </w:rPr>
              <w:t>X</w:t>
            </w:r>
          </w:p>
        </w:tc>
        <w:tc>
          <w:tcPr>
            <w:tcW w:w="1320" w:type="dxa"/>
            <w:vAlign w:val="bottom"/>
          </w:tcPr>
          <w:p>
            <w:pPr>
              <w:ind w:left="480"/>
              <w:spacing w:after="0"/>
              <w:rPr>
                <w:sz w:val="20"/>
                <w:szCs w:val="20"/>
                <w:color w:val="auto"/>
              </w:rPr>
            </w:pPr>
            <w:r>
              <w:rPr>
                <w:rFonts w:ascii="Courier New" w:cs="Courier New" w:eastAsia="Courier New" w:hAnsi="Courier New"/>
                <w:sz w:val="15"/>
                <w:szCs w:val="15"/>
                <w:color w:val="auto"/>
              </w:rPr>
              <w:t>X</w:t>
            </w:r>
          </w:p>
        </w:tc>
        <w:tc>
          <w:tcPr>
            <w:tcW w:w="1040" w:type="dxa"/>
            <w:vAlign w:val="bottom"/>
          </w:tcPr>
          <w:p>
            <w:pPr>
              <w:jc w:val="center"/>
              <w:ind w:right="107"/>
              <w:spacing w:after="0"/>
              <w:rPr>
                <w:sz w:val="20"/>
                <w:szCs w:val="20"/>
                <w:color w:val="auto"/>
              </w:rPr>
            </w:pPr>
            <w:r>
              <w:rPr>
                <w:rFonts w:ascii="Courier New" w:cs="Courier New" w:eastAsia="Courier New" w:hAnsi="Courier New"/>
                <w:sz w:val="15"/>
                <w:szCs w:val="15"/>
                <w:color w:val="auto"/>
              </w:rPr>
              <w:t>X</w:t>
            </w:r>
          </w:p>
        </w:tc>
        <w:tc>
          <w:tcPr>
            <w:tcW w:w="1400" w:type="dxa"/>
            <w:vAlign w:val="bottom"/>
          </w:tcPr>
          <w:p>
            <w:pPr>
              <w:jc w:val="center"/>
              <w:ind w:right="107"/>
              <w:spacing w:after="0"/>
              <w:rPr>
                <w:sz w:val="20"/>
                <w:szCs w:val="20"/>
                <w:color w:val="auto"/>
              </w:rPr>
            </w:pPr>
            <w:r>
              <w:rPr>
                <w:rFonts w:ascii="Courier New" w:cs="Courier New" w:eastAsia="Courier New" w:hAnsi="Courier New"/>
                <w:sz w:val="15"/>
                <w:szCs w:val="15"/>
                <w:color w:val="auto"/>
              </w:rPr>
              <w:t>X</w:t>
            </w:r>
          </w:p>
        </w:tc>
        <w:tc>
          <w:tcPr>
            <w:tcW w:w="1180" w:type="dxa"/>
            <w:vAlign w:val="bottom"/>
          </w:tcPr>
          <w:p>
            <w:pPr>
              <w:ind w:left="480"/>
              <w:spacing w:after="0"/>
              <w:rPr>
                <w:sz w:val="20"/>
                <w:szCs w:val="20"/>
                <w:color w:val="auto"/>
              </w:rPr>
            </w:pPr>
            <w:r>
              <w:rPr>
                <w:rFonts w:ascii="Courier New" w:cs="Courier New" w:eastAsia="Courier New" w:hAnsi="Courier New"/>
                <w:sz w:val="15"/>
                <w:szCs w:val="15"/>
                <w:color w:val="auto"/>
              </w:rPr>
              <w:t>X</w:t>
            </w:r>
          </w:p>
        </w:tc>
      </w:tr>
      <w:tr>
        <w:trPr>
          <w:trHeight w:val="168"/>
        </w:trPr>
        <w:tc>
          <w:tcPr>
            <w:tcW w:w="1140" w:type="dxa"/>
            <w:vAlign w:val="bottom"/>
          </w:tcPr>
          <w:p>
            <w:pPr>
              <w:spacing w:after="0"/>
              <w:rPr>
                <w:sz w:val="20"/>
                <w:szCs w:val="20"/>
                <w:color w:val="auto"/>
              </w:rPr>
            </w:pPr>
            <w:r>
              <w:rPr>
                <w:rFonts w:ascii="Courier New" w:cs="Courier New" w:eastAsia="Courier New" w:hAnsi="Courier New"/>
                <w:sz w:val="14"/>
                <w:szCs w:val="14"/>
                <w:color w:val="auto"/>
                <w:w w:val="74"/>
              </w:rPr>
              <w:t>Soft Drinks.......</w:t>
            </w:r>
          </w:p>
        </w:tc>
        <w:tc>
          <w:tcPr>
            <w:tcW w:w="180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X</w:t>
            </w:r>
          </w:p>
        </w:tc>
        <w:tc>
          <w:tcPr>
            <w:tcW w:w="13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X</w:t>
            </w:r>
          </w:p>
        </w:tc>
        <w:tc>
          <w:tcPr>
            <w:tcW w:w="104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rPr>
              <w:t>X</w:t>
            </w:r>
          </w:p>
        </w:tc>
        <w:tc>
          <w:tcPr>
            <w:tcW w:w="140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rPr>
              <w:t>X</w:t>
            </w:r>
          </w:p>
        </w:tc>
        <w:tc>
          <w:tcPr>
            <w:tcW w:w="11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X</w:t>
            </w:r>
          </w:p>
        </w:tc>
      </w:tr>
      <w:tr>
        <w:trPr>
          <w:trHeight w:val="168"/>
        </w:trPr>
        <w:tc>
          <w:tcPr>
            <w:tcW w:w="29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1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rPr>
              <w:t>X</w:t>
            </w:r>
          </w:p>
        </w:tc>
        <w:tc>
          <w:tcPr>
            <w:tcW w:w="11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X</w:t>
            </w:r>
          </w:p>
        </w:tc>
      </w:tr>
    </w:tbl>
    <w:p>
      <w:pPr>
        <w:spacing w:after="0" w:line="341"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FEMSA Empaques' operating subsidiaries have generally evolved from the internal supply departments of our beverage subsidiaries into packaging market leaders in their own right. Famosa, which is FEMSA Empaques' oldest subsidiary, was established in 1936 to supply crown caps to the Cuauhtemoc brewery. Between 1936 and the late 1970's, we added flexible packaging, plastic and chemical operations to our packaging capabilities. FEMSA Empaques' glass and paper operations were originally part of Grupo Cermoc and became part of our company pursuant to the 1988 Restructuring.</w:t>
      </w:r>
    </w:p>
    <w:p>
      <w:pPr>
        <w:spacing w:after="0" w:line="177"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We have determined that certain operations within FEMSA Empaques, namely glass, cans and crown caps and closures, are important for our core beverage operations. Furthermore, the structure of the industry for some of these products warrants our ownership of these businesses to balance the pricing and supply conditions in order to adequately support our beverage operations. We are therefore committed to keeping those operations as part of our business going forward. Certain other operations, such as labels and flexible packaging, coolers, plastics and chemical products, face more competitive conditions in their respective industries and are relatively less relevant to our core operations, and therefore, we have indicated our intention to divest those operations as opportunities present themselves. The price, terms and timing of these divestitures have not been established.</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Sales to affiliates remain a significant portion of FEMSA Empaques' business. In 2002, sales to affiliates represented 58.3% of FEMSA Empaques' total revenues of Ps. 6.599 billion. In certain product categories, however, FEMSA Empaques has also established itself as a world-class supplier to unaffiliated parties. For example, more than 70.6% of FEMSA Empaques' sales of crown caps and flexible packaging materials were sold to unaffiliated third parties in 2002. In addition, FEMSA Empaques believes that it has developed a significant presence in the export market. Approximately 11.1% of FEMSA Empaques' total revenues were generated through export sales in 2002. FEMSA Empaques operates 12 production facilities and 17 service centers throughout Mexico.</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Business Strategy</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FEMSA Empaques' strategic objective is to transform raw materials at the lowest cost possible into high quality packaging products for customers in the beer, soft drinks, food and packaged consumer products industries. FEMSA Empaques places particular emphasis on reducing costs through productivity gains and waste reduction, providing customers with technical service as a means of ensuring production quality and competitive differentiation, and investing in human and capital resources to facilitate cost reduction and competitiveness.</w:t>
      </w:r>
    </w:p>
    <w:p>
      <w:pPr>
        <w:spacing w:after="0" w:line="32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39"/>
          </w:cols>
          <w:pgMar w:left="220" w:top="617" w:right="1440" w:bottom="1440" w:gutter="0" w:footer="0" w:header="0"/>
        </w:sectPr>
      </w:pPr>
    </w:p>
    <w:bookmarkStart w:id="63" w:name="page64"/>
    <w:bookmarkEnd w:id="63"/>
    <w:p>
      <w:pPr>
        <w:ind w:right="3499" w:firstLine="437"/>
        <w:spacing w:after="0" w:line="256" w:lineRule="auto"/>
        <w:rPr>
          <w:sz w:val="20"/>
          <w:szCs w:val="20"/>
          <w:color w:val="auto"/>
        </w:rPr>
      </w:pPr>
      <w:r>
        <w:rPr>
          <w:rFonts w:ascii="Courier New" w:cs="Courier New" w:eastAsia="Courier New" w:hAnsi="Courier New"/>
          <w:sz w:val="14"/>
          <w:szCs w:val="14"/>
          <w:color w:val="auto"/>
        </w:rPr>
        <w:t>FEMSA Empaques has also placed significant emphasis on customer service throughout its operating subsidiaries. FEMSA Empaques' management seeks to ensure customer satisfaction, as measured primarily by the number of customer returns, order turn-around time and response time to changing customer needs.</w:t>
      </w:r>
    </w:p>
    <w:p>
      <w:pPr>
        <w:spacing w:after="0" w:line="16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Within the FEMSA business portfolio, FEMSA Empaques performs a relevant role as it supplies essential packaging materials, particularly for FEMSA Cerveza. Given its position as strategic supplier, FEMSA Empaques is focused on leveraging its existing capacity by providing packaging solutions to select third parties. Capital expenditures are for maintenance or replacement projects and are primarily funded internally.</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Customers and Products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Originally, the primary function of FEMSA Empaques was to provide our beer and soft drink subsidiaries with high-quality packaging materials at competitive prices, which is reflected in FEMSA Empaques' product mix. However, FEMSA Empaques increased its penetration with unaffiliated third parties in recent years with the objective of improving capacity utilization and fixed cost absorption to continue to reduce the cost of packaging products for its beverage affiliates. Currently, FEMSA Empaques' main third-party customers include Cadbury, unaffiliated Coca-Cola bottlers, Casa Pedro Domecq, S.A. de C.V., Compania Nestle, S.A. de C.V., Labatt, Miller Brewing Co., Coors Brewing Company, Colgate-Palmolive, S.A. de C.V., and Galletera Mexicana, S.A. de C.V. The following table sets forth an allocation of FEMSA Empaques' revenues by product line and client category:</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80" w:type="dxa"/>
            <w:vAlign w:val="bottom"/>
          </w:tcPr>
          <w:p>
            <w:pPr>
              <w:jc w:val="right"/>
              <w:spacing w:after="0"/>
              <w:rPr>
                <w:sz w:val="20"/>
                <w:szCs w:val="20"/>
                <w:color w:val="auto"/>
              </w:rPr>
            </w:pPr>
            <w:r>
              <w:rPr>
                <w:rFonts w:ascii="Courier New" w:cs="Courier New" w:eastAsia="Courier New" w:hAnsi="Courier New"/>
                <w:sz w:val="15"/>
                <w:szCs w:val="15"/>
                <w:color w:val="auto"/>
              </w:rPr>
              <w:t>FEMSA Empaques--</w:t>
            </w:r>
          </w:p>
        </w:tc>
        <w:tc>
          <w:tcPr>
            <w:tcW w:w="3620" w:type="dxa"/>
            <w:vAlign w:val="bottom"/>
            <w:gridSpan w:val="3"/>
          </w:tcPr>
          <w:p>
            <w:pPr>
              <w:spacing w:after="0"/>
              <w:rPr>
                <w:sz w:val="20"/>
                <w:szCs w:val="20"/>
                <w:color w:val="auto"/>
              </w:rPr>
            </w:pPr>
            <w:r>
              <w:rPr>
                <w:rFonts w:ascii="Courier New" w:cs="Courier New" w:eastAsia="Courier New" w:hAnsi="Courier New"/>
                <w:sz w:val="15"/>
                <w:szCs w:val="15"/>
                <w:color w:val="auto"/>
                <w:w w:val="99"/>
              </w:rPr>
              <w:t>Revenue Allocation by Product and Client</w:t>
            </w: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6"/>
        </w:trPr>
        <w:tc>
          <w:tcPr>
            <w:tcW w:w="3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220" w:type="dxa"/>
            <w:vAlign w:val="bottom"/>
            <w:gridSpan w:val="3"/>
          </w:tcPr>
          <w:p>
            <w:pPr>
              <w:ind w:left="600"/>
              <w:spacing w:after="0"/>
              <w:rPr>
                <w:sz w:val="20"/>
                <w:szCs w:val="20"/>
                <w:color w:val="auto"/>
              </w:rPr>
            </w:pPr>
            <w:r>
              <w:rPr>
                <w:rFonts w:ascii="Courier New" w:cs="Courier New" w:eastAsia="Courier New" w:hAnsi="Courier New"/>
                <w:sz w:val="15"/>
                <w:szCs w:val="15"/>
                <w:color w:val="auto"/>
              </w:rPr>
              <w:t>Year Ended December 31,</w:t>
            </w:r>
          </w:p>
        </w:tc>
        <w:tc>
          <w:tcPr>
            <w:tcW w:w="880" w:type="dxa"/>
            <w:vAlign w:val="bottom"/>
          </w:tcPr>
          <w:p>
            <w:pPr>
              <w:spacing w:after="0"/>
              <w:rPr>
                <w:sz w:val="24"/>
                <w:szCs w:val="24"/>
                <w:color w:val="auto"/>
              </w:rPr>
            </w:pPr>
          </w:p>
        </w:tc>
      </w:tr>
      <w:tr>
        <w:trPr>
          <w:trHeight w:val="168"/>
        </w:trPr>
        <w:tc>
          <w:tcPr>
            <w:tcW w:w="3780" w:type="dxa"/>
            <w:vAlign w:val="bottom"/>
          </w:tcPr>
          <w:p>
            <w:pPr>
              <w:spacing w:after="0"/>
              <w:rPr>
                <w:sz w:val="14"/>
                <w:szCs w:val="14"/>
                <w:color w:val="auto"/>
              </w:rPr>
            </w:pPr>
          </w:p>
        </w:tc>
        <w:tc>
          <w:tcPr>
            <w:tcW w:w="14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2002</w:t>
            </w:r>
          </w:p>
        </w:tc>
        <w:tc>
          <w:tcPr>
            <w:tcW w:w="9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2001</w:t>
            </w:r>
          </w:p>
        </w:tc>
        <w:tc>
          <w:tcPr>
            <w:tcW w:w="12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2000</w:t>
            </w:r>
          </w:p>
        </w:tc>
        <w:tc>
          <w:tcPr>
            <w:tcW w:w="10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1999</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3780" w:type="dxa"/>
            <w:vAlign w:val="bottom"/>
          </w:tcPr>
          <w:p>
            <w:pPr>
              <w:spacing w:after="0"/>
              <w:rPr>
                <w:sz w:val="14"/>
                <w:szCs w:val="14"/>
                <w:color w:val="auto"/>
              </w:rPr>
            </w:pPr>
          </w:p>
        </w:tc>
        <w:tc>
          <w:tcPr>
            <w:tcW w:w="14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80" w:type="dxa"/>
            <w:vAlign w:val="bottom"/>
          </w:tcPr>
          <w:p>
            <w:pPr>
              <w:spacing w:after="0"/>
              <w:rPr>
                <w:sz w:val="20"/>
                <w:szCs w:val="20"/>
                <w:color w:val="auto"/>
              </w:rPr>
            </w:pPr>
            <w:r>
              <w:rPr>
                <w:rFonts w:ascii="Courier New" w:cs="Courier New" w:eastAsia="Courier New" w:hAnsi="Courier New"/>
                <w:sz w:val="15"/>
                <w:szCs w:val="15"/>
                <w:color w:val="auto"/>
              </w:rPr>
              <w:t>Product Categories</w:t>
            </w:r>
          </w:p>
        </w:tc>
        <w:tc>
          <w:tcPr>
            <w:tcW w:w="1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Containers</w:t>
            </w:r>
          </w:p>
        </w:tc>
        <w:tc>
          <w:tcPr>
            <w:tcW w:w="1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Metal Products...........................</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48.8%</w:t>
            </w:r>
          </w:p>
        </w:tc>
        <w:tc>
          <w:tcPr>
            <w:tcW w:w="9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48.6%</w:t>
            </w:r>
          </w:p>
        </w:tc>
        <w:tc>
          <w:tcPr>
            <w:tcW w:w="12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52.5%</w:t>
            </w:r>
          </w:p>
        </w:tc>
        <w:tc>
          <w:tcPr>
            <w:tcW w:w="10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50.2%</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52.3%</w:t>
            </w:r>
          </w:p>
        </w:tc>
      </w:tr>
      <w:tr>
        <w:trPr>
          <w:trHeight w:val="168"/>
        </w:trPr>
        <w:tc>
          <w:tcPr>
            <w:tcW w:w="3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Beverage Cans..........................</w:t>
            </w:r>
          </w:p>
        </w:tc>
        <w:tc>
          <w:tcPr>
            <w:tcW w:w="14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32.7</w:t>
            </w:r>
          </w:p>
        </w:tc>
        <w:tc>
          <w:tcPr>
            <w:tcW w:w="9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32.4</w:t>
            </w:r>
          </w:p>
        </w:tc>
        <w:tc>
          <w:tcPr>
            <w:tcW w:w="12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36.6</w:t>
            </w:r>
          </w:p>
        </w:tc>
        <w:tc>
          <w:tcPr>
            <w:tcW w:w="10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35.8</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39.4</w:t>
            </w:r>
          </w:p>
        </w:tc>
      </w:tr>
      <w:tr>
        <w:trPr>
          <w:trHeight w:val="168"/>
        </w:trPr>
        <w:tc>
          <w:tcPr>
            <w:tcW w:w="3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Crown Caps.............................</w:t>
            </w:r>
          </w:p>
        </w:tc>
        <w:tc>
          <w:tcPr>
            <w:tcW w:w="14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10.5</w:t>
            </w:r>
          </w:p>
        </w:tc>
        <w:tc>
          <w:tcPr>
            <w:tcW w:w="9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10.8</w:t>
            </w:r>
          </w:p>
        </w:tc>
        <w:tc>
          <w:tcPr>
            <w:tcW w:w="12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10.3</w:t>
            </w:r>
          </w:p>
        </w:tc>
        <w:tc>
          <w:tcPr>
            <w:tcW w:w="10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9.0</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w:t>
            </w:r>
          </w:p>
        </w:tc>
      </w:tr>
      <w:tr>
        <w:trPr>
          <w:trHeight w:val="168"/>
        </w:trPr>
        <w:tc>
          <w:tcPr>
            <w:tcW w:w="3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Food Cans..............................</w:t>
            </w:r>
          </w:p>
        </w:tc>
        <w:tc>
          <w:tcPr>
            <w:tcW w:w="14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5.6</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5.4</w:t>
            </w:r>
          </w:p>
        </w:tc>
        <w:tc>
          <w:tcPr>
            <w:tcW w:w="12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5.6</w:t>
            </w:r>
          </w:p>
        </w:tc>
        <w:tc>
          <w:tcPr>
            <w:tcW w:w="10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5.4</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w:t>
            </w:r>
          </w:p>
        </w:tc>
      </w:tr>
      <w:tr>
        <w:trPr>
          <w:trHeight w:val="168"/>
        </w:trPr>
        <w:tc>
          <w:tcPr>
            <w:tcW w:w="3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Glass Products...........................</w:t>
            </w:r>
          </w:p>
        </w:tc>
        <w:tc>
          <w:tcPr>
            <w:tcW w:w="14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22.0</w:t>
            </w:r>
          </w:p>
        </w:tc>
        <w:tc>
          <w:tcPr>
            <w:tcW w:w="9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20.5</w:t>
            </w:r>
          </w:p>
        </w:tc>
        <w:tc>
          <w:tcPr>
            <w:tcW w:w="12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19.0</w:t>
            </w:r>
          </w:p>
        </w:tc>
        <w:tc>
          <w:tcPr>
            <w:tcW w:w="10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19.9</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17.3</w:t>
            </w:r>
          </w:p>
        </w:tc>
      </w:tr>
      <w:tr>
        <w:trPr>
          <w:trHeight w:val="168"/>
        </w:trPr>
        <w:tc>
          <w:tcPr>
            <w:tcW w:w="3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Chemical Products........................</w:t>
            </w:r>
          </w:p>
        </w:tc>
        <w:tc>
          <w:tcPr>
            <w:tcW w:w="14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5.7</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5.5</w:t>
            </w:r>
          </w:p>
        </w:tc>
        <w:tc>
          <w:tcPr>
            <w:tcW w:w="12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5.2</w:t>
            </w:r>
          </w:p>
        </w:tc>
        <w:tc>
          <w:tcPr>
            <w:tcW w:w="10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3.9</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w:t>
            </w:r>
          </w:p>
        </w:tc>
      </w:tr>
      <w:tr>
        <w:trPr>
          <w:trHeight w:val="168"/>
        </w:trPr>
        <w:tc>
          <w:tcPr>
            <w:tcW w:w="3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Total Containers.........................</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76.5%</w:t>
            </w:r>
          </w:p>
        </w:tc>
        <w:tc>
          <w:tcPr>
            <w:tcW w:w="9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74.6%</w:t>
            </w:r>
          </w:p>
        </w:tc>
        <w:tc>
          <w:tcPr>
            <w:tcW w:w="12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76.7%</w:t>
            </w:r>
          </w:p>
        </w:tc>
        <w:tc>
          <w:tcPr>
            <w:tcW w:w="10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74.0%</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72.8%</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Packaging</w:t>
            </w:r>
          </w:p>
        </w:tc>
        <w:tc>
          <w:tcPr>
            <w:tcW w:w="1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Paper and Cardboard(1)...................</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0.0%</w:t>
            </w:r>
          </w:p>
        </w:tc>
        <w:tc>
          <w:tcPr>
            <w:tcW w:w="9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0.0%</w:t>
            </w:r>
          </w:p>
        </w:tc>
        <w:tc>
          <w:tcPr>
            <w:tcW w:w="12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0.0%</w:t>
            </w:r>
          </w:p>
        </w:tc>
        <w:tc>
          <w:tcPr>
            <w:tcW w:w="10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7.5%</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w:t>
            </w:r>
          </w:p>
        </w:tc>
      </w:tr>
      <w:tr>
        <w:trPr>
          <w:trHeight w:val="168"/>
        </w:trPr>
        <w:tc>
          <w:tcPr>
            <w:tcW w:w="3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Labels and Flexible Packaging............</w:t>
            </w:r>
          </w:p>
        </w:tc>
        <w:tc>
          <w:tcPr>
            <w:tcW w:w="14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9.8</w:t>
            </w:r>
          </w:p>
        </w:tc>
        <w:tc>
          <w:tcPr>
            <w:tcW w:w="9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9.1</w:t>
            </w:r>
          </w:p>
        </w:tc>
        <w:tc>
          <w:tcPr>
            <w:tcW w:w="12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8.6</w:t>
            </w:r>
          </w:p>
        </w:tc>
        <w:tc>
          <w:tcPr>
            <w:tcW w:w="10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7.0</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6.9</w:t>
            </w:r>
          </w:p>
        </w:tc>
      </w:tr>
      <w:tr>
        <w:trPr>
          <w:trHeight w:val="168"/>
        </w:trPr>
        <w:tc>
          <w:tcPr>
            <w:tcW w:w="3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Total Packaging..........................</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9.8%</w:t>
            </w:r>
          </w:p>
        </w:tc>
        <w:tc>
          <w:tcPr>
            <w:tcW w:w="9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9.1%</w:t>
            </w:r>
          </w:p>
        </w:tc>
        <w:tc>
          <w:tcPr>
            <w:tcW w:w="12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8.6%</w:t>
            </w:r>
          </w:p>
        </w:tc>
        <w:tc>
          <w:tcPr>
            <w:tcW w:w="10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14.5%</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13.6%</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Commercial Products</w:t>
            </w:r>
          </w:p>
        </w:tc>
        <w:tc>
          <w:tcPr>
            <w:tcW w:w="1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Refrigerators............................</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9.3%</w:t>
            </w:r>
          </w:p>
        </w:tc>
        <w:tc>
          <w:tcPr>
            <w:tcW w:w="9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12.4%</w:t>
            </w:r>
          </w:p>
        </w:tc>
        <w:tc>
          <w:tcPr>
            <w:tcW w:w="12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10.7%</w:t>
            </w:r>
          </w:p>
        </w:tc>
        <w:tc>
          <w:tcPr>
            <w:tcW w:w="10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8.2%</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10.4%</w:t>
            </w:r>
          </w:p>
        </w:tc>
      </w:tr>
      <w:tr>
        <w:trPr>
          <w:trHeight w:val="168"/>
        </w:trPr>
        <w:tc>
          <w:tcPr>
            <w:tcW w:w="3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Plastic Products.........................</w:t>
            </w:r>
          </w:p>
        </w:tc>
        <w:tc>
          <w:tcPr>
            <w:tcW w:w="14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4.4</w:t>
            </w:r>
          </w:p>
        </w:tc>
        <w:tc>
          <w:tcPr>
            <w:tcW w:w="9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3.9</w:t>
            </w:r>
          </w:p>
        </w:tc>
        <w:tc>
          <w:tcPr>
            <w:tcW w:w="12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4.0</w:t>
            </w:r>
          </w:p>
        </w:tc>
        <w:tc>
          <w:tcPr>
            <w:tcW w:w="10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3.3</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w:t>
            </w:r>
          </w:p>
        </w:tc>
      </w:tr>
      <w:tr>
        <w:trPr>
          <w:trHeight w:val="168"/>
        </w:trPr>
        <w:tc>
          <w:tcPr>
            <w:tcW w:w="3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Total Commercial Products................</w:t>
            </w:r>
          </w:p>
        </w:tc>
        <w:tc>
          <w:tcPr>
            <w:tcW w:w="14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13.7</w:t>
            </w:r>
          </w:p>
        </w:tc>
        <w:tc>
          <w:tcPr>
            <w:tcW w:w="9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16.3</w:t>
            </w:r>
          </w:p>
        </w:tc>
        <w:tc>
          <w:tcPr>
            <w:tcW w:w="12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14.7</w:t>
            </w:r>
          </w:p>
        </w:tc>
        <w:tc>
          <w:tcPr>
            <w:tcW w:w="10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11.5</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13.6</w:t>
            </w:r>
          </w:p>
        </w:tc>
      </w:tr>
      <w:tr>
        <w:trPr>
          <w:trHeight w:val="168"/>
        </w:trPr>
        <w:tc>
          <w:tcPr>
            <w:tcW w:w="3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Total Revenues....................</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100.0%</w:t>
            </w:r>
          </w:p>
        </w:tc>
        <w:tc>
          <w:tcPr>
            <w:tcW w:w="9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100.0%</w:t>
            </w:r>
          </w:p>
        </w:tc>
        <w:tc>
          <w:tcPr>
            <w:tcW w:w="12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100.0%</w:t>
            </w:r>
          </w:p>
        </w:tc>
        <w:tc>
          <w:tcPr>
            <w:tcW w:w="10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100.0%</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Client Categories</w:t>
            </w:r>
          </w:p>
        </w:tc>
        <w:tc>
          <w:tcPr>
            <w:tcW w:w="1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Coca-Cola FEMSA.............................</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17.4%</w:t>
            </w:r>
          </w:p>
        </w:tc>
        <w:tc>
          <w:tcPr>
            <w:tcW w:w="9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12.9%</w:t>
            </w:r>
          </w:p>
        </w:tc>
        <w:tc>
          <w:tcPr>
            <w:tcW w:w="12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14.6%</w:t>
            </w:r>
          </w:p>
        </w:tc>
        <w:tc>
          <w:tcPr>
            <w:tcW w:w="10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11.6%</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17.0%</w:t>
            </w:r>
          </w:p>
        </w:tc>
      </w:tr>
      <w:tr>
        <w:trPr>
          <w:trHeight w:val="168"/>
        </w:trPr>
        <w:tc>
          <w:tcPr>
            <w:tcW w:w="3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FEMSA Cerveza...............................</w:t>
            </w:r>
          </w:p>
        </w:tc>
        <w:tc>
          <w:tcPr>
            <w:tcW w:w="14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40.9</w:t>
            </w:r>
          </w:p>
        </w:tc>
        <w:tc>
          <w:tcPr>
            <w:tcW w:w="9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43.5</w:t>
            </w:r>
          </w:p>
        </w:tc>
        <w:tc>
          <w:tcPr>
            <w:tcW w:w="12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38.8</w:t>
            </w:r>
          </w:p>
        </w:tc>
        <w:tc>
          <w:tcPr>
            <w:tcW w:w="10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40.2</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36.3</w:t>
            </w:r>
          </w:p>
        </w:tc>
      </w:tr>
      <w:tr>
        <w:trPr>
          <w:trHeight w:val="168"/>
        </w:trPr>
        <w:tc>
          <w:tcPr>
            <w:tcW w:w="3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Third Parties...............................</w:t>
            </w:r>
          </w:p>
        </w:tc>
        <w:tc>
          <w:tcPr>
            <w:tcW w:w="14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41.7</w:t>
            </w:r>
          </w:p>
        </w:tc>
        <w:tc>
          <w:tcPr>
            <w:tcW w:w="9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43.6</w:t>
            </w:r>
          </w:p>
        </w:tc>
        <w:tc>
          <w:tcPr>
            <w:tcW w:w="12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46.6</w:t>
            </w:r>
          </w:p>
        </w:tc>
        <w:tc>
          <w:tcPr>
            <w:tcW w:w="10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48.2</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46.7</w:t>
            </w:r>
          </w:p>
        </w:tc>
      </w:tr>
      <w:tr>
        <w:trPr>
          <w:trHeight w:val="168"/>
        </w:trPr>
        <w:tc>
          <w:tcPr>
            <w:tcW w:w="3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Domestic Third Parties.................</w:t>
            </w:r>
          </w:p>
        </w:tc>
        <w:tc>
          <w:tcPr>
            <w:tcW w:w="14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30.6</w:t>
            </w:r>
          </w:p>
        </w:tc>
        <w:tc>
          <w:tcPr>
            <w:tcW w:w="9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33.8</w:t>
            </w:r>
          </w:p>
        </w:tc>
        <w:tc>
          <w:tcPr>
            <w:tcW w:w="12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36.1</w:t>
            </w:r>
          </w:p>
        </w:tc>
        <w:tc>
          <w:tcPr>
            <w:tcW w:w="10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40.2</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38.6</w:t>
            </w:r>
          </w:p>
        </w:tc>
      </w:tr>
      <w:tr>
        <w:trPr>
          <w:trHeight w:val="168"/>
        </w:trPr>
        <w:tc>
          <w:tcPr>
            <w:tcW w:w="3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Export Third Parties...................</w:t>
            </w:r>
          </w:p>
        </w:tc>
        <w:tc>
          <w:tcPr>
            <w:tcW w:w="14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11.1</w:t>
            </w:r>
          </w:p>
        </w:tc>
        <w:tc>
          <w:tcPr>
            <w:tcW w:w="9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9.8</w:t>
            </w:r>
          </w:p>
        </w:tc>
        <w:tc>
          <w:tcPr>
            <w:tcW w:w="12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10.5</w:t>
            </w:r>
          </w:p>
        </w:tc>
        <w:tc>
          <w:tcPr>
            <w:tcW w:w="10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8.0</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8.1</w:t>
            </w:r>
          </w:p>
        </w:tc>
      </w:tr>
      <w:tr>
        <w:trPr>
          <w:trHeight w:val="168"/>
        </w:trPr>
        <w:tc>
          <w:tcPr>
            <w:tcW w:w="3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Total Revenues....................</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100.0%</w:t>
            </w:r>
          </w:p>
        </w:tc>
        <w:tc>
          <w:tcPr>
            <w:tcW w:w="9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100.0%</w:t>
            </w:r>
          </w:p>
        </w:tc>
        <w:tc>
          <w:tcPr>
            <w:tcW w:w="12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100.0%</w:t>
            </w:r>
          </w:p>
        </w:tc>
        <w:tc>
          <w:tcPr>
            <w:tcW w:w="10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100.0%</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r>
    </w:tbl>
    <w:p>
      <w:pPr>
        <w:spacing w:after="0" w:line="200" w:lineRule="exact"/>
        <w:rPr>
          <w:sz w:val="20"/>
          <w:szCs w:val="20"/>
          <w:color w:val="auto"/>
        </w:rPr>
      </w:pPr>
    </w:p>
    <w:p>
      <w:pPr>
        <w:spacing w:after="0" w:line="309" w:lineRule="exact"/>
        <w:rPr>
          <w:sz w:val="20"/>
          <w:szCs w:val="20"/>
          <w:color w:val="auto"/>
        </w:rPr>
      </w:pPr>
    </w:p>
    <w:p>
      <w:pPr>
        <w:ind w:left="440" w:right="3239" w:hanging="430"/>
        <w:spacing w:after="0" w:line="235" w:lineRule="auto"/>
        <w:tabs>
          <w:tab w:leader="none" w:pos="44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concluded the sale of our cardboard subsidiary (Corrugados Tehuacan, S.A. de C.V.) at the end of May 2000. Revenues from the paper and cardboard operations are included in this table for 1998 and 1999.</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39"/>
          </w:cols>
          <w:pgMar w:left="220" w:top="624" w:right="1440" w:bottom="1440" w:gutter="0" w:footer="0" w:header="0"/>
        </w:sectPr>
      </w:pPr>
    </w:p>
    <w:bookmarkStart w:id="64" w:name="page65"/>
    <w:bookmarkEnd w:id="64"/>
    <w:p>
      <w:pPr>
        <w:ind w:left="440"/>
        <w:spacing w:after="0"/>
        <w:rPr>
          <w:sz w:val="20"/>
          <w:szCs w:val="20"/>
          <w:color w:val="auto"/>
        </w:rPr>
      </w:pPr>
      <w:r>
        <w:rPr>
          <w:rFonts w:ascii="Courier New" w:cs="Courier New" w:eastAsia="Courier New" w:hAnsi="Courier New"/>
          <w:sz w:val="15"/>
          <w:szCs w:val="15"/>
          <w:color w:val="auto"/>
        </w:rPr>
        <w:t>Capital Investments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Over the past five years, FEMSA Empaques has invested approximately Ps. 1.5 billion in capital improvement and expansion projects, most of which took place in 1998. These projects have included the expansion of can and can-lid capacity, the installation of a plastic closure facility and a new commercial refrigerator facility. We believe that these investments, coupled with ongoing efforts to reduce costs and streamline operating processes, are largely responsible for the significant productivity gains realized by FEMSA Empaques over the past decade. However, we maintain that current and future capital investments in FEMSA Empaques should be determined solely by the packaging requirements of our beverage subsidiaries.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Beverage Cans and Can Ends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Famosa began production of three-piece steel cans for the beverage industry in 1959 at its plant in Ensenada, Baja California. In 1969, the Toluca plant also began producing steel beverage cans, and in 1977, the Toluca plant was the first plant in Latin America to produce two-piece steel cans. Two-piece all-aluminum cans were first produced by Famosa at the Ensenada plant in 1982, and this technology was incorporated into the Toluca plant in 1991. Both the Ensenada and Toluca plants were retooled in 1991 to produce standard two-piece aluminum cans. Aluminum "stay-on tab" can ends were produced for the first time at Famosa's Monterrey plant in 1991.</w:t>
      </w:r>
    </w:p>
    <w:p>
      <w:pPr>
        <w:spacing w:after="0" w:line="178"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Famosa currently operates six production lines, four that produce aluminum beverage can bodies (in Ensenada and Toluca) and two that produce can ends (in Monterrey). We believe that Famosa's production facilities utilize world-class processes and state-of-the-art technology. Famosa has a technology exchange agreement with Ball Corporation ("Ball") for the licensing and cross-licensing of beer and soft drink can technology. Ball has recognized FEMSA Empaques' Monterrey and Ensenada can production facilities as the benchmark for Ball's licensees worldwide. See "Item 10. Additional Information--Material Contracts--FEMSA Empaques--Ball Licensing Agreement."</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Aggregate annual production capacity at the two plants in Ensenada and Toluca for beverage can bodies is approximately 3.2 billion cans, and capacity utilization was approximately 92.2% in 2002. Can ends are produced at Famosa's Monterrey facility, which has an annual capacity of 4.0 billion can ends and had an average utilization of 88.4% in 2002.</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beverage can industry in Mexico primarily serves the beer, soft drink and juice industries. The beer industry accounted for approximately 53.6% of industry-wide sales of 6.1 billion cans in 2002. The soft drink and non-carbonated beverage industries accounted for an estimated 39.3% and 7.1% of 2002 industry volume sales, respectively.</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FEMSA Empaques' activities in the beverage can segment are oriented towards the beer, soft drink, and juice industries. We believe that FEMSA Empaques provides its beverage can customers with internationally competitive prices and a high level of technical service. Design quality and innovation are important competitive tools in the beverage can industry, and we believe that FEMSA Empaques maintains a leadership position in these competitive characteristics while remaining a low-cost producer.</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60" w:type="dxa"/>
            <w:vAlign w:val="bottom"/>
          </w:tcPr>
          <w:p>
            <w:pPr>
              <w:jc w:val="right"/>
              <w:spacing w:after="0"/>
              <w:rPr>
                <w:sz w:val="20"/>
                <w:szCs w:val="20"/>
                <w:color w:val="auto"/>
              </w:rPr>
            </w:pPr>
            <w:r>
              <w:rPr>
                <w:rFonts w:ascii="Courier New" w:cs="Courier New" w:eastAsia="Courier New" w:hAnsi="Courier New"/>
                <w:sz w:val="15"/>
                <w:szCs w:val="15"/>
                <w:color w:val="auto"/>
              </w:rPr>
              <w:t>FEMSA Empaques</w:t>
            </w:r>
          </w:p>
        </w:tc>
        <w:tc>
          <w:tcPr>
            <w:tcW w:w="2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6"/>
              </w:rPr>
              <w:t>--Beverage Can Volume</w:t>
            </w: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36"/>
        </w:trPr>
        <w:tc>
          <w:tcPr>
            <w:tcW w:w="4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20" w:type="dxa"/>
            <w:vAlign w:val="bottom"/>
            <w:gridSpan w:val="3"/>
          </w:tcPr>
          <w:p>
            <w:pPr>
              <w:jc w:val="right"/>
              <w:ind w:right="527"/>
              <w:spacing w:after="0"/>
              <w:rPr>
                <w:sz w:val="20"/>
                <w:szCs w:val="20"/>
                <w:color w:val="auto"/>
              </w:rPr>
            </w:pPr>
            <w:r>
              <w:rPr>
                <w:rFonts w:ascii="Courier New" w:cs="Courier New" w:eastAsia="Courier New" w:hAnsi="Courier New"/>
                <w:sz w:val="15"/>
                <w:szCs w:val="15"/>
                <w:color w:val="auto"/>
              </w:rPr>
              <w:t>Year Ended December 31,</w:t>
            </w:r>
          </w:p>
        </w:tc>
        <w:tc>
          <w:tcPr>
            <w:tcW w:w="800" w:type="dxa"/>
            <w:vAlign w:val="bottom"/>
          </w:tcPr>
          <w:p>
            <w:pPr>
              <w:spacing w:after="0"/>
              <w:rPr>
                <w:sz w:val="24"/>
                <w:szCs w:val="24"/>
                <w:color w:val="auto"/>
              </w:rPr>
            </w:pPr>
          </w:p>
        </w:tc>
      </w:tr>
      <w:tr>
        <w:trPr>
          <w:trHeight w:val="168"/>
        </w:trPr>
        <w:tc>
          <w:tcPr>
            <w:tcW w:w="4560" w:type="dxa"/>
            <w:vAlign w:val="bottom"/>
          </w:tcPr>
          <w:p>
            <w:pPr>
              <w:spacing w:after="0"/>
              <w:rPr>
                <w:sz w:val="14"/>
                <w:szCs w:val="14"/>
                <w:color w:val="auto"/>
              </w:rPr>
            </w:pPr>
          </w:p>
        </w:tc>
        <w:tc>
          <w:tcPr>
            <w:tcW w:w="490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2002</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2001</w:t>
            </w: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2000</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1999</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456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FEMSA Empaques sales volume (in Millions of</w:t>
            </w:r>
          </w:p>
        </w:tc>
        <w:tc>
          <w:tcPr>
            <w:tcW w:w="8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units)</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3,000</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2,808</w:t>
            </w: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3,001</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3,216</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3,020</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Sales by client:</w:t>
            </w:r>
          </w:p>
        </w:tc>
        <w:tc>
          <w:tcPr>
            <w:tcW w:w="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5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FEMSA Cerveza..........................</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45.7%</w:t>
            </w: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50.5%</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44.9%</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43.5%</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40.7%</w:t>
            </w:r>
          </w:p>
        </w:tc>
      </w:tr>
      <w:tr>
        <w:trPr>
          <w:trHeight w:val="168"/>
        </w:trPr>
        <w:tc>
          <w:tcPr>
            <w:tcW w:w="45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Coca-Cola FEMSA........................</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11.0%</w:t>
            </w: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6.7%</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12.6%</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9.7%</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12.2%</w:t>
            </w:r>
          </w:p>
        </w:tc>
      </w:tr>
      <w:tr>
        <w:trPr>
          <w:trHeight w:val="168"/>
        </w:trPr>
        <w:tc>
          <w:tcPr>
            <w:tcW w:w="45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Third parties..........................</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43.3%</w:t>
            </w: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42.8%</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42.5%</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46.8%</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47.1%</w:t>
            </w:r>
          </w:p>
        </w:tc>
      </w:tr>
      <w:tr>
        <w:trPr>
          <w:trHeight w:val="168"/>
        </w:trPr>
        <w:tc>
          <w:tcPr>
            <w:tcW w:w="45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Domestic third parties............</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28.9%</w:t>
            </w: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35.1%</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33.7%</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40.6%</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37.1%</w:t>
            </w:r>
          </w:p>
        </w:tc>
      </w:tr>
      <w:tr>
        <w:trPr>
          <w:trHeight w:val="168"/>
        </w:trPr>
        <w:tc>
          <w:tcPr>
            <w:tcW w:w="45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Export third parties..............</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14.4%</w:t>
            </w: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7.7%</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8.8%</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6.2%</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5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Total........................</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100.0%</w:t>
            </w: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100.0%</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100.0%</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100.0%</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45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456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59</w:t>
            </w:r>
          </w:p>
        </w:tc>
        <w:tc>
          <w:tcPr>
            <w:tcW w:w="8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65" w:name="page66"/>
    <w:bookmarkEnd w:id="65"/>
    <w:p>
      <w:pPr>
        <w:ind w:right="3239" w:firstLine="437"/>
        <w:spacing w:after="0" w:line="236" w:lineRule="auto"/>
        <w:rPr>
          <w:sz w:val="20"/>
          <w:szCs w:val="20"/>
          <w:color w:val="auto"/>
        </w:rPr>
      </w:pPr>
      <w:r>
        <w:rPr>
          <w:rFonts w:ascii="Courier New" w:cs="Courier New" w:eastAsia="Courier New" w:hAnsi="Courier New"/>
          <w:sz w:val="15"/>
          <w:szCs w:val="15"/>
          <w:color w:val="auto"/>
        </w:rPr>
        <w:t>FEMSA Empaques is the leading Mexican beverage can manufacturer based on sales volume. Other competitors in the Mexican beverage can industry are Corporativo de Envases, S.A. de C.V., which produces beverage can, crown and plastic caps and PET bottles; Crown Cork de Mexico, S.A. de C.V., which produces beverage cans; and Vitro American National Can, S.A. de C.V., which only produces beverage can bodies.</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Crown Caps and Closures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Famosa currently manufactures crown caps and closures at its Monterrey plant. Famosa's production of container closures dates back to 1920, when, as a division of Cuauhtemoc, Famosa began producing ceramic bottle tops. In 1936, Famosa was formally incorporated as a separate entity. Between 1926 and 1942, Famosa began to engage in other activities in addition to the manufacture of crown caps, including malt processing and production of cardboard. Over time, certain of these activities became independent of Famosa. Malt processing, for example, is now carried out by subsidiaries of FEMSA Cerveza, and the cardboard operations were sold in May 2000.</w:t>
      </w:r>
    </w:p>
    <w:p>
      <w:pPr>
        <w:spacing w:after="0" w:line="17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1973, liquid Polyvinyl Chloride, or PVC, replaced the cork liner that traditionally had been used in bottle caps as a sealing agent. Famosa was the pioneer in introducing this process in Mexico. Famosa began a modernization program in 1990 that included the installation of new production lines and improvements in the printing and sealing lines. Currently, Famosa's crown cap plant is one of the largest and most modern facilities of its kind in the world. Current annual production capacity at the Monterrey facility is approximately 16 billion crown caps. Famosa operates 10 crown cap production lines in Monterrey. Capacity utilization in 2002 was approximately 89.6%.</w:t>
      </w:r>
    </w:p>
    <w:p>
      <w:pPr>
        <w:spacing w:after="0" w:line="17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principal clients for crown caps and closures are the domestic and international beverage industries. Famosa has been a leading Mexican supplier of crown caps throughout its history. FEMSA Empaques' management attributes FEMSA Empaques' leadership position in the industry to its product quality, customer-service orientation and product development expertise.</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60" w:type="dxa"/>
            <w:vAlign w:val="bottom"/>
          </w:tcPr>
          <w:p>
            <w:pPr>
              <w:jc w:val="right"/>
              <w:spacing w:after="0"/>
              <w:rPr>
                <w:sz w:val="20"/>
                <w:szCs w:val="20"/>
                <w:color w:val="auto"/>
              </w:rPr>
            </w:pPr>
            <w:r>
              <w:rPr>
                <w:rFonts w:ascii="Courier New" w:cs="Courier New" w:eastAsia="Courier New" w:hAnsi="Courier New"/>
                <w:sz w:val="15"/>
                <w:szCs w:val="15"/>
                <w:color w:val="auto"/>
              </w:rPr>
              <w:t>FEMSA Empaques--</w:t>
            </w:r>
          </w:p>
        </w:tc>
        <w:tc>
          <w:tcPr>
            <w:tcW w:w="21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5"/>
              </w:rPr>
              <w:t>Crown Caps and Closures</w:t>
            </w:r>
          </w:p>
        </w:tc>
        <w:tc>
          <w:tcPr>
            <w:tcW w:w="1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Year Ended December 31,</w:t>
            </w: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560" w:type="dxa"/>
            <w:vAlign w:val="bottom"/>
          </w:tcPr>
          <w:p>
            <w:pPr>
              <w:spacing w:after="0"/>
              <w:rPr>
                <w:sz w:val="14"/>
                <w:szCs w:val="14"/>
                <w:color w:val="auto"/>
              </w:rPr>
            </w:pPr>
          </w:p>
        </w:tc>
        <w:tc>
          <w:tcPr>
            <w:tcW w:w="1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2002</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2001</w:t>
            </w:r>
          </w:p>
        </w:tc>
        <w:tc>
          <w:tcPr>
            <w:tcW w:w="13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2000</w:t>
            </w:r>
          </w:p>
        </w:tc>
        <w:tc>
          <w:tcPr>
            <w:tcW w:w="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1999</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4560" w:type="dxa"/>
            <w:vAlign w:val="bottom"/>
          </w:tcPr>
          <w:p>
            <w:pPr>
              <w:spacing w:after="0"/>
              <w:rPr>
                <w:sz w:val="14"/>
                <w:szCs w:val="14"/>
                <w:color w:val="auto"/>
              </w:rPr>
            </w:pPr>
          </w:p>
        </w:tc>
        <w:tc>
          <w:tcPr>
            <w:tcW w:w="1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FEMSA Empaques sales volume</w:t>
            </w: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45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6"/>
              </w:rPr>
              <w:t>(in Millions of units)... ......................</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14,287</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14,028</w:t>
            </w: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13,404</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12,765</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11,048</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Sales by client:</w:t>
            </w: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5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FEMSA Cerveza..............................</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27.4%</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27.9%</w:t>
            </w:r>
          </w:p>
        </w:tc>
        <w:tc>
          <w:tcPr>
            <w:tcW w:w="13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29.0%</w:t>
            </w: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30.9%</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33.5%</w:t>
            </w:r>
          </w:p>
        </w:tc>
      </w:tr>
      <w:tr>
        <w:trPr>
          <w:trHeight w:val="168"/>
        </w:trPr>
        <w:tc>
          <w:tcPr>
            <w:tcW w:w="45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Coca-Cola FEMSA............................</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5.6%</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5.4%</w:t>
            </w:r>
          </w:p>
        </w:tc>
        <w:tc>
          <w:tcPr>
            <w:tcW w:w="13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5.9%</w:t>
            </w: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6.0%</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8.5%</w:t>
            </w:r>
          </w:p>
        </w:tc>
      </w:tr>
      <w:tr>
        <w:trPr>
          <w:trHeight w:val="168"/>
        </w:trPr>
        <w:tc>
          <w:tcPr>
            <w:tcW w:w="45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Third parties..............................</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67.0%</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66.7%</w:t>
            </w:r>
          </w:p>
        </w:tc>
        <w:tc>
          <w:tcPr>
            <w:tcW w:w="13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65.1%</w:t>
            </w: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63.1%</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58.0%</w:t>
            </w:r>
          </w:p>
        </w:tc>
      </w:tr>
      <w:tr>
        <w:trPr>
          <w:trHeight w:val="168"/>
        </w:trPr>
        <w:tc>
          <w:tcPr>
            <w:tcW w:w="45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Domestic third parties.................</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11.9%</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15.7%</w:t>
            </w:r>
          </w:p>
        </w:tc>
        <w:tc>
          <w:tcPr>
            <w:tcW w:w="13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18.9%</w:t>
            </w: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20.8%</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27.1%</w:t>
            </w:r>
          </w:p>
        </w:tc>
      </w:tr>
      <w:tr>
        <w:trPr>
          <w:trHeight w:val="168"/>
        </w:trPr>
        <w:tc>
          <w:tcPr>
            <w:tcW w:w="45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Export third parties...................</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55.1%</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51.0%</w:t>
            </w:r>
          </w:p>
        </w:tc>
        <w:tc>
          <w:tcPr>
            <w:tcW w:w="13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46.2%</w:t>
            </w: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42.3%</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30.9%</w:t>
            </w:r>
          </w:p>
        </w:tc>
      </w:tr>
      <w:tr>
        <w:trPr>
          <w:trHeight w:val="168"/>
        </w:trPr>
        <w:tc>
          <w:tcPr>
            <w:tcW w:w="45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Total............................</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100.0%</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100.0%</w:t>
            </w:r>
          </w:p>
        </w:tc>
        <w:tc>
          <w:tcPr>
            <w:tcW w:w="13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100.0%</w:t>
            </w: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2"/>
              </w:rPr>
              <w:t>100.0%</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456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2"/>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crown cap industry in Mexico primarily serves the soft drink and beer industries. In 2002, the soft drink industry utilized approximately 38% of the total industry volume of 19.5 billion crown caps while the beer industry utilized the remaining 62%.</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Demand for crown caps in Mexico has decreased in recent years due to shifts in packaging options in both the beer and soft drink industries. As a result of the poor economic climate in Mexico in the mid-1990's, the beer industry experienced a shift in demand towards larger packaging presentations, and therefore, the number of crown caps required by the industry declined. Demand by the soft drink industry has also contracted, primarily as a result of the increasing use of PET bottles, which use plastic caps as closures. In response to this trend, in 1998 FEMSA Empaques added a plastic cap production unit to its existing facilities. The current installed capacity of this unit is 1.1 billion caps per year.</w:t>
      </w:r>
    </w:p>
    <w:p>
      <w:pPr>
        <w:spacing w:after="0" w:line="34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39"/>
          </w:cols>
          <w:pgMar w:left="220" w:top="624" w:right="1440" w:bottom="1440" w:gutter="0" w:footer="0" w:header="0"/>
        </w:sectPr>
      </w:pPr>
    </w:p>
    <w:bookmarkStart w:id="66" w:name="page67"/>
    <w:bookmarkEnd w:id="66"/>
    <w:p>
      <w:pPr>
        <w:ind w:right="3319" w:firstLine="437"/>
        <w:spacing w:after="0" w:line="235" w:lineRule="auto"/>
        <w:rPr>
          <w:sz w:val="20"/>
          <w:szCs w:val="20"/>
          <w:color w:val="auto"/>
        </w:rPr>
      </w:pPr>
      <w:r>
        <w:rPr>
          <w:rFonts w:ascii="Courier New" w:cs="Courier New" w:eastAsia="Courier New" w:hAnsi="Courier New"/>
          <w:sz w:val="15"/>
          <w:szCs w:val="15"/>
          <w:color w:val="auto"/>
        </w:rPr>
        <w:t>FEMSA Empaques has been able to minimize the impact of reduced demand by its beverage affiliates through sales to an increasing number of domestic third party clients and through exports. Export demand accounted for 55.1% of FEMSA Empaques' crown cap production in 2002.</w:t>
      </w:r>
    </w:p>
    <w:p>
      <w:pPr>
        <w:spacing w:after="0" w:line="175"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Domestic third-party customers include Cadbury and unaffiliated Coca-Cola bottlers. FEMSA Empaques' principal export customers for crown caps include Labatt, Miller Brewing Co., Latrobe Brewing Company LLC and Coors Brewing Co. For the eighth consecutive year, in 2002, Miller's "Partners in Excellence Program" recognized Famosa as Miller's best crown cap supplier.</w:t>
      </w:r>
    </w:p>
    <w:p>
      <w:pPr>
        <w:spacing w:after="0" w:line="174"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FEMSA Empaques' principal domestic competitor in crown caps and closures is Corporativo de Envases, S.A. de C.V., whose main clients are Coca-Cola and Pepsi Cola bottlers.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Glass Bottles</w:t>
      </w:r>
    </w:p>
    <w:p>
      <w:pPr>
        <w:spacing w:after="0" w:line="173"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FEMSA Empaques' production of glass bottles began in 1948 as a department of Moctezuma. In 1976, these operations were expanded to include a silica sand plant in Acayucan, Veracruz. In 1979, the bottling department acquired "press-blow" technology through Hermann Heye, Kommanditgesellschaft ("Heye Glass") of Germany to produce narrow-neck beer bottles. As part of the 1988 Restructuring, Moctezuma's glass operations became part of FEMSA Empaques and were incorporated under the name Silices de Veracruz, S.A. de C.V. ("Sivesa").</w:t>
      </w:r>
    </w:p>
    <w:p>
      <w:pPr>
        <w:spacing w:after="0" w:line="16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FEMSA Empaques' glass bottle production facilities are located in Orizaba, Veracruz. Sivesa's plant includes three glass furnaces with an aggregate glass production capacity of 264,855 tons per year (the equivalent of 1,182 million bottles). Sivesa completed the construction of the third glass furnace at the end of 1996, which increased production capacity by approximately 360 million bottles per year. As of December 31, 2002, Sivesa's capacity utilization was approximately 89.8%.</w:t>
      </w:r>
    </w:p>
    <w:p>
      <w:pPr>
        <w:spacing w:after="0" w:line="176"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In 1993, Sivesa opened a bottle decorating plant in Nogales, Veracruz and began supplying decorated glass bottles to Coca-Cola FEMSA and FEMSA Cerveza. The Nogales plant has an aggregate bottle decoration capacity of 480 million bottles per year. In addition, FEMSA Empaques owns Silice del Istmo, S.A. de C.V. ("Sisa") which operates a silica sand mine with an annual capacity of 360,000 tons per year.</w:t>
      </w:r>
    </w:p>
    <w:p>
      <w:pPr>
        <w:spacing w:after="0" w:line="175"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Given the historical capacity constraints at Sivesa, coupled with the demand by FEMSA Cerveza and Coca-Cola FEMSA for bottles, all of Sivesa's output in the past was sold to FEMSA Cerveza and Coca-Cola FEMSA. In June 1998, Sivesa began selling glass bottles to domestic third party clients for the first time to compensate for the reduction in the purchase of glass bottles by Coca-Cola FEMSA as a result of the rapid change in the presentation mix to non-returnable PET presentations in Coca-Cola FEMSA's Mexican operations.</w:t>
      </w:r>
    </w:p>
    <w:p>
      <w:pPr>
        <w:spacing w:after="0" w:line="16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sales to third-party clients did not compensate for the reduction in demand from Coca-Cola FEMSA. Therefore, FEMSA Empaques' glass bottle sales volume decreased in 1999 and 2000. In 2001 and 2002, this trend reverted as Coca-Cola FEMSA picked up its demand for glass bottles with the introduction of a new 8 oz. Coca-Cola non-returnable presentation.</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Sivesa's production technology is "press-blow," which allows Sivesa to produce high-strength, low-weight bottles. FEMSA Empaques' management believes that these bottle characteristics benefit FEMSA Cerveza and Coca-Cola FEMSA because the bottles produced by Sivesa require less energy and fewer raw materials in the production process. Furthermore, the lightweight characteristic of the bottles reduces transportation expense. As a result, Sivesa is able to supply its affiliates with a high-quality product at competitive prices.</w:t>
      </w:r>
    </w:p>
    <w:p>
      <w:pPr>
        <w:spacing w:after="0" w:line="32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39"/>
          </w:cols>
          <w:pgMar w:left="220" w:top="624" w:right="1440"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70"/>
        </w:trPr>
        <w:tc>
          <w:tcPr>
            <w:tcW w:w="350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FEMSA Empaques--</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Glass Bottles</w:t>
            </w:r>
          </w:p>
        </w:tc>
        <w:tc>
          <w:tcPr>
            <w:tcW w:w="1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36"/>
        </w:trPr>
        <w:tc>
          <w:tcPr>
            <w:tcW w:w="3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Year Ended December 31,</w:t>
            </w: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3500" w:type="dxa"/>
            <w:vAlign w:val="bottom"/>
          </w:tcPr>
          <w:p>
            <w:pPr>
              <w:spacing w:after="0"/>
              <w:rPr>
                <w:sz w:val="14"/>
                <w:szCs w:val="14"/>
                <w:color w:val="auto"/>
              </w:rPr>
            </w:pP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2002</w:t>
            </w:r>
          </w:p>
        </w:tc>
        <w:tc>
          <w:tcPr>
            <w:tcW w:w="13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2001</w:t>
            </w:r>
          </w:p>
        </w:tc>
        <w:tc>
          <w:tcPr>
            <w:tcW w:w="14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2000</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1999</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3500" w:type="dxa"/>
            <w:vAlign w:val="bottom"/>
          </w:tcPr>
          <w:p>
            <w:pPr>
              <w:spacing w:after="0"/>
              <w:rPr>
                <w:sz w:val="14"/>
                <w:szCs w:val="14"/>
                <w:color w:val="auto"/>
              </w:rPr>
            </w:pP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FEMSA Empaques sales volume (in</w:t>
            </w:r>
          </w:p>
        </w:tc>
        <w:tc>
          <w:tcPr>
            <w:tcW w:w="15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3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Millions of Bottles)...................</w:t>
            </w: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1,053</w:t>
            </w:r>
          </w:p>
        </w:tc>
        <w:tc>
          <w:tcPr>
            <w:tcW w:w="13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972</w:t>
            </w:r>
          </w:p>
        </w:tc>
        <w:tc>
          <w:tcPr>
            <w:tcW w:w="14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790</w:t>
            </w: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856</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990</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Sales breakdown by client:</w:t>
            </w:r>
          </w:p>
        </w:tc>
        <w:tc>
          <w:tcPr>
            <w:tcW w:w="15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3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FEMSA Cerveza.....................</w:t>
            </w: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68.2%</w:t>
            </w:r>
          </w:p>
        </w:tc>
        <w:tc>
          <w:tcPr>
            <w:tcW w:w="136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59.8%</w:t>
            </w:r>
          </w:p>
        </w:tc>
        <w:tc>
          <w:tcPr>
            <w:tcW w:w="14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69.6%</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73.4%</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50.7%</w:t>
            </w:r>
          </w:p>
        </w:tc>
      </w:tr>
      <w:tr>
        <w:trPr>
          <w:trHeight w:val="168"/>
        </w:trPr>
        <w:tc>
          <w:tcPr>
            <w:tcW w:w="3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Coca-Cola FEMSA...................</w:t>
            </w: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21.0%</w:t>
            </w:r>
          </w:p>
        </w:tc>
        <w:tc>
          <w:tcPr>
            <w:tcW w:w="136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8.6%</w:t>
            </w:r>
          </w:p>
        </w:tc>
        <w:tc>
          <w:tcPr>
            <w:tcW w:w="14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3.5%</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36.1%</w:t>
            </w:r>
          </w:p>
        </w:tc>
      </w:tr>
      <w:tr>
        <w:trPr>
          <w:trHeight w:val="168"/>
        </w:trPr>
        <w:tc>
          <w:tcPr>
            <w:tcW w:w="3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Third parties.....................</w:t>
            </w: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10.8%</w:t>
            </w:r>
          </w:p>
        </w:tc>
        <w:tc>
          <w:tcPr>
            <w:tcW w:w="136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31.6%</w:t>
            </w:r>
          </w:p>
        </w:tc>
        <w:tc>
          <w:tcPr>
            <w:tcW w:w="14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26.9%</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24.4%</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13.2%</w:t>
            </w:r>
          </w:p>
        </w:tc>
      </w:tr>
      <w:tr>
        <w:trPr>
          <w:trHeight w:val="168"/>
        </w:trPr>
        <w:tc>
          <w:tcPr>
            <w:tcW w:w="3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Domestic third parties.......</w:t>
            </w: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9.8%</w:t>
            </w:r>
          </w:p>
        </w:tc>
        <w:tc>
          <w:tcPr>
            <w:tcW w:w="136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26.6%</w:t>
            </w:r>
          </w:p>
        </w:tc>
        <w:tc>
          <w:tcPr>
            <w:tcW w:w="14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21.2%</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21.5%</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11.1%</w:t>
            </w:r>
          </w:p>
        </w:tc>
      </w:tr>
      <w:tr>
        <w:trPr>
          <w:trHeight w:val="168"/>
        </w:trPr>
        <w:tc>
          <w:tcPr>
            <w:tcW w:w="3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Export third parties.........</w:t>
            </w: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w:t>
            </w:r>
          </w:p>
        </w:tc>
        <w:tc>
          <w:tcPr>
            <w:tcW w:w="136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5.0%</w:t>
            </w:r>
          </w:p>
        </w:tc>
        <w:tc>
          <w:tcPr>
            <w:tcW w:w="14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5.7%</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w:t>
            </w:r>
          </w:p>
        </w:tc>
      </w:tr>
      <w:tr>
        <w:trPr>
          <w:trHeight w:val="168"/>
        </w:trPr>
        <w:tc>
          <w:tcPr>
            <w:tcW w:w="3500" w:type="dxa"/>
            <w:vAlign w:val="bottom"/>
          </w:tcPr>
          <w:p>
            <w:pPr>
              <w:spacing w:after="0"/>
              <w:rPr>
                <w:sz w:val="14"/>
                <w:szCs w:val="14"/>
                <w:color w:val="auto"/>
              </w:rPr>
            </w:pP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w:t>
            </w: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100.0%</w:t>
            </w:r>
          </w:p>
        </w:tc>
        <w:tc>
          <w:tcPr>
            <w:tcW w:w="136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100.0%</w:t>
            </w:r>
          </w:p>
        </w:tc>
        <w:tc>
          <w:tcPr>
            <w:tcW w:w="14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100.0%</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100.0%</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3500" w:type="dxa"/>
            <w:vAlign w:val="bottom"/>
          </w:tcPr>
          <w:p>
            <w:pPr>
              <w:spacing w:after="0"/>
              <w:rPr>
                <w:sz w:val="14"/>
                <w:szCs w:val="14"/>
                <w:color w:val="auto"/>
              </w:rPr>
            </w:pP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soft drink and beer industries accounted for approximately 16% and 62%, respectively, of total Mexican demand for glass containers in 2002. In 2002, Sivesa sold 68.2% of its output to FEMSA Cerveza and 21.0% to Coca-Cola FEMSA. This represented approximately 100% of FEMSA Cerveza's bottle requirements and approximately 99% of Coca-Cola FEMSA's bottle requirements.</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FEMSA Empaques' principal domestic competitor in the glass bottle industry is Vitro. Vitro has historically been the dominant player in the Mexican glass industry. In addition, Nueva Fanal, S.A. de C.V., an affiliate of Grupo Modelo, sells most of its glass bottle production to Grupo Modelo. Management believes that FEMSA Empaques is currently a technological leader and a low-cost producer of beverage bottles in Mexico. Management attributes this position to the fact that FEMSA Empaques was the first Mexican glass producer to employ the more efficient "press-blow" technology in addition to the traditional "blow-blow" process.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Labels and Flexible Packaging</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FEMSA Empaques' subsidiary, Grafo Regia, began operations in 1954 as the label manufacturing division of Cuauhtemoc. Grafo Regia's principal product lines are beer labels, flexible packaging for soaps, cereal box liners, soft drink labels, packaging for powdered drinks and packaging for the confectionery industry. Grafo Regia's facilities are located in Monterrey and have an annual production capacity of 13,500 tons of flexible packaging. In 2002, Grafo Regia operated at approximately 96% of capacity.</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80" w:type="dxa"/>
            <w:vAlign w:val="bottom"/>
          </w:tcPr>
          <w:p>
            <w:pPr>
              <w:jc w:val="right"/>
              <w:spacing w:after="0"/>
              <w:rPr>
                <w:sz w:val="20"/>
                <w:szCs w:val="20"/>
                <w:color w:val="auto"/>
              </w:rPr>
            </w:pPr>
            <w:r>
              <w:rPr>
                <w:rFonts w:ascii="Courier New" w:cs="Courier New" w:eastAsia="Courier New" w:hAnsi="Courier New"/>
                <w:sz w:val="15"/>
                <w:szCs w:val="15"/>
                <w:color w:val="auto"/>
              </w:rPr>
              <w:t>FEMSA Empaques--</w:t>
            </w:r>
          </w:p>
        </w:tc>
        <w:tc>
          <w:tcPr>
            <w:tcW w:w="342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w w:val="96"/>
              </w:rPr>
              <w:t>Labels and Flexible Packaging</w:t>
            </w:r>
          </w:p>
        </w:tc>
        <w:tc>
          <w:tcPr>
            <w:tcW w:w="1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50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Sales Volumes and Marketing Data</w:t>
            </w: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760" w:type="dxa"/>
            <w:vAlign w:val="bottom"/>
            <w:gridSpan w:val="3"/>
          </w:tcPr>
          <w:p>
            <w:pPr>
              <w:ind w:left="920"/>
              <w:spacing w:after="0" w:line="168" w:lineRule="exact"/>
              <w:rPr>
                <w:sz w:val="20"/>
                <w:szCs w:val="20"/>
                <w:color w:val="auto"/>
              </w:rPr>
            </w:pPr>
            <w:r>
              <w:rPr>
                <w:rFonts w:ascii="Courier New" w:cs="Courier New" w:eastAsia="Courier New" w:hAnsi="Courier New"/>
                <w:sz w:val="15"/>
                <w:szCs w:val="15"/>
                <w:color w:val="auto"/>
              </w:rPr>
              <w:t>Year Ended December 31,</w:t>
            </w:r>
          </w:p>
        </w:tc>
        <w:tc>
          <w:tcPr>
            <w:tcW w:w="100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2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2002</w:t>
            </w:r>
          </w:p>
        </w:tc>
        <w:tc>
          <w:tcPr>
            <w:tcW w:w="136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2001</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2000</w:t>
            </w:r>
          </w:p>
        </w:tc>
        <w:tc>
          <w:tcPr>
            <w:tcW w:w="1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1999</w:t>
            </w:r>
          </w:p>
        </w:tc>
        <w:tc>
          <w:tcPr>
            <w:tcW w:w="10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2980" w:type="dxa"/>
            <w:vAlign w:val="bottom"/>
          </w:tcPr>
          <w:p>
            <w:pPr>
              <w:spacing w:after="0"/>
              <w:rPr>
                <w:sz w:val="14"/>
                <w:szCs w:val="14"/>
                <w:color w:val="auto"/>
              </w:rPr>
            </w:pPr>
          </w:p>
        </w:tc>
        <w:tc>
          <w:tcPr>
            <w:tcW w:w="2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Labels (In Millions)</w:t>
            </w:r>
          </w:p>
        </w:tc>
        <w:tc>
          <w:tcPr>
            <w:tcW w:w="20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2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4"/>
              </w:rPr>
              <w:t>FEMSA Empaques sales volume.................</w:t>
            </w:r>
          </w:p>
        </w:tc>
        <w:tc>
          <w:tcPr>
            <w:tcW w:w="2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4,688</w:t>
            </w:r>
          </w:p>
        </w:tc>
        <w:tc>
          <w:tcPr>
            <w:tcW w:w="136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4,871</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4,786</w:t>
            </w:r>
          </w:p>
        </w:tc>
        <w:tc>
          <w:tcPr>
            <w:tcW w:w="11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4,365</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3,608</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Sales breakdown by client:</w:t>
            </w:r>
          </w:p>
        </w:tc>
        <w:tc>
          <w:tcPr>
            <w:tcW w:w="20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4"/>
              </w:rPr>
              <w:t>FEMSA Cerveza..........................</w:t>
            </w:r>
          </w:p>
        </w:tc>
        <w:tc>
          <w:tcPr>
            <w:tcW w:w="2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58.7%</w:t>
            </w:r>
          </w:p>
        </w:tc>
        <w:tc>
          <w:tcPr>
            <w:tcW w:w="136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59.4%</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69.1%</w:t>
            </w:r>
          </w:p>
        </w:tc>
        <w:tc>
          <w:tcPr>
            <w:tcW w:w="11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63.0%</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74.6%</w:t>
            </w:r>
          </w:p>
        </w:tc>
      </w:tr>
      <w:tr>
        <w:trPr>
          <w:trHeight w:val="168"/>
        </w:trPr>
        <w:tc>
          <w:tcPr>
            <w:tcW w:w="2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4"/>
              </w:rPr>
              <w:t>Coca-Cola FEMSA........................</w:t>
            </w:r>
          </w:p>
        </w:tc>
        <w:tc>
          <w:tcPr>
            <w:tcW w:w="2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25.1%</w:t>
            </w:r>
          </w:p>
        </w:tc>
        <w:tc>
          <w:tcPr>
            <w:tcW w:w="136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22.2%</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23.2%</w:t>
            </w:r>
          </w:p>
        </w:tc>
        <w:tc>
          <w:tcPr>
            <w:tcW w:w="11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19.0%</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10.4%</w:t>
            </w:r>
          </w:p>
        </w:tc>
      </w:tr>
      <w:tr>
        <w:trPr>
          <w:trHeight w:val="168"/>
        </w:trPr>
        <w:tc>
          <w:tcPr>
            <w:tcW w:w="2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4"/>
              </w:rPr>
              <w:t>Third parties..........................</w:t>
            </w:r>
          </w:p>
        </w:tc>
        <w:tc>
          <w:tcPr>
            <w:tcW w:w="2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16.2%</w:t>
            </w:r>
          </w:p>
        </w:tc>
        <w:tc>
          <w:tcPr>
            <w:tcW w:w="136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18.4%</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7.7%</w:t>
            </w:r>
          </w:p>
        </w:tc>
        <w:tc>
          <w:tcPr>
            <w:tcW w:w="11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18.0%</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15.0%</w:t>
            </w:r>
          </w:p>
        </w:tc>
      </w:tr>
      <w:tr>
        <w:trPr>
          <w:trHeight w:val="168"/>
        </w:trPr>
        <w:tc>
          <w:tcPr>
            <w:tcW w:w="2980" w:type="dxa"/>
            <w:vAlign w:val="bottom"/>
          </w:tcPr>
          <w:p>
            <w:pPr>
              <w:spacing w:after="0"/>
              <w:rPr>
                <w:sz w:val="14"/>
                <w:szCs w:val="14"/>
                <w:color w:val="auto"/>
              </w:rPr>
            </w:pPr>
          </w:p>
        </w:tc>
        <w:tc>
          <w:tcPr>
            <w:tcW w:w="2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Total............................</w:t>
            </w:r>
          </w:p>
        </w:tc>
        <w:tc>
          <w:tcPr>
            <w:tcW w:w="2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100.0%</w:t>
            </w:r>
          </w:p>
        </w:tc>
        <w:tc>
          <w:tcPr>
            <w:tcW w:w="136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100.0%</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100.0%</w:t>
            </w:r>
          </w:p>
        </w:tc>
        <w:tc>
          <w:tcPr>
            <w:tcW w:w="11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100.0%</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2980" w:type="dxa"/>
            <w:vAlign w:val="bottom"/>
          </w:tcPr>
          <w:p>
            <w:pPr>
              <w:spacing w:after="0"/>
              <w:rPr>
                <w:sz w:val="14"/>
                <w:szCs w:val="14"/>
                <w:color w:val="auto"/>
              </w:rPr>
            </w:pPr>
          </w:p>
        </w:tc>
        <w:tc>
          <w:tcPr>
            <w:tcW w:w="2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Flexible Packaging (tons)</w:t>
            </w:r>
          </w:p>
        </w:tc>
        <w:tc>
          <w:tcPr>
            <w:tcW w:w="20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2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4"/>
              </w:rPr>
              <w:t>FEMSA Empaques sales volume.................</w:t>
            </w:r>
          </w:p>
        </w:tc>
        <w:tc>
          <w:tcPr>
            <w:tcW w:w="2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10,875</w:t>
            </w:r>
          </w:p>
        </w:tc>
        <w:tc>
          <w:tcPr>
            <w:tcW w:w="136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8,414</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6,847</w:t>
            </w:r>
          </w:p>
        </w:tc>
        <w:tc>
          <w:tcPr>
            <w:tcW w:w="11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6,765</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7,363</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Sales breakdown by client:</w:t>
            </w:r>
          </w:p>
        </w:tc>
        <w:tc>
          <w:tcPr>
            <w:tcW w:w="20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5040" w:type="dxa"/>
            <w:vAlign w:val="bottom"/>
            <w:gridSpan w:val="2"/>
          </w:tcPr>
          <w:p>
            <w:pPr>
              <w:jc w:val="right"/>
              <w:ind w:right="1107"/>
              <w:spacing w:after="0" w:line="168" w:lineRule="exact"/>
              <w:rPr>
                <w:sz w:val="20"/>
                <w:szCs w:val="20"/>
                <w:color w:val="auto"/>
              </w:rPr>
            </w:pPr>
            <w:r>
              <w:rPr>
                <w:rFonts w:ascii="Courier New" w:cs="Courier New" w:eastAsia="Courier New" w:hAnsi="Courier New"/>
                <w:sz w:val="15"/>
                <w:szCs w:val="15"/>
                <w:color w:val="auto"/>
              </w:rPr>
              <w:t>FEMSA Cerveza and Coca-Cola FEMSA......</w:t>
            </w: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2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14.4%</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7.1%</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7.9%</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7.2%</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w:t>
            </w:r>
          </w:p>
        </w:tc>
      </w:tr>
      <w:tr>
        <w:trPr>
          <w:trHeight w:val="168"/>
        </w:trPr>
        <w:tc>
          <w:tcPr>
            <w:tcW w:w="2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4"/>
              </w:rPr>
              <w:t>Domestic third parties.................</w:t>
            </w:r>
          </w:p>
        </w:tc>
        <w:tc>
          <w:tcPr>
            <w:tcW w:w="2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82.3%</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89.5%</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88.2%</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80.5%</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80.9%</w:t>
            </w:r>
          </w:p>
        </w:tc>
      </w:tr>
      <w:tr>
        <w:trPr>
          <w:trHeight w:val="168"/>
        </w:trPr>
        <w:tc>
          <w:tcPr>
            <w:tcW w:w="2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4"/>
              </w:rPr>
              <w:t>Export third parties...................</w:t>
            </w:r>
          </w:p>
        </w:tc>
        <w:tc>
          <w:tcPr>
            <w:tcW w:w="2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12.3%</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10.6%</w:t>
            </w:r>
          </w:p>
        </w:tc>
      </w:tr>
      <w:tr>
        <w:trPr>
          <w:trHeight w:val="168"/>
        </w:trPr>
        <w:tc>
          <w:tcPr>
            <w:tcW w:w="2980" w:type="dxa"/>
            <w:vAlign w:val="bottom"/>
          </w:tcPr>
          <w:p>
            <w:pPr>
              <w:spacing w:after="0"/>
              <w:rPr>
                <w:sz w:val="14"/>
                <w:szCs w:val="14"/>
                <w:color w:val="auto"/>
              </w:rPr>
            </w:pPr>
          </w:p>
        </w:tc>
        <w:tc>
          <w:tcPr>
            <w:tcW w:w="2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Total............................</w:t>
            </w:r>
          </w:p>
        </w:tc>
        <w:tc>
          <w:tcPr>
            <w:tcW w:w="2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100.0%</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100.0%</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100.0%</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100.0%</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2980" w:type="dxa"/>
            <w:vAlign w:val="bottom"/>
          </w:tcPr>
          <w:p>
            <w:pPr>
              <w:spacing w:after="0"/>
              <w:rPr>
                <w:sz w:val="14"/>
                <w:szCs w:val="14"/>
                <w:color w:val="auto"/>
              </w:rPr>
            </w:pPr>
          </w:p>
        </w:tc>
        <w:tc>
          <w:tcPr>
            <w:tcW w:w="2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2980" w:type="dxa"/>
            <w:vAlign w:val="bottom"/>
          </w:tcPr>
          <w:p>
            <w:pPr>
              <w:spacing w:after="0"/>
              <w:rPr>
                <w:sz w:val="24"/>
                <w:szCs w:val="24"/>
                <w:color w:val="auto"/>
              </w:rPr>
            </w:pPr>
          </w:p>
        </w:tc>
        <w:tc>
          <w:tcPr>
            <w:tcW w:w="2060" w:type="dxa"/>
            <w:vAlign w:val="bottom"/>
          </w:tcPr>
          <w:p>
            <w:pPr>
              <w:jc w:val="right"/>
              <w:ind w:right="1367"/>
              <w:spacing w:after="0"/>
              <w:rPr>
                <w:sz w:val="20"/>
                <w:szCs w:val="20"/>
                <w:color w:val="auto"/>
              </w:rPr>
            </w:pPr>
            <w:r>
              <w:rPr>
                <w:rFonts w:ascii="Courier New" w:cs="Courier New" w:eastAsia="Courier New" w:hAnsi="Courier New"/>
                <w:sz w:val="15"/>
                <w:szCs w:val="15"/>
                <w:color w:val="auto"/>
              </w:rPr>
              <w:t>62</w:t>
            </w:r>
          </w:p>
        </w:tc>
        <w:tc>
          <w:tcPr>
            <w:tcW w:w="1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0239"/>
          </w:cols>
          <w:pgMar w:left="220" w:top="954" w:right="1440" w:bottom="1440" w:gutter="0" w:footer="0" w:header="0"/>
        </w:sectPr>
      </w:pPr>
    </w:p>
    <w:bookmarkStart w:id="68" w:name="page69"/>
    <w:bookmarkEnd w:id="68"/>
    <w:p>
      <w:pPr>
        <w:ind w:right="3319" w:firstLine="437"/>
        <w:spacing w:after="0" w:line="255" w:lineRule="auto"/>
        <w:rPr>
          <w:sz w:val="20"/>
          <w:szCs w:val="20"/>
          <w:color w:val="auto"/>
        </w:rPr>
      </w:pPr>
      <w:r>
        <w:rPr>
          <w:rFonts w:ascii="Courier New" w:cs="Courier New" w:eastAsia="Courier New" w:hAnsi="Courier New"/>
          <w:sz w:val="14"/>
          <w:szCs w:val="14"/>
          <w:color w:val="auto"/>
        </w:rPr>
        <w:t>In 2002, Grafo Regia's sold 58.7% of its label production to FEMSA Cerveza and 25.1% to Coca-Cola FEMSA. Third-party customers, who are primarily unaffiliated soft drink bottlers, accounted for the remaining 16.2% of production in 2002. Principal flexible packaging third-party clients include Colgate-Palmolive, S.A. de C.V., Warner Lambert de Mexico, S.A. de C.V., Galletera Mexicana, S.A. de C.V. and Fabrica de Jabon La Corona, S.A. de C.V.</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Grafo Regia is a leading label producer in Mexico. Novacel, S.A. de C.V. ("Novacel") is the second largest market participant. Novacel has strong ties to Grupo Industrial Bimbo, S.A. de C.V. and Celanese Mexicana, S.A. de C.V. The flexible packaging industry is highly fragmented. The market leader is Policel, S.A. de C.V., which has strong ties to Sabritas, S.A. de C.V., a Pepsi Cola affiliate. Another relevant competitor is Aluprint, S.A. de C.V.</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Commercial Refrigerators</w:t>
      </w:r>
    </w:p>
    <w:p>
      <w:pPr>
        <w:spacing w:after="0" w:line="173"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Vendo de Mexico, S.A. de C.V. ("Vendo") began operations in Mexico City in 1941 and was acquired by Moctezuma in 1979. Since 1982, Vendo has both produced refrigeration equipment and provided its customers with full repair service and preventive maintenance programs.</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Vendo produces vertical and horizontal commercial refrigerators and ice chambers for the soft drink, beer and food industries. Management believes that Vendo is the Mexican market leader in beverage refrigeration and is a technological leader with respect to design, operating efficiency and after-sales service.</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2002, Vendo sold approximately 93,549 refrigeration units, 79.1% of which were sold to affiliates. Management believes that Vendo's growth reflects the marketing strategies of FEMSA Cerveza and Coca-Cola FEMSA, both of which have emphasized the use of refrigeration as a competitive tool in the marketplace because consumers are more likely to make impulse purchases of chilled beverages.</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Given FEMSA Cerveza's objective of ensuring wide availability of its products cooled at below zero degrees Celsius, Vendo began manufacturing a specialized beer cooler designed to maintain the product between zero degrees and minus three degrees Celsius at all times. Recent models of these specialized coolers have improved energy saving capacity and continue to enhance the appearance of the point of sale as they are covered with brand merchandising material and innovative designs. FEMSA Cerveza's management believes that these specialized coolers are an important marketing and merchandising tool that will contribute to better sale of these products. See "--FEMSA Cerveza--Business Strategy."</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Plant Locations</w:t>
      </w:r>
    </w:p>
    <w:p>
      <w:pPr>
        <w:spacing w:after="0" w:line="173" w:lineRule="exact"/>
        <w:rPr>
          <w:sz w:val="20"/>
          <w:szCs w:val="20"/>
          <w:color w:val="auto"/>
        </w:rPr>
      </w:pPr>
    </w:p>
    <w:p>
      <w:pPr>
        <w:ind w:right="4019" w:firstLine="437"/>
        <w:spacing w:after="0" w:line="234" w:lineRule="auto"/>
        <w:rPr>
          <w:sz w:val="20"/>
          <w:szCs w:val="20"/>
          <w:color w:val="auto"/>
        </w:rPr>
      </w:pPr>
      <w:r>
        <w:rPr>
          <w:rFonts w:ascii="Courier New" w:cs="Courier New" w:eastAsia="Courier New" w:hAnsi="Courier New"/>
          <w:sz w:val="15"/>
          <w:szCs w:val="15"/>
          <w:color w:val="auto"/>
        </w:rPr>
        <w:t>The following map shows the locations of FEMSA Empaques' principal production facilities: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(Embedded Picture)</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Raw Materials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principal raw materials used by FEMSA Empaques include aluminum, steel, paper, aluminum foil, silica sand, soda ash and polyethylene. FEMSA Empaques is vertically integrated in silica sand mining, and FEMSA Empaques' silica sand mine has been able to easily satisfy all of FEMSA Empaques' silica sand requirements. With the exception of aluminum, all of these products are available from a variety of domestic and international sources. FEMSA Empaques purchases aluminum and steel directly from qualified suppliers on a contractual basis. These contracts generally have terms of six months or one year and specify prices free-on-board at FEMSA Empaques' plants. Companies such as Alcoa, Nittetsu-Shoji, Reynolds Aluminum, and Kaiser Aluminum have been selected as qualified suppliers.</w:t>
      </w:r>
    </w:p>
    <w:p>
      <w:pPr>
        <w:spacing w:after="0" w:line="3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39"/>
          </w:cols>
          <w:pgMar w:left="220" w:top="624" w:right="1440" w:bottom="1440" w:gutter="0" w:footer="0" w:header="0"/>
        </w:sectPr>
      </w:pPr>
    </w:p>
    <w:bookmarkStart w:id="69" w:name="page70"/>
    <w:bookmarkEnd w:id="69"/>
    <w:p>
      <w:pPr>
        <w:ind w:right="3399" w:firstLine="437"/>
        <w:spacing w:after="0" w:line="235" w:lineRule="auto"/>
        <w:rPr>
          <w:sz w:val="20"/>
          <w:szCs w:val="20"/>
          <w:color w:val="auto"/>
        </w:rPr>
      </w:pPr>
      <w:r>
        <w:rPr>
          <w:rFonts w:ascii="Courier New" w:cs="Courier New" w:eastAsia="Courier New" w:hAnsi="Courier New"/>
          <w:sz w:val="15"/>
          <w:szCs w:val="15"/>
          <w:color w:val="auto"/>
        </w:rPr>
        <w:t>With respect to other raw materials, FEMSA Empaques' policy is to seek at least three bids for each purchase and to identify reliable low cost, high quality suppliers. FEMSA Empaques purchases polyethylene from Dioplas, S.A., Resirene, S.A. and Petroleos Mexicanos ("PEMEX").</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Seasonality</w:t>
      </w:r>
    </w:p>
    <w:p>
      <w:pPr>
        <w:spacing w:after="0" w:line="173" w:lineRule="exact"/>
        <w:rPr>
          <w:sz w:val="20"/>
          <w:szCs w:val="20"/>
          <w:color w:val="auto"/>
        </w:rPr>
      </w:pPr>
    </w:p>
    <w:p>
      <w:pPr>
        <w:ind w:right="3319" w:firstLine="437"/>
        <w:spacing w:after="0" w:line="258" w:lineRule="auto"/>
        <w:rPr>
          <w:sz w:val="20"/>
          <w:szCs w:val="20"/>
          <w:color w:val="auto"/>
        </w:rPr>
      </w:pPr>
      <w:r>
        <w:rPr>
          <w:rFonts w:ascii="Courier New" w:cs="Courier New" w:eastAsia="Courier New" w:hAnsi="Courier New"/>
          <w:sz w:val="14"/>
          <w:szCs w:val="14"/>
          <w:color w:val="auto"/>
        </w:rPr>
        <w:t>Demand for FEMSA Empaques' products is closely correlated to demand in the beverage industry. However, as a supplier to the beverage industry, FEMSA Empaques' peak demand periods generally precede the peak beverage seasons.</w:t>
      </w:r>
    </w:p>
    <w:p>
      <w:pPr>
        <w:spacing w:after="0" w:line="15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Logistica</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Logistica began operations on April 1, 1998. Logistica's principal objective is to provide integrated logistics support for its clients' supply chain, beginning with the supply of raw materials to production centers and ending with the distribution of finished products, including the management of carriers and other supply chain services. At the end of 1999, management restructured the operations of Logistica, resulting in the division of assets of Logistica into two subholding companies: Logistica CCM and FEMSA Logistica. Logistica CCM provided logistics services solely to FEMSA Cerveza and was jointly owned by us (70%) and by Labatt (30%). FEMSA Logistica serves Coca-Cola FEMSA, FEMSA Empaques and third-party clients that either supply or participate directly in the Mexican beverage industry or in other industries. As of January 1, 2003, Logistica CCM was merged into FEMSA Cerveza. However, during 2002, and for the purposes of this Annual Report, we refer to Logistica CCM and FEMSA Logistica jointly as "Logistica."</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Logistica recorded total revenues of Ps. 1.458 billion and operating income of Ps. 118.8 million (excluding operating expenses in connection with e-commerce projects of Ps. 29 million) for the year ended December 31, 2002. Logistica derived 83% of its revenues in 2002 from services to FEMSA Cerveza, Coca-Cola FEMSA and FEMSA Empaques. The remaining 17% was derived from FEMSA Logistica's main third party clients, such as IEQSA, Bonafont, S.A. de C.V., Alpla Mexico, S.A. de C.V. and Manufacturas Cifunsa, S.A. de C.V.</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As of December 31, 2002, Logistica had a total workforce of 1,803 employees, of which 57% were qualified drivers, 17% were mechanics and the remaining 26% were commercial, technical and administrative staff. The truck fleet under management, both owned and leased, as of December 31, 2002 was composed of 667 tractors, 1,910 trailers, and 704 dollies. To cover the national territory on a continuous basis, the logistics team utilizes nine main service centers and seven relay stations and manages five warehouses strategically located across Mexico.</w:t>
      </w:r>
    </w:p>
    <w:p>
      <w:pPr>
        <w:spacing w:after="0" w:line="171"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Perfil Corporativo</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Perfil Corporativo, S.A. de C.V. ("Perfil Corporativo"), is a wholly-owned subsidiary of Emprex whose principal assets are the Mundet brands of soft drinks and certain concentrate production equipment including two apple juice plants located in the states of Chihuahua and Durango. The Mundet brands enjoy broad recognition in Central Mexico with more than 100 years of history in this territory and are viewed by consumers in the Mexican market as having beneficial health attributes due to their juice-based formula and product pasteurization. On November 2, 2001, Coca-Cola FEMSA entered into two franchise bottling agreements under which Coca-Cola FEMSA became the sole franchisee for the production, bottling, distribution and sale of Mundet brands in the Valley of Mexico and most of its Southeast Mexico Territory. Each franchise agreement has a term of ten years and will expire on November 2, 2011. The bottling provisions are automatically renewable for ten-year terms, subject to non-renewal by either party with notice to the other party. Other terms and conditions of the franchise agreements are similar to the current arrangements that Coca-Cola FEMSA has entered into with The Coca-Cola Company for the bottling and distribution of Coca-Cola trademark soft drink beverages. In addition, Perfil Corporativo has honored pre-existing franchise agreements with other bottlers for the bottling and distribution of Mundet products.</w:t>
      </w:r>
    </w:p>
    <w:p>
      <w:pPr>
        <w:spacing w:after="0" w:line="175" w:lineRule="exact"/>
        <w:rPr>
          <w:sz w:val="20"/>
          <w:szCs w:val="20"/>
          <w:color w:val="auto"/>
        </w:rPr>
      </w:pPr>
    </w:p>
    <w:p>
      <w:pPr>
        <w:jc w:val="both"/>
        <w:ind w:right="3499" w:firstLine="437"/>
        <w:spacing w:after="0" w:line="235" w:lineRule="auto"/>
        <w:rPr>
          <w:sz w:val="20"/>
          <w:szCs w:val="20"/>
          <w:color w:val="auto"/>
        </w:rPr>
      </w:pPr>
      <w:r>
        <w:rPr>
          <w:rFonts w:ascii="Courier New" w:cs="Courier New" w:eastAsia="Courier New" w:hAnsi="Courier New"/>
          <w:sz w:val="15"/>
          <w:szCs w:val="15"/>
          <w:color w:val="auto"/>
        </w:rPr>
        <w:t>We are currently focused on strengthening the brand equity of the Mundet brands. Sales volume for Mundet products in 2002 was approximately 21 million unit cases.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39"/>
          </w:cols>
          <w:pgMar w:left="220" w:top="624" w:right="1440" w:bottom="1440" w:gutter="0" w:footer="0" w:header="0"/>
        </w:sectPr>
      </w:pPr>
    </w:p>
    <w:bookmarkStart w:id="70" w:name="page71"/>
    <w:bookmarkEnd w:id="70"/>
    <w:p>
      <w:pPr>
        <w:jc w:val="center"/>
        <w:ind w:right="3760"/>
        <w:spacing w:after="0"/>
        <w:rPr>
          <w:sz w:val="20"/>
          <w:szCs w:val="20"/>
          <w:color w:val="auto"/>
        </w:rPr>
      </w:pPr>
      <w:r>
        <w:rPr>
          <w:rFonts w:ascii="Courier New" w:cs="Courier New" w:eastAsia="Courier New" w:hAnsi="Courier New"/>
          <w:sz w:val="15"/>
          <w:szCs w:val="15"/>
          <w:color w:val="auto"/>
        </w:rPr>
        <w:t>FEMSA Servicios</w:t>
      </w:r>
    </w:p>
    <w:p>
      <w:pPr>
        <w:spacing w:after="0" w:line="173" w:lineRule="exact"/>
        <w:rPr>
          <w:sz w:val="20"/>
          <w:szCs w:val="20"/>
          <w:color w:val="auto"/>
        </w:rPr>
      </w:pPr>
    </w:p>
    <w:p>
      <w:pPr>
        <w:ind w:right="3860" w:firstLine="437"/>
        <w:spacing w:after="0" w:line="255" w:lineRule="auto"/>
        <w:rPr>
          <w:sz w:val="20"/>
          <w:szCs w:val="20"/>
          <w:color w:val="auto"/>
        </w:rPr>
      </w:pPr>
      <w:r>
        <w:rPr>
          <w:rFonts w:ascii="Courier New" w:cs="Courier New" w:eastAsia="Courier New" w:hAnsi="Courier New"/>
          <w:sz w:val="14"/>
          <w:szCs w:val="14"/>
          <w:color w:val="auto"/>
        </w:rPr>
        <w:t>FEMSA Servicios is a direct subsidiary of Emprex and employs all of our corporate staff, including the personnel managing the areas of finance, corporate accounting, taxation, legal, planning, human resources and internal audit. FEMSA Servicios directs, controls, supervises and reviews the operations of our subholding companies. In conjunction with these activities, FEMSA Servicios' executive personnel are largely responsible for our subholding companies' relationships with regulatory and governmental agencies. In addition, FEMSA Servicios is an active participant in our subholding companies' community relations programs, including public and investor relations. Furthermore, FEMSA Servicios is principally responsible for our relationships with strategic partners for FEMSA Cerveza and Coca-Cola FEMSA.</w:t>
      </w:r>
    </w:p>
    <w:p>
      <w:pPr>
        <w:spacing w:after="0" w:line="165" w:lineRule="exact"/>
        <w:rPr>
          <w:sz w:val="20"/>
          <w:szCs w:val="20"/>
          <w:color w:val="auto"/>
        </w:rPr>
      </w:pPr>
    </w:p>
    <w:p>
      <w:pPr>
        <w:ind w:right="3860" w:firstLine="437"/>
        <w:spacing w:after="0" w:line="235" w:lineRule="auto"/>
        <w:rPr>
          <w:sz w:val="20"/>
          <w:szCs w:val="20"/>
          <w:color w:val="auto"/>
        </w:rPr>
      </w:pPr>
      <w:r>
        <w:rPr>
          <w:rFonts w:ascii="Courier New" w:cs="Courier New" w:eastAsia="Courier New" w:hAnsi="Courier New"/>
          <w:sz w:val="15"/>
          <w:szCs w:val="15"/>
          <w:color w:val="auto"/>
        </w:rPr>
        <w:t>FEMSA Cerveza, FEMSA Empaques and FEMSA Comercio pay Emprex management fees for the services provided to them by FEMSA Servicios. In addition, FEMSA Cerveza and Coca-Cola FEMSA have each entered into a services agreement with FEMSA Servicios pursuant to which they pay for specific services.</w:t>
      </w:r>
    </w:p>
    <w:p>
      <w:pPr>
        <w:spacing w:after="0" w:line="16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Description of Property, Plant and Equipment</w:t>
      </w:r>
    </w:p>
    <w:p>
      <w:pPr>
        <w:spacing w:after="0" w:line="173" w:lineRule="exact"/>
        <w:rPr>
          <w:sz w:val="20"/>
          <w:szCs w:val="20"/>
          <w:color w:val="auto"/>
        </w:rPr>
      </w:pPr>
    </w:p>
    <w:p>
      <w:pPr>
        <w:ind w:right="3860" w:firstLine="437"/>
        <w:spacing w:after="0" w:line="255" w:lineRule="auto"/>
        <w:rPr>
          <w:sz w:val="20"/>
          <w:szCs w:val="20"/>
          <w:color w:val="auto"/>
        </w:rPr>
      </w:pPr>
      <w:r>
        <w:rPr>
          <w:rFonts w:ascii="Courier New" w:cs="Courier New" w:eastAsia="Courier New" w:hAnsi="Courier New"/>
          <w:sz w:val="14"/>
          <w:szCs w:val="14"/>
          <w:color w:val="auto"/>
        </w:rPr>
        <w:t>As of December 31, 2002, we owned all of our manufacturing facilities and substantially all of our warehouses and distribution centers. Our properties primarily consisted of production and distribution facilities for our beer, soft drink and packaging operations, and office space, all of which were located in Mexico and Argentina. In addition, FEMSA Comercio owns approximately 10% of the Oxxo store locations, while the other stores are located in properties that are rented under long-term lease arrangements with unaffiliated third parties.</w:t>
      </w:r>
    </w:p>
    <w:p>
      <w:pPr>
        <w:spacing w:after="0" w:line="166" w:lineRule="exact"/>
        <w:rPr>
          <w:sz w:val="20"/>
          <w:szCs w:val="20"/>
          <w:color w:val="auto"/>
        </w:rPr>
      </w:pPr>
    </w:p>
    <w:p>
      <w:pPr>
        <w:ind w:right="3940" w:firstLine="437"/>
        <w:spacing w:after="0" w:line="235" w:lineRule="auto"/>
        <w:rPr>
          <w:sz w:val="20"/>
          <w:szCs w:val="20"/>
          <w:color w:val="auto"/>
        </w:rPr>
      </w:pPr>
      <w:r>
        <w:rPr>
          <w:rFonts w:ascii="Courier New" w:cs="Courier New" w:eastAsia="Courier New" w:hAnsi="Courier New"/>
          <w:sz w:val="15"/>
          <w:szCs w:val="15"/>
          <w:color w:val="auto"/>
        </w:rPr>
        <w:t>The table below sets forth the location, principal use and production area of our production facilities, and the subholding company that owns such facilities:</w:t>
      </w:r>
    </w:p>
    <w:p>
      <w:pPr>
        <w:spacing w:after="0" w:line="200" w:lineRule="exact"/>
        <w:rPr>
          <w:sz w:val="20"/>
          <w:szCs w:val="20"/>
          <w:color w:val="auto"/>
        </w:rPr>
      </w:pPr>
    </w:p>
    <w:p>
      <w:pPr>
        <w:spacing w:after="0" w:line="304" w:lineRule="exact"/>
        <w:rPr>
          <w:sz w:val="20"/>
          <w:szCs w:val="20"/>
          <w:color w:val="auto"/>
        </w:rPr>
      </w:pPr>
    </w:p>
    <w:p>
      <w:pPr>
        <w:jc w:val="center"/>
        <w:ind w:right="3840"/>
        <w:spacing w:after="0"/>
        <w:rPr>
          <w:sz w:val="20"/>
          <w:szCs w:val="20"/>
          <w:color w:val="auto"/>
        </w:rPr>
      </w:pPr>
      <w:r>
        <w:rPr>
          <w:rFonts w:ascii="Courier New" w:cs="Courier New" w:eastAsia="Courier New" w:hAnsi="Courier New"/>
          <w:sz w:val="15"/>
          <w:szCs w:val="15"/>
          <w:color w:val="auto"/>
        </w:rPr>
        <w:t>Production Facilities of FEMSA</w:t>
      </w:r>
    </w:p>
    <w:p>
      <w:pPr>
        <w:jc w:val="center"/>
        <w:ind w:right="3840"/>
        <w:spacing w:after="0" w:line="237" w:lineRule="auto"/>
        <w:rPr>
          <w:sz w:val="20"/>
          <w:szCs w:val="20"/>
          <w:color w:val="auto"/>
        </w:rPr>
      </w:pPr>
      <w:r>
        <w:rPr>
          <w:rFonts w:ascii="Courier New" w:cs="Courier New" w:eastAsia="Courier New" w:hAnsi="Courier New"/>
          <w:sz w:val="15"/>
          <w:szCs w:val="15"/>
          <w:color w:val="auto"/>
        </w:rPr>
        <w:t>On December 31, 2002</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Subholding Company</w:t>
            </w:r>
          </w:p>
        </w:tc>
        <w:tc>
          <w:tcPr>
            <w:tcW w:w="4200" w:type="dxa"/>
            <w:vAlign w:val="bottom"/>
          </w:tcPr>
          <w:p>
            <w:pPr>
              <w:ind w:left="440"/>
              <w:spacing w:after="0"/>
              <w:rPr>
                <w:sz w:val="20"/>
                <w:szCs w:val="20"/>
                <w:color w:val="auto"/>
              </w:rPr>
            </w:pPr>
            <w:r>
              <w:rPr>
                <w:rFonts w:ascii="Courier New" w:cs="Courier New" w:eastAsia="Courier New" w:hAnsi="Courier New"/>
                <w:sz w:val="15"/>
                <w:szCs w:val="15"/>
                <w:color w:val="auto"/>
              </w:rPr>
              <w:t>Location</w:t>
            </w:r>
          </w:p>
        </w:tc>
        <w:tc>
          <w:tcPr>
            <w:tcW w:w="2720" w:type="dxa"/>
            <w:vAlign w:val="bottom"/>
          </w:tcPr>
          <w:p>
            <w:pPr>
              <w:ind w:left="80"/>
              <w:spacing w:after="0"/>
              <w:rPr>
                <w:sz w:val="20"/>
                <w:szCs w:val="20"/>
                <w:color w:val="auto"/>
              </w:rPr>
            </w:pPr>
            <w:r>
              <w:rPr>
                <w:rFonts w:ascii="Courier New" w:cs="Courier New" w:eastAsia="Courier New" w:hAnsi="Courier New"/>
                <w:sz w:val="15"/>
                <w:szCs w:val="15"/>
                <w:color w:val="auto"/>
              </w:rPr>
              <w:t>Principal Use</w:t>
            </w:r>
          </w:p>
        </w:tc>
        <w:tc>
          <w:tcPr>
            <w:tcW w:w="1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Production Area</w:t>
            </w:r>
          </w:p>
        </w:tc>
      </w:tr>
      <w:tr>
        <w:trPr>
          <w:trHeight w:val="168"/>
        </w:trPr>
        <w:tc>
          <w:tcPr>
            <w:tcW w:w="20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(thousand sq. meters)</w:t>
            </w:r>
          </w:p>
        </w:tc>
      </w:tr>
      <w:tr>
        <w:trPr>
          <w:trHeight w:val="336"/>
        </w:trPr>
        <w:tc>
          <w:tcPr>
            <w:tcW w:w="2020" w:type="dxa"/>
            <w:vAlign w:val="bottom"/>
          </w:tcPr>
          <w:p>
            <w:pPr>
              <w:spacing w:after="0"/>
              <w:rPr>
                <w:sz w:val="20"/>
                <w:szCs w:val="20"/>
                <w:color w:val="auto"/>
              </w:rPr>
            </w:pPr>
            <w:r>
              <w:rPr>
                <w:rFonts w:ascii="Courier New" w:cs="Courier New" w:eastAsia="Courier New" w:hAnsi="Courier New"/>
                <w:sz w:val="15"/>
                <w:szCs w:val="15"/>
                <w:color w:val="auto"/>
              </w:rPr>
              <w:t>FEMSA Cerveza</w:t>
            </w:r>
          </w:p>
        </w:tc>
        <w:tc>
          <w:tcPr>
            <w:tcW w:w="42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168"/>
        </w:trPr>
        <w:tc>
          <w:tcPr>
            <w:tcW w:w="2020" w:type="dxa"/>
            <w:vAlign w:val="bottom"/>
          </w:tcPr>
          <w:p>
            <w:pPr>
              <w:spacing w:after="0"/>
              <w:rPr>
                <w:sz w:val="14"/>
                <w:szCs w:val="14"/>
                <w:color w:val="auto"/>
              </w:rPr>
            </w:pPr>
          </w:p>
        </w:tc>
        <w:tc>
          <w:tcPr>
            <w:tcW w:w="4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Monterrey, Nuevo Leon.....................</w:t>
            </w:r>
          </w:p>
        </w:tc>
        <w:tc>
          <w:tcPr>
            <w:tcW w:w="27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Brewery</w:t>
            </w:r>
          </w:p>
        </w:tc>
        <w:tc>
          <w:tcPr>
            <w:tcW w:w="192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209</w:t>
            </w:r>
          </w:p>
        </w:tc>
      </w:tr>
      <w:tr>
        <w:trPr>
          <w:trHeight w:val="168"/>
        </w:trPr>
        <w:tc>
          <w:tcPr>
            <w:tcW w:w="2020" w:type="dxa"/>
            <w:vAlign w:val="bottom"/>
          </w:tcPr>
          <w:p>
            <w:pPr>
              <w:spacing w:after="0"/>
              <w:rPr>
                <w:sz w:val="14"/>
                <w:szCs w:val="14"/>
                <w:color w:val="auto"/>
              </w:rPr>
            </w:pPr>
          </w:p>
        </w:tc>
        <w:tc>
          <w:tcPr>
            <w:tcW w:w="4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Tecate, Baja California Norte.............</w:t>
            </w:r>
          </w:p>
        </w:tc>
        <w:tc>
          <w:tcPr>
            <w:tcW w:w="27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Brewery</w:t>
            </w:r>
          </w:p>
        </w:tc>
        <w:tc>
          <w:tcPr>
            <w:tcW w:w="192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90</w:t>
            </w:r>
          </w:p>
        </w:tc>
      </w:tr>
      <w:tr>
        <w:trPr>
          <w:trHeight w:val="168"/>
        </w:trPr>
        <w:tc>
          <w:tcPr>
            <w:tcW w:w="2020" w:type="dxa"/>
            <w:vAlign w:val="bottom"/>
          </w:tcPr>
          <w:p>
            <w:pPr>
              <w:spacing w:after="0"/>
              <w:rPr>
                <w:sz w:val="14"/>
                <w:szCs w:val="14"/>
                <w:color w:val="auto"/>
              </w:rPr>
            </w:pPr>
          </w:p>
        </w:tc>
        <w:tc>
          <w:tcPr>
            <w:tcW w:w="4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Navojoa, Sonora...........................</w:t>
            </w:r>
          </w:p>
        </w:tc>
        <w:tc>
          <w:tcPr>
            <w:tcW w:w="27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Brewery</w:t>
            </w:r>
          </w:p>
        </w:tc>
        <w:tc>
          <w:tcPr>
            <w:tcW w:w="192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463</w:t>
            </w:r>
          </w:p>
        </w:tc>
      </w:tr>
      <w:tr>
        <w:trPr>
          <w:trHeight w:val="168"/>
        </w:trPr>
        <w:tc>
          <w:tcPr>
            <w:tcW w:w="2020" w:type="dxa"/>
            <w:vAlign w:val="bottom"/>
          </w:tcPr>
          <w:p>
            <w:pPr>
              <w:spacing w:after="0"/>
              <w:rPr>
                <w:sz w:val="14"/>
                <w:szCs w:val="14"/>
                <w:color w:val="auto"/>
              </w:rPr>
            </w:pPr>
          </w:p>
        </w:tc>
        <w:tc>
          <w:tcPr>
            <w:tcW w:w="4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Toluca, Estado de Mexico..................</w:t>
            </w:r>
          </w:p>
        </w:tc>
        <w:tc>
          <w:tcPr>
            <w:tcW w:w="27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Brewery</w:t>
            </w:r>
          </w:p>
        </w:tc>
        <w:tc>
          <w:tcPr>
            <w:tcW w:w="192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374</w:t>
            </w:r>
          </w:p>
        </w:tc>
      </w:tr>
      <w:tr>
        <w:trPr>
          <w:trHeight w:val="168"/>
        </w:trPr>
        <w:tc>
          <w:tcPr>
            <w:tcW w:w="2020" w:type="dxa"/>
            <w:vAlign w:val="bottom"/>
          </w:tcPr>
          <w:p>
            <w:pPr>
              <w:spacing w:after="0"/>
              <w:rPr>
                <w:sz w:val="14"/>
                <w:szCs w:val="14"/>
                <w:color w:val="auto"/>
              </w:rPr>
            </w:pPr>
          </w:p>
        </w:tc>
        <w:tc>
          <w:tcPr>
            <w:tcW w:w="4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Guadalajara, Jalisco......................</w:t>
            </w:r>
          </w:p>
        </w:tc>
        <w:tc>
          <w:tcPr>
            <w:tcW w:w="27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Brewery</w:t>
            </w:r>
          </w:p>
        </w:tc>
        <w:tc>
          <w:tcPr>
            <w:tcW w:w="192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97</w:t>
            </w:r>
          </w:p>
        </w:tc>
      </w:tr>
      <w:tr>
        <w:trPr>
          <w:trHeight w:val="168"/>
        </w:trPr>
        <w:tc>
          <w:tcPr>
            <w:tcW w:w="2020" w:type="dxa"/>
            <w:vAlign w:val="bottom"/>
          </w:tcPr>
          <w:p>
            <w:pPr>
              <w:spacing w:after="0"/>
              <w:rPr>
                <w:sz w:val="14"/>
                <w:szCs w:val="14"/>
                <w:color w:val="auto"/>
              </w:rPr>
            </w:pPr>
          </w:p>
        </w:tc>
        <w:tc>
          <w:tcPr>
            <w:tcW w:w="4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Orizaba, Veracruz.........................</w:t>
            </w:r>
          </w:p>
        </w:tc>
        <w:tc>
          <w:tcPr>
            <w:tcW w:w="27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Brewery</w:t>
            </w:r>
          </w:p>
        </w:tc>
        <w:tc>
          <w:tcPr>
            <w:tcW w:w="192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246</w:t>
            </w: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Coca-Cola FEMSA</w:t>
            </w:r>
          </w:p>
        </w:tc>
        <w:tc>
          <w:tcPr>
            <w:tcW w:w="42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168"/>
        </w:trPr>
        <w:tc>
          <w:tcPr>
            <w:tcW w:w="2020" w:type="dxa"/>
            <w:vAlign w:val="bottom"/>
          </w:tcPr>
          <w:p>
            <w:pPr>
              <w:spacing w:after="0"/>
              <w:rPr>
                <w:sz w:val="14"/>
                <w:szCs w:val="14"/>
                <w:color w:val="auto"/>
              </w:rPr>
            </w:pPr>
          </w:p>
        </w:tc>
        <w:tc>
          <w:tcPr>
            <w:tcW w:w="4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Mexico, Distrito Federal.................</w:t>
            </w:r>
          </w:p>
        </w:tc>
        <w:tc>
          <w:tcPr>
            <w:tcW w:w="27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Soft Drink Bottling Plant</w:t>
            </w:r>
          </w:p>
        </w:tc>
        <w:tc>
          <w:tcPr>
            <w:tcW w:w="192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2020" w:type="dxa"/>
            <w:vAlign w:val="bottom"/>
          </w:tcPr>
          <w:p>
            <w:pPr>
              <w:spacing w:after="0"/>
              <w:rPr>
                <w:sz w:val="14"/>
                <w:szCs w:val="14"/>
                <w:color w:val="auto"/>
              </w:rPr>
            </w:pPr>
          </w:p>
        </w:tc>
        <w:tc>
          <w:tcPr>
            <w:tcW w:w="4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Toluca, Estado de Mexico..................</w:t>
            </w:r>
          </w:p>
        </w:tc>
        <w:tc>
          <w:tcPr>
            <w:tcW w:w="27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Soft Drink Bottling Plant</w:t>
            </w:r>
          </w:p>
        </w:tc>
        <w:tc>
          <w:tcPr>
            <w:tcW w:w="192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2020" w:type="dxa"/>
            <w:vAlign w:val="bottom"/>
          </w:tcPr>
          <w:p>
            <w:pPr>
              <w:spacing w:after="0"/>
              <w:rPr>
                <w:sz w:val="14"/>
                <w:szCs w:val="14"/>
                <w:color w:val="auto"/>
              </w:rPr>
            </w:pPr>
          </w:p>
        </w:tc>
        <w:tc>
          <w:tcPr>
            <w:tcW w:w="4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Los Reyes la Paz, Estado de Mexico........</w:t>
            </w:r>
          </w:p>
        </w:tc>
        <w:tc>
          <w:tcPr>
            <w:tcW w:w="27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Soft Drink Bottling Plant</w:t>
            </w:r>
          </w:p>
        </w:tc>
        <w:tc>
          <w:tcPr>
            <w:tcW w:w="192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2020" w:type="dxa"/>
            <w:vAlign w:val="bottom"/>
          </w:tcPr>
          <w:p>
            <w:pPr>
              <w:spacing w:after="0"/>
              <w:rPr>
                <w:sz w:val="14"/>
                <w:szCs w:val="14"/>
                <w:color w:val="auto"/>
              </w:rPr>
            </w:pPr>
          </w:p>
        </w:tc>
        <w:tc>
          <w:tcPr>
            <w:tcW w:w="4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Cuautitlan, Estado de Mexico..............</w:t>
            </w:r>
          </w:p>
        </w:tc>
        <w:tc>
          <w:tcPr>
            <w:tcW w:w="27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Soft Drink Bottling Plant</w:t>
            </w:r>
          </w:p>
        </w:tc>
        <w:tc>
          <w:tcPr>
            <w:tcW w:w="192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2020" w:type="dxa"/>
            <w:vAlign w:val="bottom"/>
          </w:tcPr>
          <w:p>
            <w:pPr>
              <w:spacing w:after="0"/>
              <w:rPr>
                <w:sz w:val="14"/>
                <w:szCs w:val="14"/>
                <w:color w:val="auto"/>
              </w:rPr>
            </w:pPr>
          </w:p>
        </w:tc>
        <w:tc>
          <w:tcPr>
            <w:tcW w:w="4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San Cristobal de las Casas, Chiapas.......</w:t>
            </w:r>
          </w:p>
        </w:tc>
        <w:tc>
          <w:tcPr>
            <w:tcW w:w="27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Soft Drink Bottling Plant</w:t>
            </w:r>
          </w:p>
        </w:tc>
        <w:tc>
          <w:tcPr>
            <w:tcW w:w="192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2020" w:type="dxa"/>
            <w:vAlign w:val="bottom"/>
          </w:tcPr>
          <w:p>
            <w:pPr>
              <w:spacing w:after="0"/>
              <w:rPr>
                <w:sz w:val="14"/>
                <w:szCs w:val="14"/>
                <w:color w:val="auto"/>
              </w:rPr>
            </w:pPr>
          </w:p>
        </w:tc>
        <w:tc>
          <w:tcPr>
            <w:tcW w:w="4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Oaxaca, Oaxaca............................</w:t>
            </w:r>
          </w:p>
        </w:tc>
        <w:tc>
          <w:tcPr>
            <w:tcW w:w="27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Soft Drink Bottling Plant</w:t>
            </w:r>
          </w:p>
        </w:tc>
        <w:tc>
          <w:tcPr>
            <w:tcW w:w="192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2020" w:type="dxa"/>
            <w:vAlign w:val="bottom"/>
          </w:tcPr>
          <w:p>
            <w:pPr>
              <w:spacing w:after="0"/>
              <w:rPr>
                <w:sz w:val="14"/>
                <w:szCs w:val="14"/>
                <w:color w:val="auto"/>
              </w:rPr>
            </w:pPr>
          </w:p>
        </w:tc>
        <w:tc>
          <w:tcPr>
            <w:tcW w:w="4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Ixtacomitan, Tabasco......................</w:t>
            </w:r>
          </w:p>
        </w:tc>
        <w:tc>
          <w:tcPr>
            <w:tcW w:w="27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Soft Drink Bottling Plant</w:t>
            </w:r>
          </w:p>
        </w:tc>
        <w:tc>
          <w:tcPr>
            <w:tcW w:w="192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2020" w:type="dxa"/>
            <w:vAlign w:val="bottom"/>
          </w:tcPr>
          <w:p>
            <w:pPr>
              <w:spacing w:after="0"/>
              <w:rPr>
                <w:sz w:val="14"/>
                <w:szCs w:val="14"/>
                <w:color w:val="auto"/>
              </w:rPr>
            </w:pPr>
          </w:p>
        </w:tc>
        <w:tc>
          <w:tcPr>
            <w:tcW w:w="4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Juchitan, Oaxaca..........................</w:t>
            </w:r>
          </w:p>
        </w:tc>
        <w:tc>
          <w:tcPr>
            <w:tcW w:w="27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Soft Drink Bottling Plant</w:t>
            </w:r>
          </w:p>
        </w:tc>
        <w:tc>
          <w:tcPr>
            <w:tcW w:w="192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2020" w:type="dxa"/>
            <w:vAlign w:val="bottom"/>
          </w:tcPr>
          <w:p>
            <w:pPr>
              <w:spacing w:after="0"/>
              <w:rPr>
                <w:sz w:val="14"/>
                <w:szCs w:val="14"/>
                <w:color w:val="auto"/>
              </w:rPr>
            </w:pPr>
          </w:p>
        </w:tc>
        <w:tc>
          <w:tcPr>
            <w:tcW w:w="4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Buenos Aires, Argentina...................</w:t>
            </w:r>
          </w:p>
        </w:tc>
        <w:tc>
          <w:tcPr>
            <w:tcW w:w="27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Soft Drink Bottling Plant</w:t>
            </w:r>
          </w:p>
        </w:tc>
        <w:tc>
          <w:tcPr>
            <w:tcW w:w="192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17</w:t>
            </w: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FEMSA Empaques</w:t>
            </w:r>
          </w:p>
        </w:tc>
        <w:tc>
          <w:tcPr>
            <w:tcW w:w="42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168"/>
        </w:trPr>
        <w:tc>
          <w:tcPr>
            <w:tcW w:w="2020" w:type="dxa"/>
            <w:vAlign w:val="bottom"/>
          </w:tcPr>
          <w:p>
            <w:pPr>
              <w:spacing w:after="0"/>
              <w:rPr>
                <w:sz w:val="14"/>
                <w:szCs w:val="14"/>
                <w:color w:val="auto"/>
              </w:rPr>
            </w:pPr>
          </w:p>
        </w:tc>
        <w:tc>
          <w:tcPr>
            <w:tcW w:w="4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Monterrey, Nuevo Leon.....................</w:t>
            </w:r>
          </w:p>
        </w:tc>
        <w:tc>
          <w:tcPr>
            <w:tcW w:w="27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Crown Caps and Can Lids</w:t>
            </w:r>
          </w:p>
        </w:tc>
        <w:tc>
          <w:tcPr>
            <w:tcW w:w="192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51</w:t>
            </w:r>
          </w:p>
        </w:tc>
      </w:tr>
      <w:tr>
        <w:trPr>
          <w:trHeight w:val="168"/>
        </w:trPr>
        <w:tc>
          <w:tcPr>
            <w:tcW w:w="2020" w:type="dxa"/>
            <w:vAlign w:val="bottom"/>
          </w:tcPr>
          <w:p>
            <w:pPr>
              <w:spacing w:after="0"/>
              <w:rPr>
                <w:sz w:val="14"/>
                <w:szCs w:val="14"/>
                <w:color w:val="auto"/>
              </w:rPr>
            </w:pPr>
          </w:p>
        </w:tc>
        <w:tc>
          <w:tcPr>
            <w:tcW w:w="4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Ensenada, Baja California Norte...........</w:t>
            </w:r>
          </w:p>
        </w:tc>
        <w:tc>
          <w:tcPr>
            <w:tcW w:w="27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Beverage and Food Cans</w:t>
            </w:r>
          </w:p>
        </w:tc>
        <w:tc>
          <w:tcPr>
            <w:tcW w:w="192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33</w:t>
            </w:r>
          </w:p>
        </w:tc>
      </w:tr>
      <w:tr>
        <w:trPr>
          <w:trHeight w:val="168"/>
        </w:trPr>
        <w:tc>
          <w:tcPr>
            <w:tcW w:w="2020" w:type="dxa"/>
            <w:vAlign w:val="bottom"/>
          </w:tcPr>
          <w:p>
            <w:pPr>
              <w:spacing w:after="0"/>
              <w:rPr>
                <w:sz w:val="14"/>
                <w:szCs w:val="14"/>
                <w:color w:val="auto"/>
              </w:rPr>
            </w:pPr>
          </w:p>
        </w:tc>
        <w:tc>
          <w:tcPr>
            <w:tcW w:w="4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Toluca, Estado de Mexico..................</w:t>
            </w:r>
          </w:p>
        </w:tc>
        <w:tc>
          <w:tcPr>
            <w:tcW w:w="27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Beverage Cans</w:t>
            </w:r>
          </w:p>
        </w:tc>
        <w:tc>
          <w:tcPr>
            <w:tcW w:w="192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22</w:t>
            </w:r>
          </w:p>
        </w:tc>
      </w:tr>
      <w:tr>
        <w:trPr>
          <w:trHeight w:val="168"/>
        </w:trPr>
        <w:tc>
          <w:tcPr>
            <w:tcW w:w="2020" w:type="dxa"/>
            <w:vAlign w:val="bottom"/>
          </w:tcPr>
          <w:p>
            <w:pPr>
              <w:spacing w:after="0"/>
              <w:rPr>
                <w:sz w:val="14"/>
                <w:szCs w:val="14"/>
                <w:color w:val="auto"/>
              </w:rPr>
            </w:pPr>
          </w:p>
        </w:tc>
        <w:tc>
          <w:tcPr>
            <w:tcW w:w="4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Mazatlan, Sinaloa.........................</w:t>
            </w:r>
          </w:p>
        </w:tc>
        <w:tc>
          <w:tcPr>
            <w:tcW w:w="27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Food Cans</w:t>
            </w:r>
          </w:p>
        </w:tc>
        <w:tc>
          <w:tcPr>
            <w:tcW w:w="192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2020" w:type="dxa"/>
            <w:vAlign w:val="bottom"/>
          </w:tcPr>
          <w:p>
            <w:pPr>
              <w:spacing w:after="0"/>
              <w:rPr>
                <w:sz w:val="14"/>
                <w:szCs w:val="14"/>
                <w:color w:val="auto"/>
              </w:rPr>
            </w:pPr>
          </w:p>
        </w:tc>
        <w:tc>
          <w:tcPr>
            <w:tcW w:w="4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Orizaba, Veracruz.........................</w:t>
            </w:r>
          </w:p>
        </w:tc>
        <w:tc>
          <w:tcPr>
            <w:tcW w:w="27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Glass Bottles</w:t>
            </w:r>
          </w:p>
        </w:tc>
        <w:tc>
          <w:tcPr>
            <w:tcW w:w="192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23</w:t>
            </w:r>
          </w:p>
        </w:tc>
      </w:tr>
      <w:tr>
        <w:trPr>
          <w:trHeight w:val="168"/>
        </w:trPr>
        <w:tc>
          <w:tcPr>
            <w:tcW w:w="2020" w:type="dxa"/>
            <w:vAlign w:val="bottom"/>
          </w:tcPr>
          <w:p>
            <w:pPr>
              <w:spacing w:after="0"/>
              <w:rPr>
                <w:sz w:val="14"/>
                <w:szCs w:val="14"/>
                <w:color w:val="auto"/>
              </w:rPr>
            </w:pPr>
          </w:p>
        </w:tc>
        <w:tc>
          <w:tcPr>
            <w:tcW w:w="4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Nogales, Veracruz.........................</w:t>
            </w:r>
          </w:p>
        </w:tc>
        <w:tc>
          <w:tcPr>
            <w:tcW w:w="27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Bottle Decoration</w:t>
            </w:r>
          </w:p>
        </w:tc>
        <w:tc>
          <w:tcPr>
            <w:tcW w:w="192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26</w:t>
            </w:r>
          </w:p>
        </w:tc>
      </w:tr>
      <w:tr>
        <w:trPr>
          <w:trHeight w:val="168"/>
        </w:trPr>
        <w:tc>
          <w:tcPr>
            <w:tcW w:w="2020" w:type="dxa"/>
            <w:vAlign w:val="bottom"/>
          </w:tcPr>
          <w:p>
            <w:pPr>
              <w:spacing w:after="0"/>
              <w:rPr>
                <w:sz w:val="14"/>
                <w:szCs w:val="14"/>
                <w:color w:val="auto"/>
              </w:rPr>
            </w:pPr>
          </w:p>
        </w:tc>
        <w:tc>
          <w:tcPr>
            <w:tcW w:w="4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Acayucan, Veracruz........................</w:t>
            </w:r>
          </w:p>
        </w:tc>
        <w:tc>
          <w:tcPr>
            <w:tcW w:w="27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Silica Sand Mine</w:t>
            </w:r>
          </w:p>
        </w:tc>
        <w:tc>
          <w:tcPr>
            <w:tcW w:w="192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2020" w:type="dxa"/>
            <w:vAlign w:val="bottom"/>
          </w:tcPr>
          <w:p>
            <w:pPr>
              <w:spacing w:after="0"/>
              <w:rPr>
                <w:sz w:val="14"/>
                <w:szCs w:val="14"/>
                <w:color w:val="auto"/>
              </w:rPr>
            </w:pPr>
          </w:p>
        </w:tc>
        <w:tc>
          <w:tcPr>
            <w:tcW w:w="4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Monterrey, Nuevo Leon.....................</w:t>
            </w:r>
          </w:p>
        </w:tc>
        <w:tc>
          <w:tcPr>
            <w:tcW w:w="27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Lubricants, Detergents</w:t>
            </w:r>
          </w:p>
        </w:tc>
        <w:tc>
          <w:tcPr>
            <w:tcW w:w="192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2020" w:type="dxa"/>
            <w:vAlign w:val="bottom"/>
          </w:tcPr>
          <w:p>
            <w:pPr>
              <w:spacing w:after="0"/>
              <w:rPr>
                <w:sz w:val="14"/>
                <w:szCs w:val="14"/>
                <w:color w:val="auto"/>
              </w:rPr>
            </w:pPr>
          </w:p>
        </w:tc>
        <w:tc>
          <w:tcPr>
            <w:tcW w:w="4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Orizaba, Veracruz.........................</w:t>
            </w:r>
          </w:p>
        </w:tc>
        <w:tc>
          <w:tcPr>
            <w:tcW w:w="27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Lubricants, Detergents</w:t>
            </w:r>
          </w:p>
        </w:tc>
        <w:tc>
          <w:tcPr>
            <w:tcW w:w="192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2020" w:type="dxa"/>
            <w:vAlign w:val="bottom"/>
          </w:tcPr>
          <w:p>
            <w:pPr>
              <w:spacing w:after="0"/>
              <w:rPr>
                <w:sz w:val="14"/>
                <w:szCs w:val="14"/>
                <w:color w:val="auto"/>
              </w:rPr>
            </w:pPr>
          </w:p>
        </w:tc>
        <w:tc>
          <w:tcPr>
            <w:tcW w:w="4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Monterrey, Nuevo Leon.....................</w:t>
            </w:r>
          </w:p>
        </w:tc>
        <w:tc>
          <w:tcPr>
            <w:tcW w:w="27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Labels and Flexible Packaging</w:t>
            </w:r>
          </w:p>
        </w:tc>
        <w:tc>
          <w:tcPr>
            <w:tcW w:w="192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23</w:t>
            </w:r>
          </w:p>
        </w:tc>
      </w:tr>
      <w:tr>
        <w:trPr>
          <w:trHeight w:val="168"/>
        </w:trPr>
        <w:tc>
          <w:tcPr>
            <w:tcW w:w="2020" w:type="dxa"/>
            <w:vAlign w:val="bottom"/>
          </w:tcPr>
          <w:p>
            <w:pPr>
              <w:spacing w:after="0"/>
              <w:rPr>
                <w:sz w:val="14"/>
                <w:szCs w:val="14"/>
                <w:color w:val="auto"/>
              </w:rPr>
            </w:pPr>
          </w:p>
        </w:tc>
        <w:tc>
          <w:tcPr>
            <w:tcW w:w="4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San Juan del Rio, Queretaro...............</w:t>
            </w:r>
          </w:p>
        </w:tc>
        <w:tc>
          <w:tcPr>
            <w:tcW w:w="27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Plastic Furniture and Cases</w:t>
            </w:r>
          </w:p>
        </w:tc>
        <w:tc>
          <w:tcPr>
            <w:tcW w:w="192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31</w:t>
            </w:r>
          </w:p>
        </w:tc>
      </w:tr>
      <w:tr>
        <w:trPr>
          <w:trHeight w:val="168"/>
        </w:trPr>
        <w:tc>
          <w:tcPr>
            <w:tcW w:w="2020" w:type="dxa"/>
            <w:vAlign w:val="bottom"/>
          </w:tcPr>
          <w:p>
            <w:pPr>
              <w:spacing w:after="0"/>
              <w:rPr>
                <w:sz w:val="14"/>
                <w:szCs w:val="14"/>
                <w:color w:val="auto"/>
              </w:rPr>
            </w:pPr>
          </w:p>
        </w:tc>
        <w:tc>
          <w:tcPr>
            <w:tcW w:w="4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San Juan del Rio, Queretaro...............</w:t>
            </w:r>
          </w:p>
        </w:tc>
        <w:tc>
          <w:tcPr>
            <w:tcW w:w="27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Refrigeration Equipment</w:t>
            </w:r>
          </w:p>
        </w:tc>
        <w:tc>
          <w:tcPr>
            <w:tcW w:w="192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25</w:t>
            </w:r>
          </w:p>
        </w:tc>
      </w:tr>
      <w:tr>
        <w:trPr>
          <w:trHeight w:val="673"/>
        </w:trPr>
        <w:tc>
          <w:tcPr>
            <w:tcW w:w="2020" w:type="dxa"/>
            <w:vAlign w:val="bottom"/>
          </w:tcPr>
          <w:p>
            <w:pPr>
              <w:spacing w:after="0"/>
              <w:rPr>
                <w:sz w:val="24"/>
                <w:szCs w:val="24"/>
                <w:color w:val="auto"/>
              </w:rPr>
            </w:pPr>
          </w:p>
        </w:tc>
        <w:tc>
          <w:tcPr>
            <w:tcW w:w="4200" w:type="dxa"/>
            <w:vAlign w:val="bottom"/>
          </w:tcPr>
          <w:p>
            <w:pPr>
              <w:ind w:left="1400"/>
              <w:spacing w:after="0"/>
              <w:rPr>
                <w:sz w:val="20"/>
                <w:szCs w:val="20"/>
                <w:color w:val="auto"/>
              </w:rPr>
            </w:pPr>
            <w:r>
              <w:rPr>
                <w:rFonts w:ascii="Courier New" w:cs="Courier New" w:eastAsia="Courier New" w:hAnsi="Courier New"/>
                <w:sz w:val="15"/>
                <w:szCs w:val="15"/>
                <w:color w:val="auto"/>
              </w:rPr>
              <w:t>65</w:t>
            </w:r>
          </w:p>
        </w:tc>
        <w:tc>
          <w:tcPr>
            <w:tcW w:w="2720" w:type="dxa"/>
            <w:vAlign w:val="bottom"/>
          </w:tcPr>
          <w:p>
            <w:pPr>
              <w:spacing w:after="0"/>
              <w:rPr>
                <w:sz w:val="24"/>
                <w:szCs w:val="24"/>
                <w:color w:val="auto"/>
              </w:rPr>
            </w:pPr>
          </w:p>
        </w:tc>
        <w:tc>
          <w:tcPr>
            <w:tcW w:w="1920" w:type="dxa"/>
            <w:vAlign w:val="bottom"/>
          </w:tcPr>
          <w:p>
            <w:pPr>
              <w:spacing w:after="0"/>
              <w:rPr>
                <w:sz w:val="24"/>
                <w:szCs w:val="24"/>
                <w:color w:val="auto"/>
              </w:rPr>
            </w:pPr>
          </w:p>
        </w:tc>
      </w:tr>
    </w:tbl>
    <w:p>
      <w:pPr>
        <w:sectPr>
          <w:pgSz w:w="11900" w:h="16838" w:orient="portrait"/>
          <w:cols w:equalWidth="0" w:num="1">
            <w:col w:w="10860"/>
          </w:cols>
          <w:pgMar w:left="220" w:top="617" w:right="819" w:bottom="1440" w:gutter="0" w:footer="0" w:header="0"/>
        </w:sectPr>
      </w:pPr>
    </w:p>
    <w:bookmarkStart w:id="71" w:name="page72"/>
    <w:bookmarkEnd w:id="71"/>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The table below sets forth the book value as of December 31, 2002 of the plant, property and equipment for each of our segments, FEMSA and other plant, property and equipment owned by us.</w:t>
      </w:r>
    </w:p>
    <w:p>
      <w:pPr>
        <w:spacing w:after="0" w:line="200" w:lineRule="exact"/>
        <w:rPr>
          <w:sz w:val="20"/>
          <w:szCs w:val="20"/>
          <w:color w:val="auto"/>
        </w:rPr>
      </w:pPr>
    </w:p>
    <w:p>
      <w:pPr>
        <w:spacing w:after="0" w:line="304"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Property, Plant and Equipment of FEMSA</w:t>
      </w:r>
    </w:p>
    <w:p>
      <w:pPr>
        <w:jc w:val="center"/>
        <w:ind w:right="3219"/>
        <w:spacing w:after="0" w:line="237" w:lineRule="auto"/>
        <w:rPr>
          <w:sz w:val="20"/>
          <w:szCs w:val="20"/>
          <w:color w:val="auto"/>
        </w:rPr>
      </w:pPr>
      <w:r>
        <w:rPr>
          <w:rFonts w:ascii="Courier New" w:cs="Courier New" w:eastAsia="Courier New" w:hAnsi="Courier New"/>
          <w:sz w:val="15"/>
          <w:szCs w:val="15"/>
          <w:color w:val="auto"/>
        </w:rPr>
        <w:t>On December 31, 2002</w:t>
      </w:r>
    </w:p>
    <w:tbl>
      <w:tblPr>
        <w:tblLayout w:type="fixed"/>
        <w:tblInd w:w="0" w:type="dxa"/>
        <w:tblCellMar>
          <w:top w:w="0" w:type="dxa"/>
          <w:left w:w="0" w:type="dxa"/>
          <w:bottom w:w="0" w:type="dxa"/>
          <w:right w:w="0" w:type="dxa"/>
        </w:tblCellMar>
      </w:tblPr>
      <w:tr>
        <w:trPr>
          <w:trHeight w:val="169"/>
        </w:trPr>
        <w:tc>
          <w:tcPr>
            <w:tcW w:w="5920" w:type="dxa"/>
            <w:vAlign w:val="bottom"/>
            <w:gridSpan w:val="3"/>
          </w:tcPr>
          <w:p>
            <w:pPr>
              <w:jc w:val="right"/>
              <w:ind w:right="247"/>
              <w:spacing w:after="0" w:line="169" w:lineRule="exact"/>
              <w:rPr>
                <w:sz w:val="20"/>
                <w:szCs w:val="20"/>
                <w:color w:val="auto"/>
              </w:rPr>
            </w:pPr>
            <w:r>
              <w:rPr>
                <w:rFonts w:ascii="Courier New" w:cs="Courier New" w:eastAsia="Courier New" w:hAnsi="Courier New"/>
                <w:sz w:val="15"/>
                <w:szCs w:val="15"/>
                <w:color w:val="auto"/>
              </w:rPr>
              <w:t>In Millions of U.S. Dollars ($) and Pesos (Ps.)</w:t>
            </w:r>
          </w:p>
        </w:tc>
        <w:tc>
          <w:tcPr>
            <w:tcW w:w="1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6"/>
        </w:trPr>
        <w:tc>
          <w:tcPr>
            <w:tcW w:w="4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 Subholding</w:t>
            </w:r>
          </w:p>
        </w:tc>
        <w:tc>
          <w:tcPr>
            <w:tcW w:w="880" w:type="dxa"/>
            <w:vAlign w:val="bottom"/>
          </w:tcPr>
          <w:p>
            <w:pPr>
              <w:spacing w:after="0"/>
              <w:rPr>
                <w:sz w:val="24"/>
                <w:szCs w:val="24"/>
                <w:color w:val="auto"/>
              </w:rPr>
            </w:pPr>
          </w:p>
        </w:tc>
      </w:tr>
      <w:tr>
        <w:trPr>
          <w:trHeight w:val="168"/>
        </w:trPr>
        <w:tc>
          <w:tcPr>
            <w:tcW w:w="4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Company</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Total</w:t>
            </w: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FEMSA Cerveza</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45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Production Facilities......................</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1,111.9</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Ps.11,629.7</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72.7%</w:t>
            </w:r>
          </w:p>
        </w:tc>
        <w:tc>
          <w:tcPr>
            <w:tcW w:w="880" w:type="dxa"/>
            <w:vAlign w:val="bottom"/>
          </w:tcPr>
          <w:p>
            <w:pPr>
              <w:spacing w:after="0"/>
              <w:rPr>
                <w:sz w:val="14"/>
                <w:szCs w:val="14"/>
                <w:color w:val="auto"/>
              </w:rPr>
            </w:pPr>
          </w:p>
        </w:tc>
      </w:tr>
      <w:tr>
        <w:trPr>
          <w:trHeight w:val="168"/>
        </w:trPr>
        <w:tc>
          <w:tcPr>
            <w:tcW w:w="45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Distribution Facilities....................</w:t>
            </w:r>
          </w:p>
        </w:tc>
        <w:tc>
          <w:tcPr>
            <w:tcW w:w="48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368.5</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3,854.0</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24.1</w:t>
            </w:r>
          </w:p>
        </w:tc>
        <w:tc>
          <w:tcPr>
            <w:tcW w:w="880" w:type="dxa"/>
            <w:vAlign w:val="bottom"/>
          </w:tcPr>
          <w:p>
            <w:pPr>
              <w:spacing w:after="0"/>
              <w:rPr>
                <w:sz w:val="14"/>
                <w:szCs w:val="14"/>
                <w:color w:val="auto"/>
              </w:rPr>
            </w:pPr>
          </w:p>
        </w:tc>
      </w:tr>
      <w:tr>
        <w:trPr>
          <w:trHeight w:val="168"/>
        </w:trPr>
        <w:tc>
          <w:tcPr>
            <w:tcW w:w="45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Other......................................</w:t>
            </w:r>
          </w:p>
        </w:tc>
        <w:tc>
          <w:tcPr>
            <w:tcW w:w="48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48.7</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509.2</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3.2</w:t>
            </w:r>
          </w:p>
        </w:tc>
        <w:tc>
          <w:tcPr>
            <w:tcW w:w="880" w:type="dxa"/>
            <w:vAlign w:val="bottom"/>
          </w:tcPr>
          <w:p>
            <w:pPr>
              <w:spacing w:after="0"/>
              <w:rPr>
                <w:sz w:val="14"/>
                <w:szCs w:val="14"/>
                <w:color w:val="auto"/>
              </w:rPr>
            </w:pPr>
          </w:p>
        </w:tc>
      </w:tr>
      <w:tr>
        <w:trPr>
          <w:trHeight w:val="168"/>
        </w:trPr>
        <w:tc>
          <w:tcPr>
            <w:tcW w:w="4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r>
      <w:tr>
        <w:trPr>
          <w:trHeight w:val="168"/>
        </w:trPr>
        <w:tc>
          <w:tcPr>
            <w:tcW w:w="45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Subtotal FEMSA Cerveza.......................</w:t>
            </w:r>
          </w:p>
        </w:tc>
        <w:tc>
          <w:tcPr>
            <w:tcW w:w="48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1,529.1</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15,992.9</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100.0%</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53.8%</w:t>
            </w:r>
          </w:p>
        </w:tc>
      </w:tr>
      <w:tr>
        <w:trPr>
          <w:trHeight w:val="168"/>
        </w:trPr>
        <w:tc>
          <w:tcPr>
            <w:tcW w:w="4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Coca-Cola FEMSA</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45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Valley of Mexico Territory.................</w:t>
            </w:r>
          </w:p>
        </w:tc>
        <w:tc>
          <w:tcPr>
            <w:tcW w:w="48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409.9</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4,286.7</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61.5</w:t>
            </w:r>
          </w:p>
        </w:tc>
        <w:tc>
          <w:tcPr>
            <w:tcW w:w="880" w:type="dxa"/>
            <w:vAlign w:val="bottom"/>
          </w:tcPr>
          <w:p>
            <w:pPr>
              <w:spacing w:after="0"/>
              <w:rPr>
                <w:sz w:val="14"/>
                <w:szCs w:val="14"/>
                <w:color w:val="auto"/>
              </w:rPr>
            </w:pPr>
          </w:p>
        </w:tc>
      </w:tr>
      <w:tr>
        <w:trPr>
          <w:trHeight w:val="168"/>
        </w:trPr>
        <w:tc>
          <w:tcPr>
            <w:tcW w:w="45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Southeast Mexico Territory.................</w:t>
            </w:r>
          </w:p>
        </w:tc>
        <w:tc>
          <w:tcPr>
            <w:tcW w:w="48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172.4</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1,803.5</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25.9</w:t>
            </w:r>
          </w:p>
        </w:tc>
        <w:tc>
          <w:tcPr>
            <w:tcW w:w="880" w:type="dxa"/>
            <w:vAlign w:val="bottom"/>
          </w:tcPr>
          <w:p>
            <w:pPr>
              <w:spacing w:after="0"/>
              <w:rPr>
                <w:sz w:val="14"/>
                <w:szCs w:val="14"/>
                <w:color w:val="auto"/>
              </w:rPr>
            </w:pPr>
          </w:p>
        </w:tc>
      </w:tr>
      <w:tr>
        <w:trPr>
          <w:trHeight w:val="168"/>
        </w:trPr>
        <w:tc>
          <w:tcPr>
            <w:tcW w:w="45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Buenos Aires Territory.....................</w:t>
            </w:r>
          </w:p>
        </w:tc>
        <w:tc>
          <w:tcPr>
            <w:tcW w:w="48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74.6</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780.3</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11.2</w:t>
            </w:r>
          </w:p>
        </w:tc>
        <w:tc>
          <w:tcPr>
            <w:tcW w:w="880" w:type="dxa"/>
            <w:vAlign w:val="bottom"/>
          </w:tcPr>
          <w:p>
            <w:pPr>
              <w:spacing w:after="0"/>
              <w:rPr>
                <w:sz w:val="14"/>
                <w:szCs w:val="14"/>
                <w:color w:val="auto"/>
              </w:rPr>
            </w:pPr>
          </w:p>
        </w:tc>
      </w:tr>
      <w:tr>
        <w:trPr>
          <w:trHeight w:val="168"/>
        </w:trPr>
        <w:tc>
          <w:tcPr>
            <w:tcW w:w="45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Other......................................</w:t>
            </w:r>
          </w:p>
        </w:tc>
        <w:tc>
          <w:tcPr>
            <w:tcW w:w="48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9.4</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98.6</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w:t>
            </w:r>
          </w:p>
        </w:tc>
        <w:tc>
          <w:tcPr>
            <w:tcW w:w="880" w:type="dxa"/>
            <w:vAlign w:val="bottom"/>
          </w:tcPr>
          <w:p>
            <w:pPr>
              <w:spacing w:after="0"/>
              <w:rPr>
                <w:sz w:val="14"/>
                <w:szCs w:val="14"/>
                <w:color w:val="auto"/>
              </w:rPr>
            </w:pPr>
          </w:p>
        </w:tc>
      </w:tr>
      <w:tr>
        <w:trPr>
          <w:trHeight w:val="168"/>
        </w:trPr>
        <w:tc>
          <w:tcPr>
            <w:tcW w:w="4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r>
      <w:tr>
        <w:trPr>
          <w:trHeight w:val="168"/>
        </w:trPr>
        <w:tc>
          <w:tcPr>
            <w:tcW w:w="45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Subtotal Coca-Cola FEMSA.....................</w:t>
            </w:r>
          </w:p>
        </w:tc>
        <w:tc>
          <w:tcPr>
            <w:tcW w:w="48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666.3</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6,969.1</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100.0%</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23.4%</w:t>
            </w:r>
          </w:p>
        </w:tc>
      </w:tr>
      <w:tr>
        <w:trPr>
          <w:trHeight w:val="168"/>
        </w:trPr>
        <w:tc>
          <w:tcPr>
            <w:tcW w:w="4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6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6"/>
              </w:rPr>
              <w:t>FEMSA Comercio..................................</w:t>
            </w:r>
          </w:p>
        </w:tc>
        <w:tc>
          <w:tcPr>
            <w:tcW w:w="480" w:type="dxa"/>
            <w:vAlign w:val="bottom"/>
          </w:tcPr>
          <w:p>
            <w:pPr>
              <w:spacing w:after="0"/>
              <w:rPr>
                <w:sz w:val="24"/>
                <w:szCs w:val="2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165.2</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1,728.3</w:t>
            </w: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5.8%</w:t>
            </w: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FEMSA Empaques</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45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Famosa.....................................</w:t>
            </w:r>
          </w:p>
        </w:tc>
        <w:tc>
          <w:tcPr>
            <w:tcW w:w="48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188.2</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1,968.9</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51.6</w:t>
            </w:r>
          </w:p>
        </w:tc>
        <w:tc>
          <w:tcPr>
            <w:tcW w:w="880" w:type="dxa"/>
            <w:vAlign w:val="bottom"/>
          </w:tcPr>
          <w:p>
            <w:pPr>
              <w:spacing w:after="0"/>
              <w:rPr>
                <w:sz w:val="14"/>
                <w:szCs w:val="14"/>
                <w:color w:val="auto"/>
              </w:rPr>
            </w:pPr>
          </w:p>
        </w:tc>
      </w:tr>
      <w:tr>
        <w:trPr>
          <w:trHeight w:val="168"/>
        </w:trPr>
        <w:tc>
          <w:tcPr>
            <w:tcW w:w="45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Grafo Regia................................</w:t>
            </w:r>
          </w:p>
        </w:tc>
        <w:tc>
          <w:tcPr>
            <w:tcW w:w="48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30.7</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320.6</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8.4</w:t>
            </w:r>
          </w:p>
        </w:tc>
        <w:tc>
          <w:tcPr>
            <w:tcW w:w="880" w:type="dxa"/>
            <w:vAlign w:val="bottom"/>
          </w:tcPr>
          <w:p>
            <w:pPr>
              <w:spacing w:after="0"/>
              <w:rPr>
                <w:sz w:val="14"/>
                <w:szCs w:val="14"/>
                <w:color w:val="auto"/>
              </w:rPr>
            </w:pPr>
          </w:p>
        </w:tc>
      </w:tr>
      <w:tr>
        <w:trPr>
          <w:trHeight w:val="168"/>
        </w:trPr>
        <w:tc>
          <w:tcPr>
            <w:tcW w:w="45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Sivesa and Sisa............................</w:t>
            </w:r>
          </w:p>
        </w:tc>
        <w:tc>
          <w:tcPr>
            <w:tcW w:w="48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110.8</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1,158.8</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30.4</w:t>
            </w:r>
          </w:p>
        </w:tc>
        <w:tc>
          <w:tcPr>
            <w:tcW w:w="880" w:type="dxa"/>
            <w:vAlign w:val="bottom"/>
          </w:tcPr>
          <w:p>
            <w:pPr>
              <w:spacing w:after="0"/>
              <w:rPr>
                <w:sz w:val="14"/>
                <w:szCs w:val="14"/>
                <w:color w:val="auto"/>
              </w:rPr>
            </w:pPr>
          </w:p>
        </w:tc>
      </w:tr>
      <w:tr>
        <w:trPr>
          <w:trHeight w:val="168"/>
        </w:trPr>
        <w:tc>
          <w:tcPr>
            <w:tcW w:w="45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PTM........................................</w:t>
            </w:r>
          </w:p>
        </w:tc>
        <w:tc>
          <w:tcPr>
            <w:tcW w:w="48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19.4</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203.0</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5.3</w:t>
            </w:r>
          </w:p>
        </w:tc>
        <w:tc>
          <w:tcPr>
            <w:tcW w:w="880" w:type="dxa"/>
            <w:vAlign w:val="bottom"/>
          </w:tcPr>
          <w:p>
            <w:pPr>
              <w:spacing w:after="0"/>
              <w:rPr>
                <w:sz w:val="14"/>
                <w:szCs w:val="14"/>
                <w:color w:val="auto"/>
              </w:rPr>
            </w:pPr>
          </w:p>
        </w:tc>
      </w:tr>
      <w:tr>
        <w:trPr>
          <w:trHeight w:val="168"/>
        </w:trPr>
        <w:tc>
          <w:tcPr>
            <w:tcW w:w="45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Quimiproductos.............................</w:t>
            </w:r>
          </w:p>
        </w:tc>
        <w:tc>
          <w:tcPr>
            <w:tcW w:w="48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28.0</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0.7</w:t>
            </w:r>
          </w:p>
        </w:tc>
        <w:tc>
          <w:tcPr>
            <w:tcW w:w="880" w:type="dxa"/>
            <w:vAlign w:val="bottom"/>
          </w:tcPr>
          <w:p>
            <w:pPr>
              <w:spacing w:after="0"/>
              <w:rPr>
                <w:sz w:val="14"/>
                <w:szCs w:val="14"/>
                <w:color w:val="auto"/>
              </w:rPr>
            </w:pPr>
          </w:p>
        </w:tc>
      </w:tr>
      <w:tr>
        <w:trPr>
          <w:trHeight w:val="168"/>
        </w:trPr>
        <w:tc>
          <w:tcPr>
            <w:tcW w:w="45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Vendo......................................</w:t>
            </w:r>
          </w:p>
        </w:tc>
        <w:tc>
          <w:tcPr>
            <w:tcW w:w="48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12.8</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134.2</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3.5</w:t>
            </w:r>
          </w:p>
        </w:tc>
        <w:tc>
          <w:tcPr>
            <w:tcW w:w="880" w:type="dxa"/>
            <w:vAlign w:val="bottom"/>
          </w:tcPr>
          <w:p>
            <w:pPr>
              <w:spacing w:after="0"/>
              <w:rPr>
                <w:sz w:val="14"/>
                <w:szCs w:val="14"/>
                <w:color w:val="auto"/>
              </w:rPr>
            </w:pPr>
          </w:p>
        </w:tc>
      </w:tr>
      <w:tr>
        <w:trPr>
          <w:trHeight w:val="168"/>
        </w:trPr>
        <w:tc>
          <w:tcPr>
            <w:tcW w:w="4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r>
      <w:tr>
        <w:trPr>
          <w:trHeight w:val="168"/>
        </w:trPr>
        <w:tc>
          <w:tcPr>
            <w:tcW w:w="45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Subtotal FEMSA Empaques......................</w:t>
            </w:r>
          </w:p>
        </w:tc>
        <w:tc>
          <w:tcPr>
            <w:tcW w:w="48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364.6</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3,813.5</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100.0%</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12.8%</w:t>
            </w:r>
          </w:p>
        </w:tc>
      </w:tr>
      <w:tr>
        <w:trPr>
          <w:trHeight w:val="168"/>
        </w:trPr>
        <w:tc>
          <w:tcPr>
            <w:tcW w:w="4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6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6"/>
              </w:rPr>
              <w:t>Logistica.......................................</w:t>
            </w:r>
          </w:p>
        </w:tc>
        <w:tc>
          <w:tcPr>
            <w:tcW w:w="480" w:type="dxa"/>
            <w:vAlign w:val="bottom"/>
          </w:tcPr>
          <w:p>
            <w:pPr>
              <w:spacing w:after="0"/>
              <w:rPr>
                <w:sz w:val="24"/>
                <w:szCs w:val="2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43.1</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451.1</w:t>
            </w: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336"/>
        </w:trPr>
        <w:tc>
          <w:tcPr>
            <w:tcW w:w="456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6"/>
              </w:rPr>
              <w:t>FEMSA and Other.................................</w:t>
            </w:r>
          </w:p>
        </w:tc>
        <w:tc>
          <w:tcPr>
            <w:tcW w:w="480" w:type="dxa"/>
            <w:vAlign w:val="bottom"/>
          </w:tcPr>
          <w:p>
            <w:pPr>
              <w:spacing w:after="0"/>
              <w:rPr>
                <w:sz w:val="24"/>
                <w:szCs w:val="2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76.4</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798.6</w:t>
            </w: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w:t>
            </w:r>
          </w:p>
        </w:tc>
        <w:tc>
          <w:tcPr>
            <w:tcW w:w="880" w:type="dxa"/>
            <w:vAlign w:val="bottom"/>
          </w:tcPr>
          <w:p>
            <w:pPr>
              <w:spacing w:after="0"/>
              <w:rPr>
                <w:sz w:val="24"/>
                <w:szCs w:val="24"/>
                <w:color w:val="auto"/>
              </w:rPr>
            </w:pPr>
          </w:p>
        </w:tc>
      </w:tr>
      <w:tr>
        <w:trPr>
          <w:trHeight w:val="168"/>
        </w:trPr>
        <w:tc>
          <w:tcPr>
            <w:tcW w:w="4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r>
      <w:tr>
        <w:trPr>
          <w:trHeight w:val="168"/>
        </w:trPr>
        <w:tc>
          <w:tcPr>
            <w:tcW w:w="45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Total FEMSA..................................</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2,844.7</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Ps.29,753.5</w:t>
            </w:r>
          </w:p>
        </w:tc>
        <w:tc>
          <w:tcPr>
            <w:tcW w:w="12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4560" w:type="dxa"/>
            <w:vAlign w:val="bottom"/>
          </w:tcPr>
          <w:p>
            <w:pPr>
              <w:spacing w:after="0"/>
              <w:rPr>
                <w:sz w:val="14"/>
                <w:szCs w:val="14"/>
                <w:color w:val="auto"/>
              </w:rPr>
            </w:pP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Capital Expenditures and Divestitures</w:t>
      </w:r>
    </w:p>
    <w:p>
      <w:pPr>
        <w:spacing w:after="0" w:line="173" w:lineRule="exact"/>
        <w:rPr>
          <w:sz w:val="20"/>
          <w:szCs w:val="20"/>
          <w:color w:val="auto"/>
        </w:rPr>
      </w:pPr>
    </w:p>
    <w:p>
      <w:pPr>
        <w:ind w:right="3579" w:firstLine="437"/>
        <w:spacing w:after="0" w:line="236" w:lineRule="auto"/>
        <w:rPr>
          <w:sz w:val="20"/>
          <w:szCs w:val="20"/>
          <w:color w:val="auto"/>
        </w:rPr>
      </w:pPr>
      <w:r>
        <w:rPr>
          <w:rFonts w:ascii="Courier New" w:cs="Courier New" w:eastAsia="Courier New" w:hAnsi="Courier New"/>
          <w:sz w:val="15"/>
          <w:szCs w:val="15"/>
          <w:color w:val="auto"/>
        </w:rPr>
        <w:t>Our consolidated capital expenditures for the years ended December 31, 2002, 2001 and 2000 were Ps. 5.540 billion, Ps. 5.314 billion and Ps. 4.571 billion, respectively and were for the most part financed from cash from operations generated by our subsidiaries. These amounts were invested in the following manner:</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80" w:type="dxa"/>
            <w:vAlign w:val="bottom"/>
          </w:tcPr>
          <w:p>
            <w:pPr>
              <w:ind w:left="2640"/>
              <w:spacing w:after="0"/>
              <w:rPr>
                <w:sz w:val="20"/>
                <w:szCs w:val="20"/>
                <w:color w:val="auto"/>
              </w:rPr>
            </w:pPr>
            <w:r>
              <w:rPr>
                <w:rFonts w:ascii="Courier New" w:cs="Courier New" w:eastAsia="Courier New" w:hAnsi="Courier New"/>
                <w:sz w:val="15"/>
                <w:szCs w:val="15"/>
                <w:color w:val="auto"/>
              </w:rPr>
              <w:t>Capital Expenditures</w:t>
            </w:r>
          </w:p>
        </w:tc>
        <w:tc>
          <w:tcPr>
            <w:tcW w:w="12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36"/>
        </w:trPr>
        <w:tc>
          <w:tcPr>
            <w:tcW w:w="5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Year Ended December 31,</w:t>
            </w:r>
          </w:p>
        </w:tc>
        <w:tc>
          <w:tcPr>
            <w:tcW w:w="1260" w:type="dxa"/>
            <w:vAlign w:val="bottom"/>
          </w:tcPr>
          <w:p>
            <w:pPr>
              <w:spacing w:after="0"/>
              <w:rPr>
                <w:sz w:val="24"/>
                <w:szCs w:val="24"/>
                <w:color w:val="auto"/>
              </w:rPr>
            </w:pPr>
          </w:p>
        </w:tc>
      </w:tr>
      <w:tr>
        <w:trPr>
          <w:trHeight w:val="168"/>
        </w:trPr>
        <w:tc>
          <w:tcPr>
            <w:tcW w:w="5180" w:type="dxa"/>
            <w:vAlign w:val="bottom"/>
          </w:tcPr>
          <w:p>
            <w:pPr>
              <w:spacing w:after="0"/>
              <w:rPr>
                <w:sz w:val="14"/>
                <w:szCs w:val="14"/>
                <w:color w:val="auto"/>
              </w:rPr>
            </w:pPr>
          </w:p>
        </w:tc>
        <w:tc>
          <w:tcPr>
            <w:tcW w:w="48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rPr>
              <w:t>In Millions of Pesos</w:t>
            </w:r>
          </w:p>
        </w:tc>
        <w:tc>
          <w:tcPr>
            <w:tcW w:w="12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2002</w:t>
            </w:r>
          </w:p>
        </w:tc>
        <w:tc>
          <w:tcPr>
            <w:tcW w:w="2360" w:type="dxa"/>
            <w:vAlign w:val="bottom"/>
          </w:tcPr>
          <w:p>
            <w:pPr>
              <w:jc w:val="right"/>
              <w:ind w:right="927"/>
              <w:spacing w:after="0" w:line="168" w:lineRule="exact"/>
              <w:rPr>
                <w:sz w:val="20"/>
                <w:szCs w:val="20"/>
                <w:color w:val="auto"/>
              </w:rPr>
            </w:pPr>
            <w:r>
              <w:rPr>
                <w:rFonts w:ascii="Courier New" w:cs="Courier New" w:eastAsia="Courier New" w:hAnsi="Courier New"/>
                <w:sz w:val="15"/>
                <w:szCs w:val="15"/>
                <w:color w:val="auto"/>
              </w:rPr>
              <w:t>2001</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518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w:t>
            </w:r>
          </w:p>
        </w:tc>
        <w:tc>
          <w:tcPr>
            <w:tcW w:w="23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180" w:type="dxa"/>
            <w:vAlign w:val="bottom"/>
          </w:tcPr>
          <w:p>
            <w:pPr>
              <w:spacing w:after="0"/>
              <w:rPr>
                <w:sz w:val="20"/>
                <w:szCs w:val="20"/>
                <w:color w:val="auto"/>
              </w:rPr>
            </w:pPr>
            <w:r>
              <w:rPr>
                <w:rFonts w:ascii="Courier New" w:cs="Courier New" w:eastAsia="Courier New" w:hAnsi="Courier New"/>
                <w:sz w:val="15"/>
                <w:szCs w:val="15"/>
                <w:color w:val="auto"/>
              </w:rPr>
              <w:t>FEMSA Cerveza</w:t>
            </w:r>
          </w:p>
        </w:tc>
        <w:tc>
          <w:tcPr>
            <w:tcW w:w="12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8"/>
        </w:trPr>
        <w:tc>
          <w:tcPr>
            <w:tcW w:w="51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Production..........................</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Ps. 705</w:t>
            </w:r>
          </w:p>
        </w:tc>
        <w:tc>
          <w:tcPr>
            <w:tcW w:w="236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Ps. 894</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Ps. 757</w:t>
            </w:r>
          </w:p>
        </w:tc>
      </w:tr>
      <w:tr>
        <w:trPr>
          <w:trHeight w:val="168"/>
        </w:trPr>
        <w:tc>
          <w:tcPr>
            <w:tcW w:w="51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Distribution........................</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383</w:t>
            </w:r>
          </w:p>
        </w:tc>
        <w:tc>
          <w:tcPr>
            <w:tcW w:w="236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505</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429</w:t>
            </w:r>
          </w:p>
        </w:tc>
      </w:tr>
      <w:tr>
        <w:trPr>
          <w:trHeight w:val="168"/>
        </w:trPr>
        <w:tc>
          <w:tcPr>
            <w:tcW w:w="51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Market Investment...................</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2,039</w:t>
            </w:r>
          </w:p>
        </w:tc>
        <w:tc>
          <w:tcPr>
            <w:tcW w:w="236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2,122</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1,814</w:t>
            </w:r>
          </w:p>
        </w:tc>
      </w:tr>
      <w:tr>
        <w:trPr>
          <w:trHeight w:val="168"/>
        </w:trPr>
        <w:tc>
          <w:tcPr>
            <w:tcW w:w="51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Others..............................</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39</w:t>
            </w:r>
          </w:p>
        </w:tc>
        <w:tc>
          <w:tcPr>
            <w:tcW w:w="236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12</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24</w:t>
            </w:r>
          </w:p>
        </w:tc>
      </w:tr>
      <w:tr>
        <w:trPr>
          <w:trHeight w:val="168"/>
        </w:trPr>
        <w:tc>
          <w:tcPr>
            <w:tcW w:w="518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w:t>
            </w:r>
          </w:p>
        </w:tc>
        <w:tc>
          <w:tcPr>
            <w:tcW w:w="23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Subtotal.......................</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3,166</w:t>
            </w:r>
          </w:p>
        </w:tc>
        <w:tc>
          <w:tcPr>
            <w:tcW w:w="2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3,533</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3,024</w:t>
            </w:r>
          </w:p>
        </w:tc>
      </w:tr>
      <w:tr>
        <w:trPr>
          <w:trHeight w:val="168"/>
        </w:trPr>
        <w:tc>
          <w:tcPr>
            <w:tcW w:w="518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w:t>
            </w:r>
          </w:p>
        </w:tc>
        <w:tc>
          <w:tcPr>
            <w:tcW w:w="23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rPr>
              <w:t>Coca-Cola FEMSA</w:t>
            </w:r>
          </w:p>
        </w:tc>
        <w:tc>
          <w:tcPr>
            <w:tcW w:w="12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51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Mexican Territories</w:t>
            </w:r>
          </w:p>
        </w:tc>
        <w:tc>
          <w:tcPr>
            <w:tcW w:w="12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51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5"/>
              </w:rPr>
              <w:t>Production and Distribution............................</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543</w:t>
            </w:r>
          </w:p>
        </w:tc>
        <w:tc>
          <w:tcPr>
            <w:tcW w:w="2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514</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504</w:t>
            </w:r>
          </w:p>
        </w:tc>
      </w:tr>
      <w:tr>
        <w:trPr>
          <w:trHeight w:val="168"/>
        </w:trPr>
        <w:tc>
          <w:tcPr>
            <w:tcW w:w="51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5"/>
              </w:rPr>
              <w:t>Bottles................................................</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252</w:t>
            </w:r>
          </w:p>
        </w:tc>
        <w:tc>
          <w:tcPr>
            <w:tcW w:w="2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170</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214</w:t>
            </w:r>
          </w:p>
        </w:tc>
      </w:tr>
      <w:tr>
        <w:trPr>
          <w:trHeight w:val="168"/>
        </w:trPr>
        <w:tc>
          <w:tcPr>
            <w:tcW w:w="51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5"/>
              </w:rPr>
              <w:t>Deferred charges and other investments.................</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483</w:t>
            </w:r>
          </w:p>
        </w:tc>
        <w:tc>
          <w:tcPr>
            <w:tcW w:w="2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246</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161</w:t>
            </w:r>
          </w:p>
        </w:tc>
      </w:tr>
      <w:tr>
        <w:trPr>
          <w:trHeight w:val="168"/>
        </w:trPr>
        <w:tc>
          <w:tcPr>
            <w:tcW w:w="51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Buenos Aires Territory</w:t>
            </w:r>
          </w:p>
        </w:tc>
        <w:tc>
          <w:tcPr>
            <w:tcW w:w="12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51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5"/>
              </w:rPr>
              <w:t>Production and Distribution............................</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46</w:t>
            </w:r>
          </w:p>
        </w:tc>
        <w:tc>
          <w:tcPr>
            <w:tcW w:w="2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44</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36</w:t>
            </w:r>
          </w:p>
        </w:tc>
      </w:tr>
      <w:tr>
        <w:trPr>
          <w:trHeight w:val="168"/>
        </w:trPr>
        <w:tc>
          <w:tcPr>
            <w:tcW w:w="51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5"/>
              </w:rPr>
              <w:t>Bottles................................................</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26</w:t>
            </w:r>
          </w:p>
        </w:tc>
        <w:tc>
          <w:tcPr>
            <w:tcW w:w="2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3</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51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5"/>
              </w:rPr>
              <w:t>Deferred charges and other investments.................</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w:t>
            </w:r>
          </w:p>
        </w:tc>
        <w:tc>
          <w:tcPr>
            <w:tcW w:w="2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(21)</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8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w:t>
            </w:r>
          </w:p>
        </w:tc>
        <w:tc>
          <w:tcPr>
            <w:tcW w:w="23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w w:val="95"/>
              </w:rPr>
              <w:t>Subtotal..........................................</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1,341</w:t>
            </w:r>
          </w:p>
        </w:tc>
        <w:tc>
          <w:tcPr>
            <w:tcW w:w="2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956</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925</w:t>
            </w:r>
          </w:p>
        </w:tc>
      </w:tr>
      <w:tr>
        <w:trPr>
          <w:trHeight w:val="168"/>
        </w:trPr>
        <w:tc>
          <w:tcPr>
            <w:tcW w:w="518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w:t>
            </w:r>
          </w:p>
        </w:tc>
        <w:tc>
          <w:tcPr>
            <w:tcW w:w="23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FEMSA Comercio..............................................</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824</w:t>
            </w:r>
          </w:p>
        </w:tc>
        <w:tc>
          <w:tcPr>
            <w:tcW w:w="2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615</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542</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rPr>
              <w:t>FEMSA Empaques</w:t>
            </w:r>
          </w:p>
        </w:tc>
        <w:tc>
          <w:tcPr>
            <w:tcW w:w="12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51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5"/>
              </w:rPr>
              <w:t>Metal Products.........................................</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68</w:t>
            </w:r>
          </w:p>
        </w:tc>
        <w:tc>
          <w:tcPr>
            <w:tcW w:w="2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17</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18</w:t>
            </w:r>
          </w:p>
        </w:tc>
      </w:tr>
      <w:tr>
        <w:trPr>
          <w:trHeight w:val="168"/>
        </w:trPr>
        <w:tc>
          <w:tcPr>
            <w:tcW w:w="51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5"/>
              </w:rPr>
              <w:t>Glass Bottles..........................................</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120</w:t>
            </w:r>
          </w:p>
        </w:tc>
        <w:tc>
          <w:tcPr>
            <w:tcW w:w="2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27</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65</w:t>
            </w:r>
          </w:p>
        </w:tc>
      </w:tr>
      <w:tr>
        <w:trPr>
          <w:trHeight w:val="168"/>
        </w:trPr>
        <w:tc>
          <w:tcPr>
            <w:tcW w:w="51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5"/>
              </w:rPr>
              <w:t>Plastic................................................</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37</w:t>
            </w:r>
          </w:p>
        </w:tc>
        <w:tc>
          <w:tcPr>
            <w:tcW w:w="2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10</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33</w:t>
            </w:r>
          </w:p>
        </w:tc>
      </w:tr>
      <w:tr>
        <w:trPr>
          <w:trHeight w:val="168"/>
        </w:trPr>
        <w:tc>
          <w:tcPr>
            <w:tcW w:w="51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5"/>
              </w:rPr>
              <w:t>Flexible...............................................</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14</w:t>
            </w:r>
          </w:p>
        </w:tc>
        <w:tc>
          <w:tcPr>
            <w:tcW w:w="2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37</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w:t>
            </w:r>
          </w:p>
        </w:tc>
      </w:tr>
    </w:tbl>
    <w:p>
      <w:pPr>
        <w:sectPr>
          <w:pgSz w:w="11900" w:h="16838" w:orient="portrait"/>
          <w:cols w:equalWidth="0" w:num="1">
            <w:col w:w="10239"/>
          </w:cols>
          <w:pgMar w:left="220" w:top="792" w:right="1440" w:bottom="0" w:gutter="0" w:footer="0" w:header="0"/>
        </w:sectPr>
      </w:pPr>
    </w:p>
    <w:bookmarkStart w:id="72" w:name="page73"/>
    <w:bookmarkEnd w:id="7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60" w:type="dxa"/>
            <w:vAlign w:val="bottom"/>
          </w:tcPr>
          <w:p>
            <w:pPr>
              <w:jc w:val="right"/>
              <w:spacing w:after="0"/>
              <w:rPr>
                <w:sz w:val="20"/>
                <w:szCs w:val="20"/>
                <w:color w:val="auto"/>
              </w:rPr>
            </w:pPr>
            <w:r>
              <w:rPr>
                <w:rFonts w:ascii="Courier New" w:cs="Courier New" w:eastAsia="Courier New" w:hAnsi="Courier New"/>
                <w:sz w:val="15"/>
                <w:szCs w:val="15"/>
                <w:color w:val="auto"/>
              </w:rPr>
              <w:t>Others.................................................</w:t>
            </w:r>
          </w:p>
        </w:tc>
        <w:tc>
          <w:tcPr>
            <w:tcW w:w="13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6</w:t>
            </w:r>
          </w:p>
        </w:tc>
        <w:tc>
          <w:tcPr>
            <w:tcW w:w="19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26</w:t>
            </w:r>
          </w:p>
        </w:tc>
      </w:tr>
      <w:tr>
        <w:trPr>
          <w:trHeight w:val="168"/>
        </w:trPr>
        <w:tc>
          <w:tcPr>
            <w:tcW w:w="65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5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Subtotal..........................................</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245</w:t>
            </w:r>
          </w:p>
        </w:tc>
        <w:tc>
          <w:tcPr>
            <w:tcW w:w="19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91</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161</w:t>
            </w:r>
          </w:p>
        </w:tc>
      </w:tr>
      <w:tr>
        <w:trPr>
          <w:trHeight w:val="168"/>
        </w:trPr>
        <w:tc>
          <w:tcPr>
            <w:tcW w:w="65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5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Logistica...................................................</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12</w:t>
            </w:r>
          </w:p>
        </w:tc>
        <w:tc>
          <w:tcPr>
            <w:tcW w:w="19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117</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(88)</w:t>
            </w:r>
          </w:p>
        </w:tc>
      </w:tr>
      <w:tr>
        <w:trPr>
          <w:trHeight w:val="168"/>
        </w:trPr>
        <w:tc>
          <w:tcPr>
            <w:tcW w:w="5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FEMSA and others............................................</w:t>
            </w: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(48)</w:t>
            </w:r>
          </w:p>
        </w:tc>
        <w:tc>
          <w:tcPr>
            <w:tcW w:w="19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65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526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Total................................</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3"/>
              </w:rPr>
              <w:t>Ps. 5,540</w:t>
            </w:r>
          </w:p>
        </w:tc>
        <w:tc>
          <w:tcPr>
            <w:tcW w:w="19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Ps. 5,314</w:t>
            </w:r>
          </w:p>
        </w:tc>
        <w:tc>
          <w:tcPr>
            <w:tcW w:w="15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Ps. 4,571</w:t>
            </w:r>
          </w:p>
        </w:tc>
      </w:tr>
      <w:tr>
        <w:trPr>
          <w:trHeight w:val="168"/>
        </w:trPr>
        <w:tc>
          <w:tcPr>
            <w:tcW w:w="5260" w:type="dxa"/>
            <w:vAlign w:val="bottom"/>
          </w:tcPr>
          <w:p>
            <w:pPr>
              <w:spacing w:after="0"/>
              <w:rPr>
                <w:sz w:val="14"/>
                <w:szCs w:val="14"/>
                <w:color w:val="auto"/>
              </w:rPr>
            </w:pP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3"/>
              </w:rPr>
              <w:t>=========</w:t>
            </w:r>
          </w:p>
        </w:tc>
        <w:tc>
          <w:tcPr>
            <w:tcW w:w="19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FEMSA Cerveza</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Production</w:t>
      </w:r>
    </w:p>
    <w:p>
      <w:pPr>
        <w:spacing w:after="0" w:line="173"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During 2002, FEMSA Cerveza invested approximately Ps. 705 million in its production facilities, of which Ps. 470 million was spent on equipment substitution and upgrades and approximately Ps. 235 million on expansion projects in existing production facilities. The principal capacity expansion projects occurred in the Monterrey, Orizaba and Tecate breweries. FEMSA Cerveza's monthly installed capacity as of December 31, 2002 was 2.7 million hectoliters equivalent to an annualized installed capacity of 32.2 million hectoliters.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Distribution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2002, FEMSA Cerveza invested Ps. 383 million in its distribution network. Approximately Ps. 118 million of this amount was invested in the replacement of the distribution fleet, Ps. 105 million in land and buildings and improvements to leased properties dedicated to various distribution functions, Ps. 21 million in information systems and office equipment for the distribution units, and the remaining Ps. 139 million in other distribution-related investments.</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39"/>
          </w:cols>
          <w:pgMar w:left="220" w:top="135" w:right="1440" w:bottom="1440" w:gutter="0" w:footer="0" w:header="0"/>
        </w:sectPr>
      </w:pPr>
    </w:p>
    <w:bookmarkStart w:id="73" w:name="page74"/>
    <w:bookmarkEnd w:id="73"/>
    <w:p>
      <w:pPr>
        <w:ind w:left="440"/>
        <w:spacing w:after="0"/>
        <w:rPr>
          <w:sz w:val="20"/>
          <w:szCs w:val="20"/>
          <w:color w:val="auto"/>
        </w:rPr>
      </w:pPr>
      <w:r>
        <w:rPr>
          <w:rFonts w:ascii="Courier New" w:cs="Courier New" w:eastAsia="Courier New" w:hAnsi="Courier New"/>
          <w:sz w:val="15"/>
          <w:szCs w:val="15"/>
          <w:color w:val="auto"/>
        </w:rPr>
        <w:t>Market-related Investments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During 2002, FEMSA Cerveza invested approximately Ps. 2.0 billion in market-related activities and brand support in the domestic market. A significant amount of these investments were directed to tied-account agreements with retailers and commercial support to owned and third-party distributors. Investments in retail agreements with tied customers that exceed a one-year term are capitalized and amortized over the life of the agreement. In general, FEMSA Cerveza's retail agreements are for a period of three to four years. Other market-related investments include the purchase of refrigeration equipment, coolers, plastic furniture and other promotional items. These items are placed with retailers as a means of facilitating the retailers' ability to service consumers and to promote the image and profile of FEMSA Cerveza's brands.</w:t>
      </w:r>
    </w:p>
    <w:p>
      <w:pPr>
        <w:spacing w:after="0" w:line="15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Coca-Cola FEMSA</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During 2002, capital expenditures by Coca-Cola FEMSA in Mexico and Argentina totaled approximately Ps. 1,341 million. Capital expenditures in the Mexican Territories amounted to Ps. 1,278 million and included the launching of the second phase of a project to increase the installed capacity of its Toluca plant, improving the efficiency of its distribution infrastructure by placing refrigeration equipment and by further improving information technology. Capital expenditures for the Buenos Aires Territories totaled Ps. 63 million, which was utilized primarily for equipment replacement and upgrades in information technology.</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FEMSA Comercio</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FEMSA Comercio's principal investment activity is the construction and opening of new stores. During 2002, FEMSA Comercio opened 457 new Oxxo stores. The amount invested in 2002 dedicated to the opening of new stores and improvements to leased properties was Ps. 753 million. In addition, FEMSA Comercio invested Ps. 23 million in the opening of new Bara discount stores and Ps. 48 million in ERP system software.</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FEMSA Empaques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2002, FEMSA Empaques invested a total of Ps. 245 million. Net investments in the metal products production facilities, which include aluminum cans and crown caps, amounted to Ps. 68 million, primarily for plant improvement, equipment substitution and the purchase of real estate property. In addition, FEMSA Empaques invested Ps. 120 million in the overhaul of one of its main glass furnaces.</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Logistica</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In 2002, Logistica divested Ps. 16 million worth of transportation equipment and invested Ps. 8 million in land and equipment and Ps. 20 million in information technology, for a net capital expenditure of Ps. 12 million.</w:t>
      </w:r>
    </w:p>
    <w:p>
      <w:pPr>
        <w:spacing w:after="0" w:line="167"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Regulatory Matters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Competition Legislation</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Mexico. The Ley Federal de Competencia Economica (the Federal Economic Competition Law, or the "Mexican Competition Law") became effective on June 22, 1993. The Mexican Competition Law and the Reglamento de la Ley Federal de Competencia Economica (the "Regulations of the Mexican Competition Law"), effective as of March 9, 1998, regulate monopolies and monopolistic practices and require Mexican government approval of certain mergers and acquisitions. The Mexican Competition Law subjects the activities of certain Mexican companies, including us, to closer regulatory scrutiny. In addition, the regulations of the Mexican Competition Law prohibit members of any trade association from reaching any agreement relating to the price of their products.</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39"/>
          </w:cols>
          <w:pgMar w:left="220" w:top="617" w:right="1440" w:bottom="1440" w:gutter="0" w:footer="0" w:header="0"/>
        </w:sectPr>
      </w:pPr>
    </w:p>
    <w:bookmarkStart w:id="74" w:name="page75"/>
    <w:bookmarkEnd w:id="74"/>
    <w:p>
      <w:pPr>
        <w:ind w:right="3239" w:firstLine="437"/>
        <w:spacing w:after="0" w:line="236" w:lineRule="auto"/>
        <w:rPr>
          <w:sz w:val="20"/>
          <w:szCs w:val="20"/>
          <w:color w:val="auto"/>
        </w:rPr>
      </w:pPr>
      <w:r>
        <w:rPr>
          <w:rFonts w:ascii="Courier New" w:cs="Courier New" w:eastAsia="Courier New" w:hAnsi="Courier New"/>
          <w:sz w:val="15"/>
          <w:szCs w:val="15"/>
          <w:color w:val="auto"/>
        </w:rPr>
        <w:t>Argentina. The Ley de Defensa de la Competencia (the "Argentine Competition Law") became effective on December 8, 1980. The purpose of the Argentine Competition Law is to guarantee the free development of the Argentine markets and to penalize conduct that obstructs competition. The Argentine Competition Law regulates the activities of Argentine companies including Coca-Cola FEMSA Buenos Aires and Repare.</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Management believes that we are currently in compliance in all material respects with Mexican and Argentine competition legislation. There is an ongoing procedure before the Mexican Antitrust Commission with respect to exclusivity arrangements with retailers of Coca-Cola soft drinks. We believe that the outcome of the procedure will not have a material adverse effect on our financial condition. See "Item 8. Financial Information--Legal Proceedings--Antitrust Proceedings."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Price Controls of Soft Drinks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Mexico. Prior to 1992, prices of carbonated soft drinks were regulated by the Mexican government. From 1992 to 1995, the industry was subject to voluntary price restraints. However, in response to the devaluation of the Peso relative to the U.S. Dollar in 1994 and 1995, the Mexican government adopted an economic recovery plan to control inflationary pressures in 1995. As part of this plan, the Mexican government encouraged the Asociacion Nacional de Productores de Refrescos y Aguas Carbonatadas, A.C. (the "National Association of Bottlers") to engage in voluntary consultations with the Mexican government with respect to price increases for returnable presentations, limiting our ability to pass on increases in the prices of raw materials. Such voluntary consultations were terminated in 1996. There have been no price controls in effect after 1996.</w:t>
      </w:r>
    </w:p>
    <w:p>
      <w:pPr>
        <w:spacing w:after="0" w:line="165"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Argentina. In December 1989, price controls on soft drinks in Argentina were abolished. The Argentine government may, however, reinstate formal price controls at its discretion at any time.</w:t>
      </w:r>
    </w:p>
    <w:p>
      <w:pPr>
        <w:spacing w:after="0" w:line="174" w:lineRule="exact"/>
        <w:rPr>
          <w:sz w:val="20"/>
          <w:szCs w:val="20"/>
          <w:color w:val="auto"/>
        </w:rPr>
      </w:pPr>
    </w:p>
    <w:p>
      <w:pPr>
        <w:ind w:right="3499" w:firstLine="437"/>
        <w:spacing w:after="0" w:line="261" w:lineRule="auto"/>
        <w:rPr>
          <w:sz w:val="20"/>
          <w:szCs w:val="20"/>
          <w:color w:val="auto"/>
        </w:rPr>
      </w:pPr>
      <w:r>
        <w:rPr>
          <w:rFonts w:ascii="Courier New" w:cs="Courier New" w:eastAsia="Courier New" w:hAnsi="Courier New"/>
          <w:sz w:val="14"/>
          <w:szCs w:val="14"/>
          <w:color w:val="auto"/>
        </w:rPr>
        <w:t>We cannot ensure you that either the Mexican government or the Argentine government will not reinstate price control on soft drinks in the future.</w:t>
      </w:r>
    </w:p>
    <w:p>
      <w:pPr>
        <w:spacing w:after="0" w:line="15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Environmental Matters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Mexico. Our Mexican operations are subject to Mexican federal and state laws and regulations relating to the protection of the environment. The principal federal environmental laws are the Ley General de Equilibrio Ecologico y Proteccion al Ambiente (the General Law of Ecological Equilibrium and Protection of the Environment or the "Mexican Environmental Law"), which is enforced by the Secretaria de Medio Ambiente, Recursos Naturales y Pesca (the Ministry of the Environment, Natural Resources and Fisheries, or "SEMARNAP") and the Ley Federal de Derechos (the "Mexican Federal Law of Governmental Fees"). The Mexican Federal Law of Governmental Fees requires that Mexican manufacturing plants pay a fee for the discharge of residual waste water to drainage. Under the Mexican Environmental Law, rules have been promulgated concerning hazardous substances and water, air and noise pollution. SEMARNAP can bring administrative and criminal proceedings against companies that violate environmental laws, and it also has the power to close non-complying facilities. In particular, Mexican environmental laws and regulations require that Mexican companies file periodic reports with respect to air and water emissions and hazardous wastes and set forth standards for waste water discharge that apply to their operations. In order to comply with these standards, we have installed and plan to continue installing water treatment systems for the drainage of liquids in our facilities. We are also subject to certain minimal restrictions on the operation of delivery trucks in Mexico City. We have undertaken programs designed to facilitate compliance with air, waste, noise and energy standards established by current Mexican federal and state environmental laws, including a program to install catalytic converters and liquid petroleum gas in delivery trucks for our facilities in Mexico City.</w:t>
      </w:r>
    </w:p>
    <w:p>
      <w:pPr>
        <w:spacing w:after="0" w:line="34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level of environmental regulation and enforcement in Mexico has increased in recent years. We expect this trend to continue and to be accelerated by international agreements between Mexico and the United States. To the extent that new environmental regulations are promulgated in Mexico, we may be required to incur additional remedial capital expenditures to comply with the concessions regulations. Management is not aware of any pending regulatory changes that would require additional remedial capital expenditures in a significant amount.</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239"/>
          </w:cols>
          <w:pgMar w:left="220" w:top="624" w:right="1440" w:bottom="1440" w:gutter="0" w:footer="0" w:header="0"/>
        </w:sectPr>
      </w:pPr>
    </w:p>
    <w:bookmarkStart w:id="75" w:name="page76"/>
    <w:bookmarkEnd w:id="75"/>
    <w:p>
      <w:pPr>
        <w:ind w:right="3319" w:firstLine="437"/>
        <w:spacing w:after="0" w:line="236" w:lineRule="auto"/>
        <w:rPr>
          <w:sz w:val="20"/>
          <w:szCs w:val="20"/>
          <w:color w:val="auto"/>
        </w:rPr>
      </w:pPr>
      <w:r>
        <w:rPr>
          <w:rFonts w:ascii="Courier New" w:cs="Courier New" w:eastAsia="Courier New" w:hAnsi="Courier New"/>
          <w:sz w:val="15"/>
          <w:szCs w:val="15"/>
          <w:color w:val="auto"/>
        </w:rPr>
        <w:t>Argentina. Our Argentine operations are subject to Argentine federal and provincial laws and regulations relating to the protection of the environment. The most significant of these are regulations concerning waste water discharge, which are enforced by the Secretaria de Recursos Naturales y Ambiente Humano (the Ministry of Natural Resources and Human Environment) and the Secretaria de Politica Ambiental (the Ministry of Environmental Policy). Coca-Cola FEMSA Buenos Aires' Alcorta plant meets waste water discharge standards and is in compliance with these standards.</w:t>
      </w:r>
    </w:p>
    <w:p>
      <w:pPr>
        <w:spacing w:after="0" w:line="177" w:lineRule="exact"/>
        <w:rPr>
          <w:sz w:val="20"/>
          <w:szCs w:val="20"/>
          <w:color w:val="auto"/>
        </w:rPr>
      </w:pPr>
    </w:p>
    <w:p>
      <w:pPr>
        <w:jc w:val="both"/>
        <w:ind w:right="3579" w:firstLine="437"/>
        <w:spacing w:after="0" w:line="235" w:lineRule="auto"/>
        <w:rPr>
          <w:sz w:val="20"/>
          <w:szCs w:val="20"/>
          <w:color w:val="auto"/>
        </w:rPr>
      </w:pPr>
      <w:r>
        <w:rPr>
          <w:rFonts w:ascii="Courier New" w:cs="Courier New" w:eastAsia="Courier New" w:hAnsi="Courier New"/>
          <w:sz w:val="15"/>
          <w:szCs w:val="15"/>
          <w:color w:val="auto"/>
        </w:rPr>
        <w:t>Management believes that we are currently in compliance in all material respects with Mexican and Argentine federal and state environmental laws and regulations.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Water Supply Law</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Mexico. FEMSA Cerveza and Coca-Cola FEMSA purchase water directly from municipal water companies and pump water from their own wells pursuant to concessions obtained from the Mexican government on a plant-by-plant basis. Water use in Mexico is regulated primarily by the Ley de Aguas Nacionales de 1992 (including regulations issued thereunder, the "Mexican 1992 Water Law"), which created the Comision Nacional de Aguas (the "National Water Commission"), charged with overseeing the national system of water use. Under the Mexican 1992 Water Law, the National Water Commission may grant concessions for the use of a specific volume of ground or surface waters. In practice, the National Water Commission generally grants concessions for terms of five, ten and fifteen years depending on the supply of groundwater in each region. Concessionaires may request concession terms to be extended upon termination. The Mexican government is authorized to reduce the volume of ground or surface water granted for use by a concession by whatever volume of water that is not used by the concessionaire for three consecutive years. Our management believes that we are in compliance with the terms of our existing concessions and that such concessions satisfy our current water requirements in Mexico. We cannot assure you, however, that groundwater will be available in sufficient quantities to meet future production needs.</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Argentina. Coca-Cola FEMSA Buenos Aires does not currently require a permit to obtain water in Argentina. Because Coca-Cola FEMSA Buenos Aires' Alcorta plant does not use water from underground sources, no permit for water use is necessary. Instead, Coca-Cola FEMSA Buenos Aires obtains water for the Alcorta plant from Aguas Argentinas, a privately-owned concessionaire of the Argentine government. We can give no assurances, however, that water will be available in sufficient quantities to meet the future production needs of Coca-Cola FEMSA Buenos Aires.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Health Regulation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Mexico. Our Mexican subsidiaries are required to obtain licenses from the Ministry of Health for their plants and distribution centers and to register the products they sell with the Ministry of Health. Our management believes that our Mexican subsidiaries are currently in compliance in all material respects with such requirements.</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Argentina. While most laws applicable to our Argentine bottling subsidiaries are enforced at the federal level, sanitation regulations are primarily enforced at the provincial and municipal level. There are no licenses or permits required for the manufacture or distribution of soft drinks in Buenos Aires. However, our Argentine bottling subsidiaries' production facilities are subject to registration with federal and provincial authorities and to supervision by municipal health agencies which certify compliance with applicable laws. Management believes that such subsidiaries are currently in compliance in all material respects with such regulatory requirements.</w:t>
      </w:r>
    </w:p>
    <w:p>
      <w:pPr>
        <w:spacing w:after="0" w:line="1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Insurance</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maintain an "all risk" insurance policy covering our properties (owned and leased), machinery and equipment and inventories as well as losses due to business interruptions. The policy covers damages caused by natural disaster, including but not limited to hurricane, hail, earthquake and damages caused by human acts, including, but not limited to, explosion, fire, vandalism, riot and losses incurred in connection with goods in transit. In addition, we maintain an "all risk" liability insurance policy that covers product liability. We purchase our insurance coverage through an insurance broker. The policies are issued by Allianz in Mexico and Argentina, and the coverage is partially reinsured in the international reinsurance market.</w:t>
      </w:r>
    </w:p>
    <w:p>
      <w:pPr>
        <w:spacing w:after="0" w:line="200" w:lineRule="exact"/>
        <w:rPr>
          <w:sz w:val="20"/>
          <w:szCs w:val="20"/>
          <w:color w:val="auto"/>
        </w:rPr>
      </w:pPr>
    </w:p>
    <w:p>
      <w:pPr>
        <w:spacing w:after="0" w:line="30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0239"/>
          </w:cols>
          <w:pgMar w:left="220" w:top="624" w:right="1440" w:bottom="1440" w:gutter="0" w:footer="0" w:header="0"/>
        </w:sectPr>
      </w:pPr>
    </w:p>
    <w:bookmarkStart w:id="76" w:name="page77"/>
    <w:bookmarkEnd w:id="76"/>
    <w:p>
      <w:pPr>
        <w:spacing w:after="0"/>
        <w:tabs>
          <w:tab w:leader="none" w:pos="78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4"/>
          <w:szCs w:val="14"/>
          <w:color w:val="auto"/>
        </w:rPr>
        <w:t>OPERATING AND FINANCIAL REVIEW AND PROSPECTS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following discussion should be read in conjunction with, and is qualified in its entirety by reference to, our consolidated financial statements, including the Notes thereto. Our consolidated financial statements were prepared in accordance with Mexican GAAP, which differ in certain significant respects from U.S. GAAP. Notes 24 and 25 to our consolidated financial statements provide a description of the principal differences between Mexican GAAP and U.S. GAAP as they relate to us, and a reconciliation to U.S. GAAP of net majority income, majority shareholders' equity and certain other selected financial data.</w:t>
      </w:r>
    </w:p>
    <w:p>
      <w:pPr>
        <w:spacing w:after="0" w:line="172"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Critical Accounting Policies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preparation of our consolidated financial statements requires that we make estimates and assumptions that affect the reported amounts of assets and liabilities and the disclosure of contingent assets and liabilities at the date of the financial statements and the reported amounts of revenues and expenses during the reporting period. We base our estimates and judgments on historical experience and on various other factors that we believe to be reasonable under the circumstances, the results of which form the basis for making judgments about the carrying values of assets and liabilities. Actual results may differ from these estimates under different assumptions or conditions. Our significant accounting policies are described in Notes 3 and 4 to our consolidated financial statements. On an on-going basis, we evaluate our estimates and judgments, and we believe our most critical accounting policies that imply the application of estimates and/or judgments are:</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Revenue recognition</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We recognize revenues when title transfers or services are rendered to unaffiliated customers. Our primary revenue sources are our beer and soft drink beverage operations, as well as retail operations through the Oxxo convenience store chain.</w:t>
      </w:r>
    </w:p>
    <w:p>
      <w:pPr>
        <w:spacing w:after="0" w:line="175"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We consider the title transferred when a product is shipped to an independent wholesaler or a retail customer. For retail operations, revenue is recognized when customers buy products in our stores.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Allowance for doubtful accounts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We determine our allowance for doubtful accounts based on an evaluation of the aging of our receivable portfolio. The amount of the allowance contemplates our historical loss rate on receivables and the economic environment in which we operate. Our beer operations represent the most important part of the consolidated allowance for doubtful accounts as a result of the credit FEMSA Cerveza extends to retailers, on terms and conditions in accordance with industry practices. Soft drink and retail sales are generally realized in cash.</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Bottles and cases; allowance for bottle breakage</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classify bottles and cases in accordance with industry practices. As such, for FEMSA Cerveza, bottles and cases are classified as inventories and for Coca-Cola FEMSA as fixed assets. In both cases, breakage is expensed as incurred, and returnable bottles and cases are not depreciated. Coca-Cola FEMSA determines depreciation of bottles and cases only for tax purposes.</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We periodically compare the book breakage expense with calculated depreciation expense, estimating a useful life of four years for returnable glass bottles, one year for returnable plastic bottles and four years for returnable cases. Such useful lives are determined in accordance with our business experience. The annual calculated depreciation expense has been similar to the annual book breakage expense. Whenever we decide to discontinue a particular returnable presentation and retire it from the market, we write-off the discontinued presentation through an increase in the breakage expense.</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239"/>
          </w:cols>
          <w:pgMar w:left="220" w:top="953" w:right="1440" w:bottom="1440" w:gutter="0" w:footer="0" w:header="0"/>
        </w:sectPr>
      </w:pPr>
    </w:p>
    <w:bookmarkStart w:id="77" w:name="page78"/>
    <w:bookmarkEnd w:id="77"/>
    <w:p>
      <w:pPr>
        <w:ind w:left="440"/>
        <w:spacing w:after="0"/>
        <w:rPr>
          <w:sz w:val="20"/>
          <w:szCs w:val="20"/>
          <w:color w:val="auto"/>
        </w:rPr>
      </w:pPr>
      <w:r>
        <w:rPr>
          <w:rFonts w:ascii="Courier New" w:cs="Courier New" w:eastAsia="Courier New" w:hAnsi="Courier New"/>
          <w:sz w:val="15"/>
          <w:szCs w:val="15"/>
          <w:color w:val="auto"/>
        </w:rPr>
        <w:t>Property, plant and equipment</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Property, plant and equipment are depreciated over their useful lives. The estimated useful lives represent the period we expect the assets to remain in service and to generate revenues. We base our estimates on independent appraisals and the experience of our technical personnel.</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describe the methodology used to restate imported equipment in Note 4(g) to our consolidated financial statements, which includes applying the exchange and inflation rates of the country of origin utilized as permitted by Mexican GAAP. We believe this method more accurately presents the fair value of the assets than restated cost determined by applying inflation factors derived from the Mexican CPI.</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Coca-Cola FEMSA is currently conducting appraisals of the assets acquired in connection with the Panamco acquisition, in order to present their values in accordance with Mexican GAAP. Coca-Cola FEMSA is considering making new investments to upgrade and modernize certain of Panamco's plant and equipment and writing off or closing others.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Valuation of goodwill and long-lived assets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As we discuss in Note 4(i) to our consolidated financial statements, goodwill is the difference between the price paid and book value (substantially equal to fair value as a result of restatement for the effects of inflation under Mexican GAAP) of the stock and/or net assets acquired. For Mexican GAAP purposes, this difference is amortized over a period of 20 years and is recorded in the currency used to make the investment since such investment will be recovered in such currency. We calculate the restatement by applying the inflation rate of the country of origin, then translating into Pesos at the year-end exchange rate.</w:t>
      </w:r>
    </w:p>
    <w:p>
      <w:pPr>
        <w:spacing w:after="0" w:line="178"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We continually review the carrying value of our goodwill and long-lived assets for accuracy. We review for impairment whenever events or changes in circumstances indicate that the carrying amount of an asset may not be recoverable based on our projections of anticipated future cash flows. While we believe that our estimates of future cash flows are reasonable, different assumptions regarding such cash flows could materially affect our evaluations.</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Due to the uncertainty and instability of the economic environment in Argentina, we wrote down in the third quarter of 2002, Ps. 401.8 million (A$129.5 million) of the goodwill generated by the acquisition of the territories served by our wholly owned subsidiary Coca-Cola FEMSA de Buenos Aires. Given the present economic situation in Argentina, we believe that the current net asset value (A$288.6 million) of our foreign subsidiary is fairly valued, and although we can give you no assurance, we do not expect to recognize additional impairments in the future in Argentina. With the exception of the write-down in the third quarter of 2002, our evaluations throughout the year and up to the date of this filing, did not lead to any other significant impairment of goodwill or long-lived assets.</w:t>
      </w:r>
    </w:p>
    <w:p>
      <w:pPr>
        <w:spacing w:after="0" w:line="180"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Under Mexican GAAP, the remaining value of goodwill will continue to be amortized in the income statement for 2003. Changes in economic or political conditions in Argentina or in our business, however, may cause us to change our current assessment. Consolidated goodwill related to Argentina as of December 31, 2002 amounted to A$49.0 million.</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Under U.S. GAAP, SFAS No. 142, "Goodwill and Other Intangible Assets," went into effect in 2002. Under this standard, goodwill is no longer subject to amortization, but instead is subject to an initial impairment review in 2002 and subsequent impairment test to be performed annually by us, unless an event occurs or circumstances change by which it becomes more likely than not that a reporting unit reduces its fair value below its carrying amount, in which case an interim impairment test must be performed. Our impairment review indicates that no impairment charge is required as of the beginning of 2003.</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have not yet concluded our valuation of Panamco's assets and liabilities. However, we expect that the excess purchase price over the fair value of Panamco's tangible assets and liabilities will be primarily recorded as intangible assets with indefinite lives, consisting principally of Coca-Cola FEMSA's rights under its bottler agreements. Starting January 2003, consistent with U.S. GAAP, intangible assets with indefinite lives are not subject to amortization under Mexican GAAP, but are subject to annual impairment tests. We can give no assurance that our expectations will not change as a result of new information or developments.</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10239"/>
          </w:cols>
          <w:pgMar w:left="220" w:top="617" w:right="1440" w:bottom="1440" w:gutter="0" w:footer="0" w:header="0"/>
        </w:sectPr>
      </w:pPr>
    </w:p>
    <w:bookmarkStart w:id="78" w:name="page79"/>
    <w:bookmarkEnd w:id="78"/>
    <w:p>
      <w:pPr>
        <w:ind w:left="440"/>
        <w:spacing w:after="0"/>
        <w:rPr>
          <w:sz w:val="20"/>
          <w:szCs w:val="20"/>
          <w:color w:val="auto"/>
        </w:rPr>
      </w:pPr>
      <w:r>
        <w:rPr>
          <w:rFonts w:ascii="Courier New" w:cs="Courier New" w:eastAsia="Courier New" w:hAnsi="Courier New"/>
          <w:sz w:val="15"/>
          <w:szCs w:val="15"/>
          <w:color w:val="auto"/>
        </w:rPr>
        <w:t>Executory contracts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As part of the normal course of business, we frequently invest in the development of our beer distribution channels through a variety of commercial agreements with different retailers in order to generate sales volume. These agreements are considered to be executory contracts, and accordingly the costs incurred under such contracts are recognized as performance under the contracts is received.</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These agreements require cash disbursements in advance to certain retailers to fund activities intended to generate volume, which are compensated in the future as sales are invoiced. These disbursements are considered to be market-related investments that are capitalized as deferred charges and included in other assets. The amortization of amounts capitalized is presented as a reduction of net sales in relation to the volume sold to each retailer. The period of amortization averages from three to four years, the normal term of the commercial agreements.</w:t>
      </w:r>
    </w:p>
    <w:p>
      <w:pPr>
        <w:spacing w:after="0" w:line="177"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We periodically evaluate the carrying value of deferred charges. If the carrying value is considered to be impaired, such assets are written down as appropriate. The accuracy of the carrying value is based on our ability to accurately predict certain key variables such as sales volume, prices and other industry and economic factors. Predicting these key variables involves uncertainty about future events; however, the assumptions used are consistent with our internal planning.</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Income taxes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We recognize deferred tax assets and liabilities based on the differences between the financial statement carrying amounts and the tax bases of assets and liabilities. We regularly review our deferred tax assets for recoverability and establish a valuation allowance based on historical taxable income, projected future taxable income and the expected timing of the reversals of existing temporary differences. If these estimates and related assumptions change in the future, we may be required to record additional valuation allowances against our deferred tax assets resulting in additional income tax expense.</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Beginning in 2003, the statutory income tax rate will be reduced one percentage point per year through to 2005, when the rate will be 32%. In accordance with this tax rate reduction, we decided to recognize under Mexican GAAP in December 2001, a reduction in deferred income tax liabilities and in the income tax provision for the year of Ps. 238 million, based on the expected dates of reversal of the temporary differences. Depreciation of fixed assets represents the most important temporary difference that will be reversed in the future years at a lower rate. For U.S. GAAP, a change in the statutory tax rate may not to be considered until the enactment date, which is January 1, 2002.</w:t>
      </w:r>
    </w:p>
    <w:p>
      <w:pPr>
        <w:spacing w:after="0" w:line="1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Labor liabilities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Our labor liabilities are comprised of pension plan, seniority premium and post-retirement medical services. The determination of our obligations and expenses for pension and other post-retirement benefits is dependent on our selection of certain assumptions used by actuaries in calculating such amounts. We evaluate our assumptions at least annually. Those assumptions are described in Note 14 to our consolidated financial statements and include, among others, the discount rate, expected long-term rate of return on plan assets and rates of increase in compensation costs and certain employee-related factors, such as turnover, retirement age and mortality. In accordance with Mexican GAAP, actual results that differ from our assumptions are accumulated and amortized over future periods and therefore, generally affect our recognized expenses and recorded obligations in such future periods. While we believe that our assumptions are appropriate, significant differences in our actual experience or significant changes in our assumptions may materially affect our pension and other post-retirement obligations and our future expense. The following table is a summary of the three key assumptions to be used in determining 2003 annual pension expense, along with the impact on pension expense of a 1% change in each assumed rate.</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72</w:t>
      </w:r>
    </w:p>
    <w:p>
      <w:pPr>
        <w:sectPr>
          <w:pgSz w:w="11900" w:h="16838" w:orient="portrait"/>
          <w:cols w:equalWidth="0" w:num="1">
            <w:col w:w="10239"/>
          </w:cols>
          <w:pgMar w:left="220" w:top="617" w:right="1440" w:bottom="1440" w:gutter="0" w:footer="0" w:header="0"/>
        </w:sectPr>
      </w:pPr>
    </w:p>
    <w:bookmarkStart w:id="79" w:name="page80"/>
    <w:bookmarkEnd w:id="79"/>
    <w:p>
      <w:pPr>
        <w:ind w:left="1400" w:right="1999" w:firstLine="3061"/>
        <w:spacing w:after="0" w:line="234" w:lineRule="auto"/>
        <w:rPr>
          <w:sz w:val="20"/>
          <w:szCs w:val="20"/>
          <w:color w:val="auto"/>
        </w:rPr>
      </w:pPr>
      <w:r>
        <w:rPr>
          <w:rFonts w:ascii="Courier New" w:cs="Courier New" w:eastAsia="Courier New" w:hAnsi="Courier New"/>
          <w:sz w:val="15"/>
          <w:szCs w:val="15"/>
          <w:color w:val="auto"/>
        </w:rPr>
        <w:t>2003 rate Impact of 1% change Assumption (in real terms) (millions)(1)(2)</w:t>
      </w:r>
    </w:p>
    <w:p>
      <w:pPr>
        <w:spacing w:after="0" w:line="5" w:lineRule="exact"/>
        <w:rPr>
          <w:sz w:val="20"/>
          <w:szCs w:val="20"/>
          <w:color w:val="auto"/>
        </w:rPr>
      </w:pPr>
    </w:p>
    <w:p>
      <w:pPr>
        <w:ind w:left="980"/>
        <w:spacing w:after="0"/>
        <w:rPr>
          <w:sz w:val="20"/>
          <w:szCs w:val="20"/>
          <w:color w:val="auto"/>
        </w:rPr>
      </w:pPr>
      <w:r>
        <w:rPr>
          <w:rFonts w:ascii="Courier New" w:cs="Courier New" w:eastAsia="Courier New" w:hAnsi="Courier New"/>
          <w:sz w:val="14"/>
          <w:szCs w:val="14"/>
          <w:color w:val="auto"/>
        </w:rPr>
        <w:t>----------------------------------- ---------------------- ---------------------------------</w:t>
      </w:r>
    </w:p>
    <w:p>
      <w:pPr>
        <w:spacing w:after="0" w:line="171" w:lineRule="exact"/>
        <w:rPr>
          <w:sz w:val="20"/>
          <w:szCs w:val="20"/>
          <w:color w:val="auto"/>
        </w:rPr>
      </w:pPr>
    </w:p>
    <w:tbl>
      <w:tblPr>
        <w:tblLayout w:type="fixed"/>
        <w:tblInd w:w="980" w:type="dxa"/>
        <w:tblCellMar>
          <w:top w:w="0" w:type="dxa"/>
          <w:left w:w="0" w:type="dxa"/>
          <w:bottom w:w="0" w:type="dxa"/>
          <w:right w:w="0" w:type="dxa"/>
        </w:tblCellMar>
      </w:tblPr>
      <w:tr>
        <w:trPr>
          <w:trHeight w:val="170"/>
        </w:trPr>
        <w:tc>
          <w:tcPr>
            <w:tcW w:w="2920" w:type="dxa"/>
            <w:vAlign w:val="bottom"/>
          </w:tcPr>
          <w:p>
            <w:pPr>
              <w:spacing w:after="0"/>
              <w:rPr>
                <w:sz w:val="20"/>
                <w:szCs w:val="20"/>
                <w:color w:val="auto"/>
              </w:rPr>
            </w:pPr>
            <w:r>
              <w:rPr>
                <w:rFonts w:ascii="Courier New" w:cs="Courier New" w:eastAsia="Courier New" w:hAnsi="Courier New"/>
                <w:sz w:val="15"/>
                <w:szCs w:val="15"/>
                <w:color w:val="auto"/>
              </w:rPr>
              <w:t>Discount rate</w:t>
            </w:r>
          </w:p>
        </w:tc>
        <w:tc>
          <w:tcPr>
            <w:tcW w:w="210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6.0%</w:t>
            </w:r>
          </w:p>
        </w:tc>
        <w:tc>
          <w:tcPr>
            <w:tcW w:w="1700" w:type="dxa"/>
            <w:vAlign w:val="bottom"/>
          </w:tcPr>
          <w:p>
            <w:pPr>
              <w:ind w:left="740"/>
              <w:spacing w:after="0"/>
              <w:rPr>
                <w:sz w:val="20"/>
                <w:szCs w:val="20"/>
                <w:color w:val="auto"/>
              </w:rPr>
            </w:pPr>
            <w:r>
              <w:rPr>
                <w:rFonts w:ascii="Courier New" w:cs="Courier New" w:eastAsia="Courier New" w:hAnsi="Courier New"/>
                <w:sz w:val="15"/>
                <w:szCs w:val="15"/>
                <w:color w:val="auto"/>
                <w:w w:val="94"/>
              </w:rPr>
              <w:t>+ Ps. 2,240</w:t>
            </w:r>
          </w:p>
        </w:tc>
      </w:tr>
      <w:tr>
        <w:trPr>
          <w:trHeight w:val="168"/>
        </w:trPr>
        <w:tc>
          <w:tcPr>
            <w:tcW w:w="29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7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w w:val="94"/>
              </w:rPr>
              <w:t>- Ps. 2,799</w:t>
            </w:r>
          </w:p>
        </w:tc>
      </w:tr>
      <w:tr>
        <w:trPr>
          <w:trHeight w:val="168"/>
        </w:trPr>
        <w:tc>
          <w:tcPr>
            <w:tcW w:w="2920" w:type="dxa"/>
            <w:vAlign w:val="bottom"/>
          </w:tcPr>
          <w:p>
            <w:pPr>
              <w:spacing w:after="0" w:line="168" w:lineRule="exact"/>
              <w:rPr>
                <w:sz w:val="20"/>
                <w:szCs w:val="20"/>
                <w:color w:val="auto"/>
              </w:rPr>
            </w:pPr>
            <w:r>
              <w:rPr>
                <w:rFonts w:ascii="Courier New" w:cs="Courier New" w:eastAsia="Courier New" w:hAnsi="Courier New"/>
                <w:sz w:val="15"/>
                <w:szCs w:val="15"/>
                <w:color w:val="auto"/>
              </w:rPr>
              <w:t>Salary growth rate</w:t>
            </w:r>
          </w:p>
        </w:tc>
        <w:tc>
          <w:tcPr>
            <w:tcW w:w="21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w:t>
            </w:r>
          </w:p>
        </w:tc>
        <w:tc>
          <w:tcPr>
            <w:tcW w:w="17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w w:val="94"/>
              </w:rPr>
              <w:t>+ Ps. 2,658</w:t>
            </w:r>
          </w:p>
        </w:tc>
      </w:tr>
      <w:tr>
        <w:trPr>
          <w:trHeight w:val="168"/>
        </w:trPr>
        <w:tc>
          <w:tcPr>
            <w:tcW w:w="29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7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w w:val="94"/>
              </w:rPr>
              <w:t>- Ps. 2,338</w:t>
            </w:r>
          </w:p>
        </w:tc>
      </w:tr>
      <w:tr>
        <w:trPr>
          <w:trHeight w:val="168"/>
        </w:trPr>
        <w:tc>
          <w:tcPr>
            <w:tcW w:w="292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asset return</w:t>
            </w:r>
          </w:p>
        </w:tc>
        <w:tc>
          <w:tcPr>
            <w:tcW w:w="21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6.0%</w:t>
            </w:r>
          </w:p>
        </w:tc>
        <w:tc>
          <w:tcPr>
            <w:tcW w:w="17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w w:val="94"/>
              </w:rPr>
              <w:t>+ Ps. 2,240</w:t>
            </w:r>
          </w:p>
        </w:tc>
      </w:tr>
      <w:tr>
        <w:trPr>
          <w:trHeight w:val="168"/>
        </w:trPr>
        <w:tc>
          <w:tcPr>
            <w:tcW w:w="29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7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w w:val="94"/>
              </w:rPr>
              <w:t>- Ps. 2,799</w:t>
            </w:r>
          </w:p>
        </w:tc>
      </w:tr>
    </w:tbl>
    <w:p>
      <w:pPr>
        <w:spacing w:after="0" w:line="341" w:lineRule="exact"/>
        <w:rPr>
          <w:sz w:val="20"/>
          <w:szCs w:val="20"/>
          <w:color w:val="auto"/>
        </w:rPr>
      </w:pPr>
    </w:p>
    <w:p>
      <w:pPr>
        <w:ind w:left="1320" w:right="3939" w:hanging="348"/>
        <w:spacing w:after="0" w:line="234" w:lineRule="auto"/>
        <w:tabs>
          <w:tab w:leader="none" w:pos="13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impact is not the same for an increase of 1% as for a decrease of 1% because the rates are not linear.</w:t>
      </w:r>
    </w:p>
    <w:p>
      <w:pPr>
        <w:ind w:left="1320" w:hanging="348"/>
        <w:spacing w:after="0" w:line="237" w:lineRule="auto"/>
        <w:tabs>
          <w:tab w:leader="none" w:pos="13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refers to an increase of 1%; "-" indicates a decrease of 1%.</w:t>
      </w:r>
    </w:p>
    <w:p>
      <w:pPr>
        <w:spacing w:after="0" w:line="335"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New Accounting Pronouncements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Mexican GAAP</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Bulletin B-5, "Informacion Financiera por Segmentos" (Financial Information by Segment) ("Bulletin B-5"): In April 2003, Bulletin B-5, issued by the Mexican Institute of Public Accounts ("IMCP"), went into effect superseding the provisions in International Accounting Standard ("IAS") No. 14, "Segment Reporting," which was suppletory based on the provisions in Bulletin A-8, "Aplicacion Supletoria de Normas Internacionales de Contabilidad" (Suppletory Application of International Accounting Standards), with respect to disclosing financial information by segment. The provisions of this new bulletin are substantially similar to those of IAS No. 14; however, they incorporate a managerial focus, which requires at a minimum disclosure of the segment information that is used by management to make decisions. These new provisions do not change the segment information previously presented by us. We do not anticipate that this new standard will have a significant impact on our financial position or results of operations.</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Bulletin C-8, "Activos Intangibles" (Intangible Assets) ("Bulletin C-8"): In January 2002, the IMCP issued new Bulletin C-8, and its provisions are mandatory for fiscal years beginning January 1, 2003. Bulletin C-8 supersedes the former Bulletin C-8, and establishes that project development costs should be capitalized if they fulfill the criteria established for recognition as assets. Any start-up expenses incurred after the effective date of this bulletin should be recorded as an expense unless they meet certain criteria. The unamortized balance of capitalized start-up expenses under the former Bulletin C-8 will continue to be amortized. Bulletin C-8 requires identifying all intangible assets to reduce as much as possible the goodwill relative to business combinations. We do not anticipate that this new standard will have a significant impact on our financial position or results of operations.</w:t>
      </w:r>
    </w:p>
    <w:p>
      <w:pPr>
        <w:spacing w:after="0" w:line="16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Bulletin C-9, "Pasivo, Provisiones, Activos y Pasivos Contingentes y Compromisos" (Liabilities, Reserves, Contingent Assets and Liabilities, and Commitments) ("Bulletin C-9"): In December 2002, the IMCP issued new Bulletin C-9, and its provisions are mandatory for fiscal years beginning January 1, 2003. Bulletin C-9 supersedes the former Bulletins C-9 "Pasivos" (Liabilities), and C-12, "Contingencias y Compromisos" (Contingencies and Commitments), establishes additional guidelines clarifying accounting for liabilities, reserves, and contingent assets and liabilities and commitments, and establishes new standards for the use of present value techniques to measure liabilities and accounting for the early settlement of obligations. We do not anticipate that this new standard will have a significant impact on our financial position or results of operations.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73</w:t>
      </w:r>
    </w:p>
    <w:p>
      <w:pPr>
        <w:sectPr>
          <w:pgSz w:w="11900" w:h="16838" w:orient="portrait"/>
          <w:cols w:equalWidth="0" w:num="1">
            <w:col w:w="10239"/>
          </w:cols>
          <w:pgMar w:left="220" w:top="960" w:right="1440" w:bottom="1440" w:gutter="0" w:footer="0" w:header="0"/>
        </w:sectPr>
      </w:pPr>
    </w:p>
    <w:bookmarkStart w:id="80" w:name="page81"/>
    <w:bookmarkEnd w:id="80"/>
    <w:p>
      <w:pPr>
        <w:ind w:right="3239" w:firstLine="437"/>
        <w:spacing w:after="0" w:line="255" w:lineRule="auto"/>
        <w:rPr>
          <w:sz w:val="20"/>
          <w:szCs w:val="20"/>
          <w:color w:val="auto"/>
        </w:rPr>
      </w:pPr>
      <w:r>
        <w:rPr>
          <w:rFonts w:ascii="Courier New" w:cs="Courier New" w:eastAsia="Courier New" w:hAnsi="Courier New"/>
          <w:sz w:val="14"/>
          <w:szCs w:val="14"/>
          <w:color w:val="auto"/>
        </w:rPr>
        <w:t>Bulletin C-12, "Instrumentos Financieros con Caracteristicas de Pasivo, de Capital o de Ambos" (Financial Instruments with Characteristics of Liabilities, Equity or Both) ("Bulletin C-12"): In May 2003, the IMCP issued Bulletin C-12, whose provisions are mandatory for fiscal years beginning January 1, 2004, although early application is encouraged. C-12 incorporates the related portions of other bulletins issued by the IMCP with respect to the issuance of debt, capital or compound financial instruments, as well as those standards considered necessary for the accounting recognition of such instruments. As a result, C-12 indicates the basic distinctions between liabilities and equity and establishes the rules for the initial classification and measurement of the liability and equity components of compound financial instruments. Subsequent recognition and measurement of the liability and equity components of financial instruments remains subject to previously issued applicable standards. We do not anticipate that this new standard will have a significant impact on our financial position or results of operations.</w:t>
      </w:r>
    </w:p>
    <w:p>
      <w:pPr>
        <w:spacing w:after="0" w:line="332"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Bulletin C-15, "Detrioro en el Valor de los Activos de Larga Duracion y su Disposicion" (Impairment in the Value of Long-Lived Assets and Their Disposal) ("Bulletin C-15"): In March 2003, the IMCP issued Bulletin C-15, whose application is mandatory for financial statements of periods beginning on or after January 1, 2004, although early application is encouraged. C-15 establishes, among others, new principles for the calculation and recognition of impairment losses for long-lived assets and their reversal. It also provides examples of indicators of possible impairment in the carrying amount of tangible and intangible long-lived assets in use, including goodwill. The calculation of such loss requires the determination of the recoverable value, which is now defined as the greater of the net selling price of a cash-generating unit and its value in use, which is the present value of discounted future net cash flows. The accounting principles issued prior to this new bulletin used future net cash flows, without requiring the discounting of such cash flows. We do not anticipate that this new standard will have a significant impact on our financial position or results of operations.</w:t>
      </w:r>
    </w:p>
    <w:p>
      <w:pPr>
        <w:spacing w:after="0" w:line="32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U.S. GAAP</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SFAS No. 143, "Accounting for Asset Retirement Obligations" ("SFAS No. 143"): In June 2001, the Financial Accounting Standards Board ("FASB") issued Statement of Financial Accounting Standards ("SFAS") No. 143, which became effective for us beginning in 2003 and will be adopted accordingly. SFAS No. 143 addresses financial accounting and reporting for obligations associated with the retirement of tangible long-lived assets and the associated asset retirement costs. It applies to legal obligations associated with the retirement of long-lived assets that result from the acquisition, construction, development and/or normal operation of a long-lived asset, except for certain obligations of lessees. This statement requires that the fair value of a liability for an asset retirement obligation be recognized in the year in which it is incurred if a reasonable estimate of the fair value can be made. The associated asset retirement costs are capitalized as part of the carrying amount of the long-lived asset. We do not anticipate that this new standard will have a significant impact on our financial position or results of operations.</w:t>
      </w:r>
    </w:p>
    <w:p>
      <w:pPr>
        <w:spacing w:after="0" w:line="332"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SFAS No. 145, "Rescission of FASB Statements No. 4, 44, and 64, Amendment of FASB Statement No. 13, and Technical Corrections" ("SFAS No. 145"): In April 2002, the FASB issued SFAS No. 145, which requires that gains and losses from extinguishment of debt in all years presented be classified as extraordinary items only if they meet the criteria of APB Opinion 30, "Reporting the Results of Operations--Discontinued Events and Extraordinary Items."</w:t>
      </w:r>
    </w:p>
    <w:p>
      <w:pPr>
        <w:spacing w:after="0" w:line="166"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The amendment of SFAS No. 13, "Accounting for Leases," eliminates an inconsistency between the required accounting for sale-leaseback transactions and the required accounting for certain lease modifications that have economic effects that are similar to sale-leaseback transactions. The new standard will be effective for financial statements issued for fiscal years beginning after May 15, 2002 and lease transactions occurring after May 15, 2002, with early application encouraged. We plan to adopt this new standard in 2003. We do not anticipate that this new standard will have a significant impact on our financial position or results of operations.</w:t>
      </w:r>
    </w:p>
    <w:p>
      <w:pPr>
        <w:spacing w:after="0" w:line="16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SFAS No. 146, "Accounting for Costs Associated with Exit or Disposal Activities"("SFAS No. 146"): In June 2002 the FASB issued SFAS No. 146, which nullifies Emerging Issues Task Force ("EITF") Issue No. 94-3, "Liability Recognition for Certain Employee Termination Benefits and Other Costs to Exit an Activity (including Certain Costs Incurred in a Restructuring)." The principal difference between SFAS No. 146 and EITF 94-3 relates to its requirement that a liability for a cost associated with an exit or disposal activity be recognized and measured initially at fair value when the liability is incurred, as opposed to recognition under EITF 94-3 at the date of an entity's commitment to an exit plan. The provisions of SFAS No.146 will be effective for exit or disposal activities that are initiated after December 31, 2002, with early application encouraged. Previously issued financial statements may not be restated, and the provisions of EITF 94-3 shall continue to apply for an exit activity initiated under an exit plan prior to the initial application of SFAS No. 146. We plan to adopt this new standard in 2003. We do not anticipate that this new standard will have a significant impact on our financial position or results of operations.</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74</w:t>
      </w:r>
    </w:p>
    <w:p>
      <w:pPr>
        <w:sectPr>
          <w:pgSz w:w="11900" w:h="16838" w:orient="portrait"/>
          <w:cols w:equalWidth="0" w:num="1">
            <w:col w:w="10239"/>
          </w:cols>
          <w:pgMar w:left="220" w:top="623" w:right="1440" w:bottom="853" w:gutter="0" w:footer="0" w:header="0"/>
        </w:sectPr>
      </w:pPr>
    </w:p>
    <w:bookmarkStart w:id="81" w:name="page82"/>
    <w:bookmarkEnd w:id="81"/>
    <w:p>
      <w:pPr>
        <w:ind w:right="3239" w:firstLine="437"/>
        <w:spacing w:after="0" w:line="237" w:lineRule="auto"/>
        <w:rPr>
          <w:sz w:val="20"/>
          <w:szCs w:val="20"/>
          <w:color w:val="auto"/>
        </w:rPr>
      </w:pPr>
      <w:r>
        <w:rPr>
          <w:rFonts w:ascii="Courier New" w:cs="Courier New" w:eastAsia="Courier New" w:hAnsi="Courier New"/>
          <w:sz w:val="15"/>
          <w:szCs w:val="15"/>
          <w:color w:val="auto"/>
        </w:rPr>
        <w:t>FASB Interpretation No. 45, "Guarantor's Accounting and Disclosure Requirements for Guarantees, Including Indirect Guarantees of Indebtedness of Others" ("FIN 45"): In November 2002, the FASB issued FIN 45, which requires that the guarantor recognize, at the inception of certain guarantees, a liability for the fair value of the obligation undertaken in issuing such guarantee. FIN 45 also requires additional disclosure requirements about the guarantor's obligations under certain guarantees that it has issued. The initial recognition and measurement provisions of this interpretation are applicable on a prospective basis to guarantees issued or modified after December 31, 2002, and the disclosure requirements are effective for financial statement periods ending after December 15, 2002. We do not expect the adoption of FIN 45 will have a material impact on our financial position, results of operations or cash flows.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EITF Issue 02-16, "Accounting by a Customer (Including a Reseller) for Certain Consideration Received from a Vendor" ("EITF 02-16"): In January 2003, the EITF concluded in EITF 02-16, whose provisions are required for financial statements for fiscal years beginning after December 15, 2002, with pro forma retroactive disclosure encouraged. EITF 02-16 addresses the accounting for cash consideration received from a vendor by a reseller of a vendor's products. The EITF reached a consensus that cash consideration represents a reimbursement of costs incurred by the customer to sell the vendor's products and should be characterized as a reduction of that cost when recognized in the customer's income statement if the cash consideration represents a reimbursement of a specific, incremental, identifiable cost incurred by the customer in selling the vendor's products or services. Accordingly, the payments received by Coca-Cola FEMSA from The Coca-Cola Company for cooperative advertising, discussed in Note 4(j) to our consolidated financial statements, are properly classified as a reduction of selling expenses. As a result, this new bulletin will have no impact on our financial statements.</w:t>
      </w:r>
    </w:p>
    <w:p>
      <w:pPr>
        <w:spacing w:after="0" w:line="332"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SFAS No. 149, "Amendment of Statement 133 on Derivative Instruments and Hedging Activities" ("SFAS No. 149"): In April 2003, the FASB issued SFAS No. 149, which amends and clarifies financial accounting and reporting for derivative instruments, including certain derivative instruments embedded in other contracts and for hedging activities under SFAS No. 133. The changes in this statement improve financial reporting by requiring that contracts with comparable characteristics to be accounted for similarly. The new standard will be effective for contracts entered into or modified after June 30, 2003, except as stated below, and for hedging relationships designated after June 30, 2003. In addition, except as stated below, all provisions of this statement should be applied prospectively.</w:t>
      </w:r>
    </w:p>
    <w:p>
      <w:pPr>
        <w:spacing w:after="0" w:line="180"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The provisions of this statement that relate to SFAS No. 133, implementation issues that have been effective for fiscal quarters that began prior to June 15, 2003, should continue to be applied in accordance with their respective effective dates. We do not anticipate that this new standard will have a significant impact on our financial position or result of operations.</w:t>
      </w:r>
    </w:p>
    <w:p>
      <w:pPr>
        <w:spacing w:after="0" w:line="16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SFAS No. 150, "Accounting for Certain Financial Instruments with Characteristics of both Liabilities and Equity" ("SFAS No. 150"): In May 2003, the FASB issued SFAS No. 150, which aims to eliminate diversity in practice by requiring that the following three types of financial instruments be reported as liabilities by their issuers:</w:t>
      </w:r>
    </w:p>
    <w:p>
      <w:pPr>
        <w:spacing w:after="0" w:line="174" w:lineRule="exact"/>
        <w:rPr>
          <w:sz w:val="20"/>
          <w:szCs w:val="20"/>
          <w:color w:val="auto"/>
        </w:rPr>
      </w:pPr>
    </w:p>
    <w:p>
      <w:pPr>
        <w:ind w:left="440" w:right="3059" w:hanging="430"/>
        <w:spacing w:after="0" w:line="235" w:lineRule="auto"/>
        <w:tabs>
          <w:tab w:leader="none" w:pos="178"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-mandatorily redeemable instruments (i.e., instruments issued in the form of shares that unconditionally obligate the issuer to redeem the shares for cash or by transferring other assets);</w:t>
      </w:r>
    </w:p>
    <w:p>
      <w:pPr>
        <w:spacing w:after="0" w:line="173" w:lineRule="exact"/>
        <w:rPr>
          <w:rFonts w:ascii="Courier New" w:cs="Courier New" w:eastAsia="Courier New" w:hAnsi="Courier New"/>
          <w:sz w:val="15"/>
          <w:szCs w:val="15"/>
          <w:color w:val="auto"/>
        </w:rPr>
      </w:pPr>
    </w:p>
    <w:p>
      <w:pPr>
        <w:ind w:left="440" w:right="3319" w:hanging="430"/>
        <w:spacing w:after="0" w:line="235" w:lineRule="auto"/>
        <w:tabs>
          <w:tab w:leader="none" w:pos="178"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-forward purchase contracts, written put options, and other financial instruments not in the form of shares that either obligate or may obligate the issuer to settle its obligation for cash or by transferring other assets; and</w:t>
      </w:r>
    </w:p>
    <w:p>
      <w:pPr>
        <w:spacing w:after="0" w:line="175" w:lineRule="exact"/>
        <w:rPr>
          <w:rFonts w:ascii="Courier New" w:cs="Courier New" w:eastAsia="Courier New" w:hAnsi="Courier New"/>
          <w:sz w:val="15"/>
          <w:szCs w:val="15"/>
          <w:color w:val="auto"/>
        </w:rPr>
      </w:pPr>
    </w:p>
    <w:p>
      <w:pPr>
        <w:ind w:left="440" w:right="3239" w:hanging="430"/>
        <w:spacing w:after="0" w:line="255" w:lineRule="auto"/>
        <w:tabs>
          <w:tab w:leader="none" w:pos="178"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certain financial instruments that include an obligation that (1) the issuer may or must settle by issuing a variable number of its equity shares and (2) has a "monetary value" at inception that (a) is fixed, (b) is tied to a market index or other benchmark (something other than the fair value of the issuer's equity shares), or (c) varies inversely with the fair value of the equity shares, for example, a written put option.</w:t>
      </w:r>
    </w:p>
    <w:p>
      <w:pPr>
        <w:spacing w:after="0" w:line="166" w:lineRule="exact"/>
        <w:rPr>
          <w:sz w:val="20"/>
          <w:szCs w:val="20"/>
          <w:color w:val="auto"/>
        </w:rPr>
      </w:pPr>
    </w:p>
    <w:p>
      <w:pPr>
        <w:jc w:val="both"/>
        <w:ind w:right="3319" w:firstLine="437"/>
        <w:spacing w:after="0" w:line="255" w:lineRule="auto"/>
        <w:rPr>
          <w:sz w:val="20"/>
          <w:szCs w:val="20"/>
          <w:color w:val="auto"/>
        </w:rPr>
      </w:pPr>
      <w:r>
        <w:rPr>
          <w:rFonts w:ascii="Courier New" w:cs="Courier New" w:eastAsia="Courier New" w:hAnsi="Courier New"/>
          <w:sz w:val="14"/>
          <w:szCs w:val="14"/>
          <w:color w:val="auto"/>
        </w:rPr>
        <w:t>To date these types of instruments have been variously reported by their issuers as liabilities, as part of equity, or between the liability and equity sections (sometimes referred to as "mezzanine" reporting) of the balance sheet. The provisions of SFAS No. 150 are effective for financial instruments entered into or modified after May 31, 2003, and pre-existing instruments effective at the beginning of the first interim period beginning after June 15, 2003. We do not expect that the adoption of SFAS No. 150 will have a material impact on our financial position, results of operations or cash flows.</w:t>
      </w:r>
    </w:p>
    <w:p>
      <w:pPr>
        <w:spacing w:after="0" w:line="200" w:lineRule="exact"/>
        <w:rPr>
          <w:sz w:val="20"/>
          <w:szCs w:val="20"/>
          <w:color w:val="auto"/>
        </w:rPr>
      </w:pPr>
    </w:p>
    <w:p>
      <w:pPr>
        <w:spacing w:after="0" w:line="29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75</w:t>
      </w:r>
    </w:p>
    <w:p>
      <w:pPr>
        <w:sectPr>
          <w:pgSz w:w="11900" w:h="16838" w:orient="portrait"/>
          <w:cols w:equalWidth="0" w:num="1">
            <w:col w:w="10239"/>
          </w:cols>
          <w:pgMar w:left="220" w:top="624" w:right="1440" w:bottom="1440" w:gutter="0" w:footer="0" w:header="0"/>
        </w:sectPr>
      </w:pPr>
    </w:p>
    <w:bookmarkStart w:id="82" w:name="page83"/>
    <w:bookmarkEnd w:id="82"/>
    <w:p>
      <w:pPr>
        <w:ind w:left="2800"/>
        <w:spacing w:after="0"/>
        <w:rPr>
          <w:sz w:val="20"/>
          <w:szCs w:val="20"/>
          <w:color w:val="auto"/>
        </w:rPr>
      </w:pPr>
      <w:r>
        <w:rPr>
          <w:rFonts w:ascii="Courier New" w:cs="Courier New" w:eastAsia="Courier New" w:hAnsi="Courier New"/>
          <w:sz w:val="15"/>
          <w:szCs w:val="15"/>
          <w:color w:val="auto"/>
        </w:rPr>
        <w:t>Operating Results</w:t>
      </w:r>
    </w:p>
    <w:p>
      <w:pPr>
        <w:spacing w:after="0" w:line="173" w:lineRule="exact"/>
        <w:rPr>
          <w:sz w:val="20"/>
          <w:szCs w:val="20"/>
          <w:color w:val="auto"/>
        </w:rPr>
      </w:pPr>
    </w:p>
    <w:p>
      <w:pPr>
        <w:ind w:right="3940" w:firstLine="787"/>
        <w:spacing w:after="0" w:line="234" w:lineRule="auto"/>
        <w:rPr>
          <w:sz w:val="20"/>
          <w:szCs w:val="20"/>
          <w:color w:val="auto"/>
        </w:rPr>
      </w:pPr>
      <w:r>
        <w:rPr>
          <w:rFonts w:ascii="Courier New" w:cs="Courier New" w:eastAsia="Courier New" w:hAnsi="Courier New"/>
          <w:sz w:val="15"/>
          <w:szCs w:val="15"/>
          <w:color w:val="auto"/>
        </w:rPr>
        <w:t>The following table sets forth our consolidated income statement for the years ended December 31, 2002, 2001 and 2000:</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760" w:type="dxa"/>
            <w:vAlign w:val="bottom"/>
            <w:gridSpan w:val="4"/>
          </w:tcPr>
          <w:p>
            <w:pPr>
              <w:jc w:val="right"/>
              <w:ind w:right="287"/>
              <w:spacing w:after="0"/>
              <w:rPr>
                <w:sz w:val="20"/>
                <w:szCs w:val="20"/>
                <w:color w:val="auto"/>
              </w:rPr>
            </w:pPr>
            <w:r>
              <w:rPr>
                <w:rFonts w:ascii="Courier New" w:cs="Courier New" w:eastAsia="Courier New" w:hAnsi="Courier New"/>
                <w:sz w:val="15"/>
                <w:szCs w:val="15"/>
                <w:color w:val="auto"/>
              </w:rPr>
              <w:t>Year Ended December 31,</w:t>
            </w: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10680" w:type="dxa"/>
            <w:vAlign w:val="bottom"/>
            <w:gridSpan w:val="8"/>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In Millions of U.S. Dollars and Millions of Constant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2002(1)</w:t>
            </w:r>
          </w:p>
        </w:tc>
        <w:tc>
          <w:tcPr>
            <w:tcW w:w="560" w:type="dxa"/>
            <w:vAlign w:val="bottom"/>
          </w:tcPr>
          <w:p>
            <w:pPr>
              <w:spacing w:after="0"/>
              <w:rPr>
                <w:sz w:val="14"/>
                <w:szCs w:val="14"/>
                <w:color w:val="auto"/>
              </w:rPr>
            </w:pPr>
          </w:p>
        </w:tc>
        <w:tc>
          <w:tcPr>
            <w:tcW w:w="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4"/>
              </w:rPr>
              <w:t>2002</w:t>
            </w:r>
          </w:p>
        </w:tc>
        <w:tc>
          <w:tcPr>
            <w:tcW w:w="48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2001</w:t>
            </w:r>
          </w:p>
        </w:tc>
        <w:tc>
          <w:tcPr>
            <w:tcW w:w="52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544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440" w:type="dxa"/>
            <w:vAlign w:val="bottom"/>
          </w:tcPr>
          <w:p>
            <w:pPr>
              <w:spacing w:after="0"/>
              <w:rPr>
                <w:sz w:val="20"/>
                <w:szCs w:val="20"/>
                <w:color w:val="auto"/>
              </w:rPr>
            </w:pPr>
            <w:r>
              <w:rPr>
                <w:rFonts w:ascii="Courier New" w:cs="Courier New" w:eastAsia="Courier New" w:hAnsi="Courier New"/>
                <w:sz w:val="15"/>
                <w:szCs w:val="15"/>
                <w:color w:val="auto"/>
              </w:rPr>
              <w:t>Pesos as of December 31, 2002</w:t>
            </w: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6"/>
        </w:trPr>
        <w:tc>
          <w:tcPr>
            <w:tcW w:w="544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00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1"/>
              </w:rPr>
              <w:t>$ 5,043</w:t>
            </w:r>
          </w:p>
        </w:tc>
        <w:tc>
          <w:tcPr>
            <w:tcW w:w="560" w:type="dxa"/>
            <w:vAlign w:val="bottom"/>
          </w:tcPr>
          <w:p>
            <w:pPr>
              <w:ind w:left="220"/>
              <w:spacing w:after="0"/>
              <w:rPr>
                <w:sz w:val="20"/>
                <w:szCs w:val="20"/>
                <w:color w:val="auto"/>
              </w:rPr>
            </w:pPr>
            <w:r>
              <w:rPr>
                <w:rFonts w:ascii="Courier New" w:cs="Courier New" w:eastAsia="Courier New" w:hAnsi="Courier New"/>
                <w:sz w:val="15"/>
                <w:szCs w:val="15"/>
                <w:color w:val="auto"/>
              </w:rPr>
              <w:t>Ps.</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52,746</w:t>
            </w:r>
          </w:p>
        </w:tc>
        <w:tc>
          <w:tcPr>
            <w:tcW w:w="13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Ps. 49,952</w:t>
            </w:r>
          </w:p>
        </w:tc>
        <w:tc>
          <w:tcPr>
            <w:tcW w:w="14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Ps. 47,805</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operating revenues....................................</w:t>
            </w: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w:t>
            </w:r>
          </w:p>
        </w:tc>
        <w:tc>
          <w:tcPr>
            <w:tcW w:w="5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195</w:t>
            </w:r>
          </w:p>
        </w:tc>
        <w:tc>
          <w:tcPr>
            <w:tcW w:w="4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145</w:t>
            </w:r>
          </w:p>
        </w:tc>
        <w:tc>
          <w:tcPr>
            <w:tcW w:w="52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64</w:t>
            </w:r>
          </w:p>
        </w:tc>
      </w:tr>
      <w:tr>
        <w:trPr>
          <w:trHeight w:val="168"/>
        </w:trPr>
        <w:tc>
          <w:tcPr>
            <w:tcW w:w="544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 revenues.........................................</w:t>
            </w: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5,062</w:t>
            </w:r>
          </w:p>
        </w:tc>
        <w:tc>
          <w:tcPr>
            <w:tcW w:w="5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52,941</w:t>
            </w:r>
          </w:p>
        </w:tc>
        <w:tc>
          <w:tcPr>
            <w:tcW w:w="4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50,097</w:t>
            </w:r>
          </w:p>
        </w:tc>
        <w:tc>
          <w:tcPr>
            <w:tcW w:w="52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47,869</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sales...............................................</w:t>
            </w: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2,521</w:t>
            </w:r>
          </w:p>
        </w:tc>
        <w:tc>
          <w:tcPr>
            <w:tcW w:w="5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26,364</w:t>
            </w:r>
          </w:p>
        </w:tc>
        <w:tc>
          <w:tcPr>
            <w:tcW w:w="4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24,871</w:t>
            </w:r>
          </w:p>
        </w:tc>
        <w:tc>
          <w:tcPr>
            <w:tcW w:w="52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23,729</w:t>
            </w:r>
          </w:p>
        </w:tc>
      </w:tr>
      <w:tr>
        <w:trPr>
          <w:trHeight w:val="168"/>
        </w:trPr>
        <w:tc>
          <w:tcPr>
            <w:tcW w:w="544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Gross profit...........................................</w:t>
            </w: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2,541</w:t>
            </w:r>
          </w:p>
        </w:tc>
        <w:tc>
          <w:tcPr>
            <w:tcW w:w="5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26,577</w:t>
            </w:r>
          </w:p>
        </w:tc>
        <w:tc>
          <w:tcPr>
            <w:tcW w:w="4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25,226</w:t>
            </w:r>
          </w:p>
        </w:tc>
        <w:tc>
          <w:tcPr>
            <w:tcW w:w="52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24,140</w:t>
            </w:r>
          </w:p>
        </w:tc>
      </w:tr>
      <w:tr>
        <w:trPr>
          <w:trHeight w:val="168"/>
        </w:trPr>
        <w:tc>
          <w:tcPr>
            <w:tcW w:w="544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expenses:</w:t>
            </w: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4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Administrative.........................................</w:t>
            </w: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446</w:t>
            </w:r>
          </w:p>
        </w:tc>
        <w:tc>
          <w:tcPr>
            <w:tcW w:w="5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4,659</w:t>
            </w:r>
          </w:p>
        </w:tc>
        <w:tc>
          <w:tcPr>
            <w:tcW w:w="4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4,608</w:t>
            </w:r>
          </w:p>
        </w:tc>
        <w:tc>
          <w:tcPr>
            <w:tcW w:w="52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4,424</w:t>
            </w:r>
          </w:p>
        </w:tc>
      </w:tr>
      <w:tr>
        <w:trPr>
          <w:trHeight w:val="168"/>
        </w:trPr>
        <w:tc>
          <w:tcPr>
            <w:tcW w:w="54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Sales..................................................</w:t>
            </w: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1,196</w:t>
            </w:r>
          </w:p>
        </w:tc>
        <w:tc>
          <w:tcPr>
            <w:tcW w:w="5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12,511</w:t>
            </w:r>
          </w:p>
        </w:tc>
        <w:tc>
          <w:tcPr>
            <w:tcW w:w="4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12,118</w:t>
            </w:r>
          </w:p>
        </w:tc>
        <w:tc>
          <w:tcPr>
            <w:tcW w:w="52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12,090</w:t>
            </w:r>
          </w:p>
        </w:tc>
      </w:tr>
      <w:tr>
        <w:trPr>
          <w:trHeight w:val="168"/>
        </w:trPr>
        <w:tc>
          <w:tcPr>
            <w:tcW w:w="544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Total operating expenses..........................</w:t>
            </w: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1,642</w:t>
            </w:r>
          </w:p>
        </w:tc>
        <w:tc>
          <w:tcPr>
            <w:tcW w:w="5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17,170</w:t>
            </w:r>
          </w:p>
        </w:tc>
        <w:tc>
          <w:tcPr>
            <w:tcW w:w="4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16,726</w:t>
            </w:r>
          </w:p>
        </w:tc>
        <w:tc>
          <w:tcPr>
            <w:tcW w:w="52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16,514</w:t>
            </w:r>
          </w:p>
        </w:tc>
      </w:tr>
      <w:tr>
        <w:trPr>
          <w:trHeight w:val="168"/>
        </w:trPr>
        <w:tc>
          <w:tcPr>
            <w:tcW w:w="544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from operations......................................</w:t>
            </w: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899</w:t>
            </w:r>
          </w:p>
        </w:tc>
        <w:tc>
          <w:tcPr>
            <w:tcW w:w="5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9,407</w:t>
            </w:r>
          </w:p>
        </w:tc>
        <w:tc>
          <w:tcPr>
            <w:tcW w:w="4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8,500</w:t>
            </w:r>
          </w:p>
        </w:tc>
        <w:tc>
          <w:tcPr>
            <w:tcW w:w="52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7,626</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Participation in affiliated companies.......................</w:t>
            </w: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w:t>
            </w:r>
          </w:p>
        </w:tc>
        <w:tc>
          <w:tcPr>
            <w:tcW w:w="5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84</w:t>
            </w:r>
          </w:p>
        </w:tc>
        <w:tc>
          <w:tcPr>
            <w:tcW w:w="4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w:t>
            </w:r>
          </w:p>
        </w:tc>
        <w:tc>
          <w:tcPr>
            <w:tcW w:w="52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37</w:t>
            </w:r>
          </w:p>
        </w:tc>
      </w:tr>
      <w:tr>
        <w:trPr>
          <w:trHeight w:val="168"/>
        </w:trPr>
        <w:tc>
          <w:tcPr>
            <w:tcW w:w="544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907</w:t>
            </w:r>
          </w:p>
        </w:tc>
        <w:tc>
          <w:tcPr>
            <w:tcW w:w="5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9,491</w:t>
            </w:r>
          </w:p>
        </w:tc>
        <w:tc>
          <w:tcPr>
            <w:tcW w:w="4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8,533</w:t>
            </w:r>
          </w:p>
        </w:tc>
        <w:tc>
          <w:tcPr>
            <w:tcW w:w="52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7,663</w:t>
            </w:r>
          </w:p>
        </w:tc>
      </w:tr>
      <w:tr>
        <w:trPr>
          <w:trHeight w:val="168"/>
        </w:trPr>
        <w:tc>
          <w:tcPr>
            <w:tcW w:w="644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Interest expense......................................</w:t>
            </w: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(87)</w:t>
            </w:r>
          </w:p>
        </w:tc>
        <w:tc>
          <w:tcPr>
            <w:tcW w:w="5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(906)</w:t>
            </w:r>
          </w:p>
        </w:tc>
        <w:tc>
          <w:tcPr>
            <w:tcW w:w="4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(948)</w:t>
            </w:r>
          </w:p>
        </w:tc>
        <w:tc>
          <w:tcPr>
            <w:tcW w:w="52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(1,160)</w:t>
            </w:r>
          </w:p>
        </w:tc>
      </w:tr>
      <w:tr>
        <w:trPr>
          <w:trHeight w:val="168"/>
        </w:trPr>
        <w:tc>
          <w:tcPr>
            <w:tcW w:w="54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Interest income.......................................</w:t>
            </w: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43</w:t>
            </w:r>
          </w:p>
        </w:tc>
        <w:tc>
          <w:tcPr>
            <w:tcW w:w="56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446</w:t>
            </w:r>
          </w:p>
        </w:tc>
        <w:tc>
          <w:tcPr>
            <w:tcW w:w="48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476</w:t>
            </w:r>
          </w:p>
        </w:tc>
        <w:tc>
          <w:tcPr>
            <w:tcW w:w="52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441</w:t>
            </w:r>
          </w:p>
        </w:tc>
      </w:tr>
      <w:tr>
        <w:trPr>
          <w:trHeight w:val="168"/>
        </w:trPr>
        <w:tc>
          <w:tcPr>
            <w:tcW w:w="544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9"/>
              </w:rPr>
              <w:t>------------</w:t>
            </w:r>
          </w:p>
        </w:tc>
        <w:tc>
          <w:tcPr>
            <w:tcW w:w="13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(44)</w:t>
            </w:r>
          </w:p>
        </w:tc>
        <w:tc>
          <w:tcPr>
            <w:tcW w:w="5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(460)</w:t>
            </w:r>
          </w:p>
        </w:tc>
        <w:tc>
          <w:tcPr>
            <w:tcW w:w="4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(472)</w:t>
            </w:r>
          </w:p>
        </w:tc>
        <w:tc>
          <w:tcPr>
            <w:tcW w:w="52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(719)</w:t>
            </w:r>
          </w:p>
        </w:tc>
      </w:tr>
      <w:tr>
        <w:trPr>
          <w:trHeight w:val="168"/>
        </w:trPr>
        <w:tc>
          <w:tcPr>
            <w:tcW w:w="54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Foreign exchange gain (loss)..........................</w:t>
            </w: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(31)</w:t>
            </w:r>
          </w:p>
        </w:tc>
        <w:tc>
          <w:tcPr>
            <w:tcW w:w="56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(325)</w:t>
            </w:r>
          </w:p>
        </w:tc>
        <w:tc>
          <w:tcPr>
            <w:tcW w:w="48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230</w:t>
            </w:r>
          </w:p>
        </w:tc>
        <w:tc>
          <w:tcPr>
            <w:tcW w:w="52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(1,121)</w:t>
            </w:r>
          </w:p>
        </w:tc>
      </w:tr>
      <w:tr>
        <w:trPr>
          <w:trHeight w:val="168"/>
        </w:trPr>
        <w:tc>
          <w:tcPr>
            <w:tcW w:w="54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Gain (loss) on monetary position......................</w:t>
            </w: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37</w:t>
            </w:r>
          </w:p>
        </w:tc>
        <w:tc>
          <w:tcPr>
            <w:tcW w:w="56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389</w:t>
            </w:r>
          </w:p>
        </w:tc>
        <w:tc>
          <w:tcPr>
            <w:tcW w:w="4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w:t>
            </w:r>
          </w:p>
        </w:tc>
        <w:tc>
          <w:tcPr>
            <w:tcW w:w="52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269</w:t>
            </w:r>
          </w:p>
        </w:tc>
      </w:tr>
      <w:tr>
        <w:trPr>
          <w:trHeight w:val="168"/>
        </w:trPr>
        <w:tc>
          <w:tcPr>
            <w:tcW w:w="544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(38)</w:t>
            </w:r>
          </w:p>
        </w:tc>
        <w:tc>
          <w:tcPr>
            <w:tcW w:w="5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(396)</w:t>
            </w:r>
          </w:p>
        </w:tc>
        <w:tc>
          <w:tcPr>
            <w:tcW w:w="4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(282)</w:t>
            </w:r>
          </w:p>
        </w:tc>
        <w:tc>
          <w:tcPr>
            <w:tcW w:w="52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(1,571)</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(expenses), net...............................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(82)</w:t>
            </w:r>
          </w:p>
        </w:tc>
        <w:tc>
          <w:tcPr>
            <w:tcW w:w="5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(858)</w:t>
            </w:r>
          </w:p>
        </w:tc>
        <w:tc>
          <w:tcPr>
            <w:tcW w:w="4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(297)</w:t>
            </w:r>
          </w:p>
        </w:tc>
        <w:tc>
          <w:tcPr>
            <w:tcW w:w="52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243</w:t>
            </w:r>
          </w:p>
        </w:tc>
      </w:tr>
      <w:tr>
        <w:trPr>
          <w:trHeight w:val="168"/>
        </w:trPr>
        <w:tc>
          <w:tcPr>
            <w:tcW w:w="54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for the year before income tax, tax on</w:t>
            </w: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4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assets and employee profit sharing..................</w:t>
            </w: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787</w:t>
            </w:r>
          </w:p>
        </w:tc>
        <w:tc>
          <w:tcPr>
            <w:tcW w:w="56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8,237</w:t>
            </w:r>
          </w:p>
        </w:tc>
        <w:tc>
          <w:tcPr>
            <w:tcW w:w="48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7,954</w:t>
            </w:r>
          </w:p>
        </w:tc>
        <w:tc>
          <w:tcPr>
            <w:tcW w:w="52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6,335</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 tax on assets and employee profit  sharing....</w:t>
            </w: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346</w:t>
            </w:r>
          </w:p>
        </w:tc>
        <w:tc>
          <w:tcPr>
            <w:tcW w:w="56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3,624</w:t>
            </w:r>
          </w:p>
        </w:tc>
        <w:tc>
          <w:tcPr>
            <w:tcW w:w="48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2,945</w:t>
            </w:r>
          </w:p>
        </w:tc>
        <w:tc>
          <w:tcPr>
            <w:tcW w:w="52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2,508</w:t>
            </w:r>
          </w:p>
        </w:tc>
      </w:tr>
      <w:tr>
        <w:trPr>
          <w:trHeight w:val="168"/>
        </w:trPr>
        <w:tc>
          <w:tcPr>
            <w:tcW w:w="5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before change in accounting principle..........</w:t>
            </w: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441</w:t>
            </w:r>
          </w:p>
        </w:tc>
        <w:tc>
          <w:tcPr>
            <w:tcW w:w="56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4,613</w:t>
            </w:r>
          </w:p>
        </w:tc>
        <w:tc>
          <w:tcPr>
            <w:tcW w:w="48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5,009</w:t>
            </w:r>
          </w:p>
        </w:tc>
        <w:tc>
          <w:tcPr>
            <w:tcW w:w="52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3"/>
              </w:rPr>
              <w:t>3,827</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Change in accounting principle............................</w:t>
            </w: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(29)</w:t>
            </w:r>
          </w:p>
        </w:tc>
        <w:tc>
          <w:tcPr>
            <w:tcW w:w="52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Consolidated net income for the year........................</w:t>
            </w: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  441</w:t>
            </w:r>
          </w:p>
        </w:tc>
        <w:tc>
          <w:tcPr>
            <w:tcW w:w="5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Ps.</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4,613</w:t>
            </w:r>
          </w:p>
        </w:tc>
        <w:tc>
          <w:tcPr>
            <w:tcW w:w="4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88"/>
              </w:rPr>
              <w:t>Ps.</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4,980</w:t>
            </w:r>
          </w:p>
        </w:tc>
        <w:tc>
          <w:tcPr>
            <w:tcW w:w="5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88"/>
              </w:rPr>
              <w:t>Ps.</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3,827</w:t>
            </w:r>
          </w:p>
        </w:tc>
      </w:tr>
      <w:tr>
        <w:trPr>
          <w:trHeight w:val="168"/>
        </w:trPr>
        <w:tc>
          <w:tcPr>
            <w:tcW w:w="544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majority income.........................................</w:t>
            </w: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271</w:t>
            </w:r>
          </w:p>
        </w:tc>
        <w:tc>
          <w:tcPr>
            <w:tcW w:w="5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2,837</w:t>
            </w:r>
          </w:p>
        </w:tc>
        <w:tc>
          <w:tcPr>
            <w:tcW w:w="4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3,393</w:t>
            </w:r>
          </w:p>
        </w:tc>
        <w:tc>
          <w:tcPr>
            <w:tcW w:w="52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2,748</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minority income.........................................</w:t>
            </w: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170</w:t>
            </w:r>
          </w:p>
        </w:tc>
        <w:tc>
          <w:tcPr>
            <w:tcW w:w="5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1,776</w:t>
            </w:r>
          </w:p>
        </w:tc>
        <w:tc>
          <w:tcPr>
            <w:tcW w:w="4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1,587</w:t>
            </w:r>
          </w:p>
        </w:tc>
        <w:tc>
          <w:tcPr>
            <w:tcW w:w="52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1,079</w:t>
            </w:r>
          </w:p>
        </w:tc>
      </w:tr>
      <w:tr>
        <w:trPr>
          <w:trHeight w:val="168"/>
        </w:trPr>
        <w:tc>
          <w:tcPr>
            <w:tcW w:w="544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ind w:left="526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441</w:t>
            </w:r>
          </w:p>
        </w:tc>
        <w:tc>
          <w:tcPr>
            <w:tcW w:w="5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Ps.</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4,613</w:t>
            </w:r>
          </w:p>
        </w:tc>
        <w:tc>
          <w:tcPr>
            <w:tcW w:w="4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Ps.</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4,980</w:t>
            </w:r>
          </w:p>
        </w:tc>
        <w:tc>
          <w:tcPr>
            <w:tcW w:w="5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88"/>
              </w:rPr>
              <w:t>Ps.</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3,827</w:t>
            </w:r>
          </w:p>
        </w:tc>
      </w:tr>
      <w:tr>
        <w:trPr>
          <w:trHeight w:val="168"/>
        </w:trPr>
        <w:tc>
          <w:tcPr>
            <w:tcW w:w="644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440" w:right="4020" w:hanging="430"/>
        <w:spacing w:after="0" w:line="234" w:lineRule="auto"/>
        <w:tabs>
          <w:tab w:leader="none" w:pos="44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Translation to U.S. Dollar amounts at an exchange rate of Ps. 10.459 to US$1.00 solely for the convenience of the reader.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76</w:t>
      </w:r>
    </w:p>
    <w:p>
      <w:pPr>
        <w:sectPr>
          <w:pgSz w:w="11900" w:h="16838" w:orient="portrait"/>
          <w:cols w:equalWidth="0" w:num="1">
            <w:col w:w="10680"/>
          </w:cols>
          <w:pgMar w:left="220" w:top="954" w:right="999" w:bottom="1440" w:gutter="0" w:footer="0" w:header="0"/>
        </w:sectPr>
      </w:pPr>
    </w:p>
    <w:bookmarkStart w:id="83" w:name="page84"/>
    <w:bookmarkEnd w:id="83"/>
    <w:p>
      <w:pPr>
        <w:ind w:right="3399" w:firstLine="787"/>
        <w:spacing w:after="0" w:line="235" w:lineRule="auto"/>
        <w:rPr>
          <w:sz w:val="20"/>
          <w:szCs w:val="20"/>
          <w:color w:val="auto"/>
        </w:rPr>
      </w:pPr>
      <w:r>
        <w:rPr>
          <w:rFonts w:ascii="Courier New" w:cs="Courier New" w:eastAsia="Courier New" w:hAnsi="Courier New"/>
          <w:sz w:val="15"/>
          <w:szCs w:val="15"/>
          <w:color w:val="auto"/>
        </w:rPr>
        <w:t>The following table sets forth certain financial information for each of our segments for the years ended December 31, 2002, 2001 and 2000. See Note 23 to our consolidated financial statements for additional information by segment.</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14"/>
                <w:szCs w:val="14"/>
                <w:color w:val="auto"/>
              </w:rPr>
            </w:pPr>
          </w:p>
        </w:tc>
        <w:tc>
          <w:tcPr>
            <w:tcW w:w="5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Year Ended December 31,</w:t>
            </w:r>
          </w:p>
        </w:tc>
        <w:tc>
          <w:tcPr>
            <w:tcW w:w="580" w:type="dxa"/>
            <w:vAlign w:val="bottom"/>
          </w:tcPr>
          <w:p>
            <w:pPr>
              <w:spacing w:after="0"/>
              <w:rPr>
                <w:sz w:val="14"/>
                <w:szCs w:val="14"/>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In Millions of Pesos</w:t>
            </w:r>
          </w:p>
        </w:tc>
        <w:tc>
          <w:tcPr>
            <w:tcW w:w="34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2002</w:t>
            </w:r>
          </w:p>
        </w:tc>
        <w:tc>
          <w:tcPr>
            <w:tcW w:w="156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2001</w:t>
            </w:r>
          </w:p>
        </w:tc>
        <w:tc>
          <w:tcPr>
            <w:tcW w:w="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34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Net Sales</w:t>
            </w:r>
          </w:p>
        </w:tc>
        <w:tc>
          <w:tcPr>
            <w:tcW w:w="34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336"/>
        </w:trPr>
        <w:tc>
          <w:tcPr>
            <w:tcW w:w="3420" w:type="dxa"/>
            <w:vAlign w:val="bottom"/>
          </w:tcPr>
          <w:p>
            <w:pPr>
              <w:ind w:left="980"/>
              <w:spacing w:after="0"/>
              <w:rPr>
                <w:sz w:val="20"/>
                <w:szCs w:val="20"/>
                <w:color w:val="auto"/>
              </w:rPr>
            </w:pPr>
            <w:r>
              <w:rPr>
                <w:rFonts w:ascii="Courier New" w:cs="Courier New" w:eastAsia="Courier New" w:hAnsi="Courier New"/>
                <w:sz w:val="11"/>
                <w:szCs w:val="11"/>
                <w:color w:val="auto"/>
                <w:w w:val="71"/>
              </w:rPr>
              <w:t>FEMSA Cerveza......................................</w:t>
            </w:r>
          </w:p>
        </w:tc>
        <w:tc>
          <w:tcPr>
            <w:tcW w:w="3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20,632</w:t>
            </w:r>
          </w:p>
        </w:tc>
        <w:tc>
          <w:tcPr>
            <w:tcW w:w="1560" w:type="dxa"/>
            <w:vAlign w:val="bottom"/>
          </w:tcPr>
          <w:p>
            <w:pPr>
              <w:jc w:val="right"/>
              <w:ind w:right="567"/>
              <w:spacing w:after="0"/>
              <w:rPr>
                <w:sz w:val="20"/>
                <w:szCs w:val="20"/>
                <w:color w:val="auto"/>
              </w:rPr>
            </w:pPr>
            <w:r>
              <w:rPr>
                <w:rFonts w:ascii="Courier New" w:cs="Courier New" w:eastAsia="Courier New" w:hAnsi="Courier New"/>
                <w:sz w:val="15"/>
                <w:szCs w:val="15"/>
                <w:color w:val="auto"/>
              </w:rPr>
              <w:t>20,551</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19,709</w:t>
            </w:r>
          </w:p>
        </w:tc>
      </w:tr>
      <w:tr>
        <w:trPr>
          <w:trHeight w:val="168"/>
        </w:trPr>
        <w:tc>
          <w:tcPr>
            <w:tcW w:w="3420" w:type="dxa"/>
            <w:vAlign w:val="bottom"/>
          </w:tcPr>
          <w:p>
            <w:pPr>
              <w:ind w:left="980"/>
              <w:spacing w:after="0"/>
              <w:rPr>
                <w:sz w:val="20"/>
                <w:szCs w:val="20"/>
                <w:color w:val="auto"/>
              </w:rPr>
            </w:pPr>
            <w:r>
              <w:rPr>
                <w:rFonts w:ascii="Courier New" w:cs="Courier New" w:eastAsia="Courier New" w:hAnsi="Courier New"/>
                <w:sz w:val="11"/>
                <w:szCs w:val="11"/>
                <w:color w:val="auto"/>
                <w:w w:val="71"/>
              </w:rPr>
              <w:t>Coca-Cola FEMSA....................................</w:t>
            </w:r>
          </w:p>
        </w:tc>
        <w:tc>
          <w:tcPr>
            <w:tcW w:w="34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17,492</w:t>
            </w:r>
          </w:p>
        </w:tc>
        <w:tc>
          <w:tcPr>
            <w:tcW w:w="156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16,612</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15,968</w:t>
            </w:r>
          </w:p>
        </w:tc>
      </w:tr>
      <w:tr>
        <w:trPr>
          <w:trHeight w:val="168"/>
        </w:trPr>
        <w:tc>
          <w:tcPr>
            <w:tcW w:w="3420" w:type="dxa"/>
            <w:vAlign w:val="bottom"/>
          </w:tcPr>
          <w:p>
            <w:pPr>
              <w:ind w:left="980"/>
              <w:spacing w:after="0"/>
              <w:rPr>
                <w:sz w:val="20"/>
                <w:szCs w:val="20"/>
                <w:color w:val="auto"/>
              </w:rPr>
            </w:pPr>
            <w:r>
              <w:rPr>
                <w:rFonts w:ascii="Courier New" w:cs="Courier New" w:eastAsia="Courier New" w:hAnsi="Courier New"/>
                <w:sz w:val="11"/>
                <w:szCs w:val="11"/>
                <w:color w:val="auto"/>
                <w:w w:val="71"/>
              </w:rPr>
              <w:t>FEMSA Comercio (1).................................</w:t>
            </w:r>
          </w:p>
        </w:tc>
        <w:tc>
          <w:tcPr>
            <w:tcW w:w="34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12,740</w:t>
            </w:r>
          </w:p>
        </w:tc>
        <w:tc>
          <w:tcPr>
            <w:tcW w:w="156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10,731</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8,956</w:t>
            </w:r>
          </w:p>
        </w:tc>
      </w:tr>
      <w:tr>
        <w:trPr>
          <w:trHeight w:val="168"/>
        </w:trPr>
        <w:tc>
          <w:tcPr>
            <w:tcW w:w="3420" w:type="dxa"/>
            <w:vAlign w:val="bottom"/>
          </w:tcPr>
          <w:p>
            <w:pPr>
              <w:ind w:left="980"/>
              <w:spacing w:after="0"/>
              <w:rPr>
                <w:sz w:val="20"/>
                <w:szCs w:val="20"/>
                <w:color w:val="auto"/>
              </w:rPr>
            </w:pPr>
            <w:r>
              <w:rPr>
                <w:rFonts w:ascii="Courier New" w:cs="Courier New" w:eastAsia="Courier New" w:hAnsi="Courier New"/>
                <w:sz w:val="11"/>
                <w:szCs w:val="11"/>
                <w:color w:val="auto"/>
                <w:w w:val="71"/>
              </w:rPr>
              <w:t>FEMSA Empaques.....................................</w:t>
            </w:r>
          </w:p>
        </w:tc>
        <w:tc>
          <w:tcPr>
            <w:tcW w:w="34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6,581</w:t>
            </w:r>
          </w:p>
        </w:tc>
        <w:tc>
          <w:tcPr>
            <w:tcW w:w="156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6,569</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6,919</w:t>
            </w:r>
          </w:p>
        </w:tc>
      </w:tr>
      <w:tr>
        <w:trPr>
          <w:trHeight w:val="168"/>
        </w:trPr>
        <w:tc>
          <w:tcPr>
            <w:tcW w:w="3420" w:type="dxa"/>
            <w:vAlign w:val="bottom"/>
          </w:tcPr>
          <w:p>
            <w:pPr>
              <w:ind w:left="980"/>
              <w:spacing w:after="0"/>
              <w:rPr>
                <w:sz w:val="20"/>
                <w:szCs w:val="20"/>
                <w:color w:val="auto"/>
              </w:rPr>
            </w:pPr>
            <w:r>
              <w:rPr>
                <w:rFonts w:ascii="Courier New" w:cs="Courier New" w:eastAsia="Courier New" w:hAnsi="Courier New"/>
                <w:sz w:val="11"/>
                <w:szCs w:val="11"/>
                <w:color w:val="auto"/>
                <w:w w:val="71"/>
              </w:rPr>
              <w:t>Logistica..........................................</w:t>
            </w:r>
          </w:p>
        </w:tc>
        <w:tc>
          <w:tcPr>
            <w:tcW w:w="34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1,455</w:t>
            </w:r>
          </w:p>
        </w:tc>
        <w:tc>
          <w:tcPr>
            <w:tcW w:w="156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1,532</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1,549</w:t>
            </w:r>
          </w:p>
        </w:tc>
      </w:tr>
      <w:tr>
        <w:trPr>
          <w:trHeight w:val="336"/>
        </w:trPr>
        <w:tc>
          <w:tcPr>
            <w:tcW w:w="3420" w:type="dxa"/>
            <w:vAlign w:val="bottom"/>
          </w:tcPr>
          <w:p>
            <w:pPr>
              <w:ind w:left="620"/>
              <w:spacing w:after="0"/>
              <w:rPr>
                <w:sz w:val="20"/>
                <w:szCs w:val="20"/>
                <w:color w:val="auto"/>
              </w:rPr>
            </w:pPr>
            <w:r>
              <w:rPr>
                <w:rFonts w:ascii="Courier New" w:cs="Courier New" w:eastAsia="Courier New" w:hAnsi="Courier New"/>
                <w:sz w:val="15"/>
                <w:szCs w:val="15"/>
                <w:color w:val="auto"/>
              </w:rPr>
              <w:t>Total Revenues</w:t>
            </w:r>
          </w:p>
        </w:tc>
        <w:tc>
          <w:tcPr>
            <w:tcW w:w="34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68"/>
        </w:trPr>
        <w:tc>
          <w:tcPr>
            <w:tcW w:w="3420" w:type="dxa"/>
            <w:vAlign w:val="bottom"/>
          </w:tcPr>
          <w:p>
            <w:pPr>
              <w:ind w:left="980"/>
              <w:spacing w:after="0"/>
              <w:rPr>
                <w:sz w:val="20"/>
                <w:szCs w:val="20"/>
                <w:color w:val="auto"/>
              </w:rPr>
            </w:pPr>
            <w:r>
              <w:rPr>
                <w:rFonts w:ascii="Courier New" w:cs="Courier New" w:eastAsia="Courier New" w:hAnsi="Courier New"/>
                <w:sz w:val="11"/>
                <w:szCs w:val="11"/>
                <w:color w:val="auto"/>
                <w:w w:val="71"/>
              </w:rPr>
              <w:t>FEMSA Cerveza......................................</w:t>
            </w:r>
          </w:p>
        </w:tc>
        <w:tc>
          <w:tcPr>
            <w:tcW w:w="34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20,815</w:t>
            </w:r>
          </w:p>
        </w:tc>
        <w:tc>
          <w:tcPr>
            <w:tcW w:w="156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20,703</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19,841</w:t>
            </w:r>
          </w:p>
        </w:tc>
      </w:tr>
      <w:tr>
        <w:trPr>
          <w:trHeight w:val="168"/>
        </w:trPr>
        <w:tc>
          <w:tcPr>
            <w:tcW w:w="3420" w:type="dxa"/>
            <w:vAlign w:val="bottom"/>
          </w:tcPr>
          <w:p>
            <w:pPr>
              <w:ind w:left="980"/>
              <w:spacing w:after="0"/>
              <w:rPr>
                <w:sz w:val="20"/>
                <w:szCs w:val="20"/>
                <w:color w:val="auto"/>
              </w:rPr>
            </w:pPr>
            <w:r>
              <w:rPr>
                <w:rFonts w:ascii="Courier New" w:cs="Courier New" w:eastAsia="Courier New" w:hAnsi="Courier New"/>
                <w:sz w:val="11"/>
                <w:szCs w:val="11"/>
                <w:color w:val="auto"/>
                <w:w w:val="71"/>
              </w:rPr>
              <w:t>Coca-Cola FEMSA....................................</w:t>
            </w:r>
          </w:p>
        </w:tc>
        <w:tc>
          <w:tcPr>
            <w:tcW w:w="34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17,620</w:t>
            </w:r>
          </w:p>
        </w:tc>
        <w:tc>
          <w:tcPr>
            <w:tcW w:w="156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16,730</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16,035</w:t>
            </w:r>
          </w:p>
        </w:tc>
      </w:tr>
      <w:tr>
        <w:trPr>
          <w:trHeight w:val="168"/>
        </w:trPr>
        <w:tc>
          <w:tcPr>
            <w:tcW w:w="3420" w:type="dxa"/>
            <w:vAlign w:val="bottom"/>
          </w:tcPr>
          <w:p>
            <w:pPr>
              <w:ind w:left="980"/>
              <w:spacing w:after="0"/>
              <w:rPr>
                <w:sz w:val="20"/>
                <w:szCs w:val="20"/>
                <w:color w:val="auto"/>
              </w:rPr>
            </w:pPr>
            <w:r>
              <w:rPr>
                <w:rFonts w:ascii="Courier New" w:cs="Courier New" w:eastAsia="Courier New" w:hAnsi="Courier New"/>
                <w:sz w:val="11"/>
                <w:szCs w:val="11"/>
                <w:color w:val="auto"/>
                <w:w w:val="71"/>
              </w:rPr>
              <w:t>FEMSA Comercio (1).................................</w:t>
            </w:r>
          </w:p>
        </w:tc>
        <w:tc>
          <w:tcPr>
            <w:tcW w:w="34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12,740</w:t>
            </w:r>
          </w:p>
        </w:tc>
        <w:tc>
          <w:tcPr>
            <w:tcW w:w="156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10,732</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8,957</w:t>
            </w:r>
          </w:p>
        </w:tc>
      </w:tr>
      <w:tr>
        <w:trPr>
          <w:trHeight w:val="168"/>
        </w:trPr>
        <w:tc>
          <w:tcPr>
            <w:tcW w:w="3420" w:type="dxa"/>
            <w:vAlign w:val="bottom"/>
          </w:tcPr>
          <w:p>
            <w:pPr>
              <w:ind w:left="980"/>
              <w:spacing w:after="0"/>
              <w:rPr>
                <w:sz w:val="20"/>
                <w:szCs w:val="20"/>
                <w:color w:val="auto"/>
              </w:rPr>
            </w:pPr>
            <w:r>
              <w:rPr>
                <w:rFonts w:ascii="Courier New" w:cs="Courier New" w:eastAsia="Courier New" w:hAnsi="Courier New"/>
                <w:sz w:val="11"/>
                <w:szCs w:val="11"/>
                <w:color w:val="auto"/>
                <w:w w:val="71"/>
              </w:rPr>
              <w:t>FEMSA Empaques.....................................</w:t>
            </w:r>
          </w:p>
        </w:tc>
        <w:tc>
          <w:tcPr>
            <w:tcW w:w="34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6,599</w:t>
            </w:r>
          </w:p>
        </w:tc>
        <w:tc>
          <w:tcPr>
            <w:tcW w:w="156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6,577</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6,929</w:t>
            </w:r>
          </w:p>
        </w:tc>
      </w:tr>
      <w:tr>
        <w:trPr>
          <w:trHeight w:val="168"/>
        </w:trPr>
        <w:tc>
          <w:tcPr>
            <w:tcW w:w="3420" w:type="dxa"/>
            <w:vAlign w:val="bottom"/>
          </w:tcPr>
          <w:p>
            <w:pPr>
              <w:ind w:left="980"/>
              <w:spacing w:after="0"/>
              <w:rPr>
                <w:sz w:val="20"/>
                <w:szCs w:val="20"/>
                <w:color w:val="auto"/>
              </w:rPr>
            </w:pPr>
            <w:r>
              <w:rPr>
                <w:rFonts w:ascii="Courier New" w:cs="Courier New" w:eastAsia="Courier New" w:hAnsi="Courier New"/>
                <w:sz w:val="11"/>
                <w:szCs w:val="11"/>
                <w:color w:val="auto"/>
                <w:w w:val="71"/>
              </w:rPr>
              <w:t>Logistica..........................................</w:t>
            </w:r>
          </w:p>
        </w:tc>
        <w:tc>
          <w:tcPr>
            <w:tcW w:w="34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1,458</w:t>
            </w:r>
          </w:p>
        </w:tc>
        <w:tc>
          <w:tcPr>
            <w:tcW w:w="156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1,540</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1,549</w:t>
            </w:r>
          </w:p>
        </w:tc>
      </w:tr>
      <w:tr>
        <w:trPr>
          <w:trHeight w:val="336"/>
        </w:trPr>
        <w:tc>
          <w:tcPr>
            <w:tcW w:w="3420" w:type="dxa"/>
            <w:vAlign w:val="bottom"/>
          </w:tcPr>
          <w:p>
            <w:pPr>
              <w:ind w:left="620"/>
              <w:spacing w:after="0"/>
              <w:rPr>
                <w:sz w:val="20"/>
                <w:szCs w:val="20"/>
                <w:color w:val="auto"/>
              </w:rPr>
            </w:pPr>
            <w:r>
              <w:rPr>
                <w:rFonts w:ascii="Courier New" w:cs="Courier New" w:eastAsia="Courier New" w:hAnsi="Courier New"/>
                <w:sz w:val="15"/>
                <w:szCs w:val="15"/>
                <w:color w:val="auto"/>
              </w:rPr>
              <w:t>Cost of Sales</w:t>
            </w:r>
          </w:p>
        </w:tc>
        <w:tc>
          <w:tcPr>
            <w:tcW w:w="34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68"/>
        </w:trPr>
        <w:tc>
          <w:tcPr>
            <w:tcW w:w="3420" w:type="dxa"/>
            <w:vAlign w:val="bottom"/>
          </w:tcPr>
          <w:p>
            <w:pPr>
              <w:ind w:left="980"/>
              <w:spacing w:after="0"/>
              <w:rPr>
                <w:sz w:val="20"/>
                <w:szCs w:val="20"/>
                <w:color w:val="auto"/>
              </w:rPr>
            </w:pPr>
            <w:r>
              <w:rPr>
                <w:rFonts w:ascii="Courier New" w:cs="Courier New" w:eastAsia="Courier New" w:hAnsi="Courier New"/>
                <w:sz w:val="11"/>
                <w:szCs w:val="11"/>
                <w:color w:val="auto"/>
                <w:w w:val="71"/>
              </w:rPr>
              <w:t>FEMSA Cerveza......................................</w:t>
            </w:r>
          </w:p>
        </w:tc>
        <w:tc>
          <w:tcPr>
            <w:tcW w:w="34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8,926</w:t>
            </w:r>
          </w:p>
        </w:tc>
        <w:tc>
          <w:tcPr>
            <w:tcW w:w="156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8,927</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8,838</w:t>
            </w:r>
          </w:p>
        </w:tc>
      </w:tr>
      <w:tr>
        <w:trPr>
          <w:trHeight w:val="168"/>
        </w:trPr>
        <w:tc>
          <w:tcPr>
            <w:tcW w:w="3420" w:type="dxa"/>
            <w:vAlign w:val="bottom"/>
          </w:tcPr>
          <w:p>
            <w:pPr>
              <w:ind w:left="980"/>
              <w:spacing w:after="0"/>
              <w:rPr>
                <w:sz w:val="20"/>
                <w:szCs w:val="20"/>
                <w:color w:val="auto"/>
              </w:rPr>
            </w:pPr>
            <w:r>
              <w:rPr>
                <w:rFonts w:ascii="Courier New" w:cs="Courier New" w:eastAsia="Courier New" w:hAnsi="Courier New"/>
                <w:sz w:val="11"/>
                <w:szCs w:val="11"/>
                <w:color w:val="auto"/>
                <w:w w:val="71"/>
              </w:rPr>
              <w:t>Coca-Cola FEMSA....................................</w:t>
            </w:r>
          </w:p>
        </w:tc>
        <w:tc>
          <w:tcPr>
            <w:tcW w:w="34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8,130</w:t>
            </w:r>
          </w:p>
        </w:tc>
        <w:tc>
          <w:tcPr>
            <w:tcW w:w="156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7,738</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7,773</w:t>
            </w:r>
          </w:p>
        </w:tc>
      </w:tr>
      <w:tr>
        <w:trPr>
          <w:trHeight w:val="168"/>
        </w:trPr>
        <w:tc>
          <w:tcPr>
            <w:tcW w:w="3420" w:type="dxa"/>
            <w:vAlign w:val="bottom"/>
          </w:tcPr>
          <w:p>
            <w:pPr>
              <w:ind w:left="980"/>
              <w:spacing w:after="0"/>
              <w:rPr>
                <w:sz w:val="20"/>
                <w:szCs w:val="20"/>
                <w:color w:val="auto"/>
              </w:rPr>
            </w:pPr>
            <w:r>
              <w:rPr>
                <w:rFonts w:ascii="Courier New" w:cs="Courier New" w:eastAsia="Courier New" w:hAnsi="Courier New"/>
                <w:sz w:val="11"/>
                <w:szCs w:val="11"/>
                <w:color w:val="auto"/>
                <w:w w:val="71"/>
              </w:rPr>
              <w:t>FEMSA Comercio (1).................................</w:t>
            </w:r>
          </w:p>
        </w:tc>
        <w:tc>
          <w:tcPr>
            <w:tcW w:w="34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9,367</w:t>
            </w:r>
          </w:p>
        </w:tc>
        <w:tc>
          <w:tcPr>
            <w:tcW w:w="156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7,976</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6,655</w:t>
            </w:r>
          </w:p>
        </w:tc>
      </w:tr>
      <w:tr>
        <w:trPr>
          <w:trHeight w:val="168"/>
        </w:trPr>
        <w:tc>
          <w:tcPr>
            <w:tcW w:w="3420" w:type="dxa"/>
            <w:vAlign w:val="bottom"/>
          </w:tcPr>
          <w:p>
            <w:pPr>
              <w:ind w:left="980"/>
              <w:spacing w:after="0"/>
              <w:rPr>
                <w:sz w:val="20"/>
                <w:szCs w:val="20"/>
                <w:color w:val="auto"/>
              </w:rPr>
            </w:pPr>
            <w:r>
              <w:rPr>
                <w:rFonts w:ascii="Courier New" w:cs="Courier New" w:eastAsia="Courier New" w:hAnsi="Courier New"/>
                <w:sz w:val="11"/>
                <w:szCs w:val="11"/>
                <w:color w:val="auto"/>
                <w:w w:val="71"/>
              </w:rPr>
              <w:t>FEMSA Empaques.....................................</w:t>
            </w:r>
          </w:p>
        </w:tc>
        <w:tc>
          <w:tcPr>
            <w:tcW w:w="34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4,994</w:t>
            </w:r>
          </w:p>
        </w:tc>
        <w:tc>
          <w:tcPr>
            <w:tcW w:w="156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5,057</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5,221</w:t>
            </w:r>
          </w:p>
        </w:tc>
      </w:tr>
      <w:tr>
        <w:trPr>
          <w:trHeight w:val="168"/>
        </w:trPr>
        <w:tc>
          <w:tcPr>
            <w:tcW w:w="3420" w:type="dxa"/>
            <w:vAlign w:val="bottom"/>
          </w:tcPr>
          <w:p>
            <w:pPr>
              <w:ind w:left="980"/>
              <w:spacing w:after="0"/>
              <w:rPr>
                <w:sz w:val="20"/>
                <w:szCs w:val="20"/>
                <w:color w:val="auto"/>
              </w:rPr>
            </w:pPr>
            <w:r>
              <w:rPr>
                <w:rFonts w:ascii="Courier New" w:cs="Courier New" w:eastAsia="Courier New" w:hAnsi="Courier New"/>
                <w:sz w:val="11"/>
                <w:szCs w:val="11"/>
                <w:color w:val="auto"/>
                <w:w w:val="71"/>
              </w:rPr>
              <w:t>Logistica..........................................</w:t>
            </w:r>
          </w:p>
        </w:tc>
        <w:tc>
          <w:tcPr>
            <w:tcW w:w="34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1,249</w:t>
            </w:r>
          </w:p>
        </w:tc>
        <w:tc>
          <w:tcPr>
            <w:tcW w:w="156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1,329</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1,337</w:t>
            </w:r>
          </w:p>
        </w:tc>
      </w:tr>
      <w:tr>
        <w:trPr>
          <w:trHeight w:val="336"/>
        </w:trPr>
        <w:tc>
          <w:tcPr>
            <w:tcW w:w="3420" w:type="dxa"/>
            <w:vAlign w:val="bottom"/>
          </w:tcPr>
          <w:p>
            <w:pPr>
              <w:ind w:left="620"/>
              <w:spacing w:after="0"/>
              <w:rPr>
                <w:sz w:val="20"/>
                <w:szCs w:val="20"/>
                <w:color w:val="auto"/>
              </w:rPr>
            </w:pPr>
            <w:r>
              <w:rPr>
                <w:rFonts w:ascii="Courier New" w:cs="Courier New" w:eastAsia="Courier New" w:hAnsi="Courier New"/>
                <w:sz w:val="15"/>
                <w:szCs w:val="15"/>
                <w:color w:val="auto"/>
              </w:rPr>
              <w:t>Gross Profit</w:t>
            </w:r>
          </w:p>
        </w:tc>
        <w:tc>
          <w:tcPr>
            <w:tcW w:w="34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68"/>
        </w:trPr>
        <w:tc>
          <w:tcPr>
            <w:tcW w:w="3420" w:type="dxa"/>
            <w:vAlign w:val="bottom"/>
          </w:tcPr>
          <w:p>
            <w:pPr>
              <w:ind w:left="980"/>
              <w:spacing w:after="0"/>
              <w:rPr>
                <w:sz w:val="20"/>
                <w:szCs w:val="20"/>
                <w:color w:val="auto"/>
              </w:rPr>
            </w:pPr>
            <w:r>
              <w:rPr>
                <w:rFonts w:ascii="Courier New" w:cs="Courier New" w:eastAsia="Courier New" w:hAnsi="Courier New"/>
                <w:sz w:val="11"/>
                <w:szCs w:val="11"/>
                <w:color w:val="auto"/>
                <w:w w:val="71"/>
              </w:rPr>
              <w:t>FEMSA Cerveza......................................</w:t>
            </w:r>
          </w:p>
        </w:tc>
        <w:tc>
          <w:tcPr>
            <w:tcW w:w="34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11,889</w:t>
            </w:r>
          </w:p>
        </w:tc>
        <w:tc>
          <w:tcPr>
            <w:tcW w:w="156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11,776</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11,003</w:t>
            </w:r>
          </w:p>
        </w:tc>
      </w:tr>
      <w:tr>
        <w:trPr>
          <w:trHeight w:val="168"/>
        </w:trPr>
        <w:tc>
          <w:tcPr>
            <w:tcW w:w="3420" w:type="dxa"/>
            <w:vAlign w:val="bottom"/>
          </w:tcPr>
          <w:p>
            <w:pPr>
              <w:ind w:left="980"/>
              <w:spacing w:after="0"/>
              <w:rPr>
                <w:sz w:val="20"/>
                <w:szCs w:val="20"/>
                <w:color w:val="auto"/>
              </w:rPr>
            </w:pPr>
            <w:r>
              <w:rPr>
                <w:rFonts w:ascii="Courier New" w:cs="Courier New" w:eastAsia="Courier New" w:hAnsi="Courier New"/>
                <w:sz w:val="11"/>
                <w:szCs w:val="11"/>
                <w:color w:val="auto"/>
                <w:w w:val="71"/>
              </w:rPr>
              <w:t>Coca-Cola FEMSA....................................</w:t>
            </w:r>
          </w:p>
        </w:tc>
        <w:tc>
          <w:tcPr>
            <w:tcW w:w="34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9,490</w:t>
            </w:r>
          </w:p>
        </w:tc>
        <w:tc>
          <w:tcPr>
            <w:tcW w:w="156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8,992</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8,262</w:t>
            </w:r>
          </w:p>
        </w:tc>
      </w:tr>
      <w:tr>
        <w:trPr>
          <w:trHeight w:val="168"/>
        </w:trPr>
        <w:tc>
          <w:tcPr>
            <w:tcW w:w="3420" w:type="dxa"/>
            <w:vAlign w:val="bottom"/>
          </w:tcPr>
          <w:p>
            <w:pPr>
              <w:ind w:left="980"/>
              <w:spacing w:after="0"/>
              <w:rPr>
                <w:sz w:val="20"/>
                <w:szCs w:val="20"/>
                <w:color w:val="auto"/>
              </w:rPr>
            </w:pPr>
            <w:r>
              <w:rPr>
                <w:rFonts w:ascii="Courier New" w:cs="Courier New" w:eastAsia="Courier New" w:hAnsi="Courier New"/>
                <w:sz w:val="11"/>
                <w:szCs w:val="11"/>
                <w:color w:val="auto"/>
                <w:w w:val="71"/>
              </w:rPr>
              <w:t>FEMSA Comercio (1).................................</w:t>
            </w:r>
          </w:p>
        </w:tc>
        <w:tc>
          <w:tcPr>
            <w:tcW w:w="34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3,373</w:t>
            </w:r>
          </w:p>
        </w:tc>
        <w:tc>
          <w:tcPr>
            <w:tcW w:w="156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2,756</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2,302</w:t>
            </w:r>
          </w:p>
        </w:tc>
      </w:tr>
      <w:tr>
        <w:trPr>
          <w:trHeight w:val="168"/>
        </w:trPr>
        <w:tc>
          <w:tcPr>
            <w:tcW w:w="3420" w:type="dxa"/>
            <w:vAlign w:val="bottom"/>
          </w:tcPr>
          <w:p>
            <w:pPr>
              <w:ind w:left="980"/>
              <w:spacing w:after="0"/>
              <w:rPr>
                <w:sz w:val="20"/>
                <w:szCs w:val="20"/>
                <w:color w:val="auto"/>
              </w:rPr>
            </w:pPr>
            <w:r>
              <w:rPr>
                <w:rFonts w:ascii="Courier New" w:cs="Courier New" w:eastAsia="Courier New" w:hAnsi="Courier New"/>
                <w:sz w:val="11"/>
                <w:szCs w:val="11"/>
                <w:color w:val="auto"/>
                <w:w w:val="71"/>
              </w:rPr>
              <w:t>FEMSA Empaques.....................................</w:t>
            </w:r>
          </w:p>
        </w:tc>
        <w:tc>
          <w:tcPr>
            <w:tcW w:w="34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1,605</w:t>
            </w:r>
          </w:p>
        </w:tc>
        <w:tc>
          <w:tcPr>
            <w:tcW w:w="156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1,520</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1,708</w:t>
            </w:r>
          </w:p>
        </w:tc>
      </w:tr>
      <w:tr>
        <w:trPr>
          <w:trHeight w:val="168"/>
        </w:trPr>
        <w:tc>
          <w:tcPr>
            <w:tcW w:w="3420" w:type="dxa"/>
            <w:vAlign w:val="bottom"/>
          </w:tcPr>
          <w:p>
            <w:pPr>
              <w:ind w:left="980"/>
              <w:spacing w:after="0"/>
              <w:rPr>
                <w:sz w:val="20"/>
                <w:szCs w:val="20"/>
                <w:color w:val="auto"/>
              </w:rPr>
            </w:pPr>
            <w:r>
              <w:rPr>
                <w:rFonts w:ascii="Courier New" w:cs="Courier New" w:eastAsia="Courier New" w:hAnsi="Courier New"/>
                <w:sz w:val="11"/>
                <w:szCs w:val="11"/>
                <w:color w:val="auto"/>
                <w:w w:val="71"/>
              </w:rPr>
              <w:t>Logistica..........................................</w:t>
            </w:r>
          </w:p>
        </w:tc>
        <w:tc>
          <w:tcPr>
            <w:tcW w:w="34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209</w:t>
            </w:r>
          </w:p>
        </w:tc>
        <w:tc>
          <w:tcPr>
            <w:tcW w:w="156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211</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212</w:t>
            </w:r>
          </w:p>
        </w:tc>
      </w:tr>
      <w:tr>
        <w:trPr>
          <w:trHeight w:val="336"/>
        </w:trPr>
        <w:tc>
          <w:tcPr>
            <w:tcW w:w="3420" w:type="dxa"/>
            <w:vAlign w:val="bottom"/>
          </w:tcPr>
          <w:p>
            <w:pPr>
              <w:ind w:left="620"/>
              <w:spacing w:after="0"/>
              <w:rPr>
                <w:sz w:val="20"/>
                <w:szCs w:val="20"/>
                <w:color w:val="auto"/>
              </w:rPr>
            </w:pPr>
            <w:r>
              <w:rPr>
                <w:rFonts w:ascii="Courier New" w:cs="Courier New" w:eastAsia="Courier New" w:hAnsi="Courier New"/>
                <w:sz w:val="15"/>
                <w:szCs w:val="15"/>
                <w:color w:val="auto"/>
              </w:rPr>
              <w:t>Income from Operations(2)</w:t>
            </w:r>
          </w:p>
        </w:tc>
        <w:tc>
          <w:tcPr>
            <w:tcW w:w="34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68"/>
        </w:trPr>
        <w:tc>
          <w:tcPr>
            <w:tcW w:w="3420" w:type="dxa"/>
            <w:vAlign w:val="bottom"/>
          </w:tcPr>
          <w:p>
            <w:pPr>
              <w:ind w:left="980"/>
              <w:spacing w:after="0"/>
              <w:rPr>
                <w:sz w:val="20"/>
                <w:szCs w:val="20"/>
                <w:color w:val="auto"/>
              </w:rPr>
            </w:pPr>
            <w:r>
              <w:rPr>
                <w:rFonts w:ascii="Courier New" w:cs="Courier New" w:eastAsia="Courier New" w:hAnsi="Courier New"/>
                <w:sz w:val="11"/>
                <w:szCs w:val="11"/>
                <w:color w:val="auto"/>
                <w:w w:val="71"/>
              </w:rPr>
              <w:t>FEMSA Cerveza(3)...................................</w:t>
            </w:r>
          </w:p>
        </w:tc>
        <w:tc>
          <w:tcPr>
            <w:tcW w:w="34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3,546</w:t>
            </w:r>
          </w:p>
        </w:tc>
        <w:tc>
          <w:tcPr>
            <w:tcW w:w="156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3,326</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3,141</w:t>
            </w:r>
          </w:p>
        </w:tc>
      </w:tr>
      <w:tr>
        <w:trPr>
          <w:trHeight w:val="168"/>
        </w:trPr>
        <w:tc>
          <w:tcPr>
            <w:tcW w:w="3420" w:type="dxa"/>
            <w:vAlign w:val="bottom"/>
          </w:tcPr>
          <w:p>
            <w:pPr>
              <w:ind w:left="980"/>
              <w:spacing w:after="0"/>
              <w:rPr>
                <w:sz w:val="20"/>
                <w:szCs w:val="20"/>
                <w:color w:val="auto"/>
              </w:rPr>
            </w:pPr>
            <w:r>
              <w:rPr>
                <w:rFonts w:ascii="Courier New" w:cs="Courier New" w:eastAsia="Courier New" w:hAnsi="Courier New"/>
                <w:sz w:val="11"/>
                <w:szCs w:val="11"/>
                <w:color w:val="auto"/>
                <w:w w:val="71"/>
              </w:rPr>
              <w:t>Coca-Cola FEMSA....................................</w:t>
            </w:r>
          </w:p>
        </w:tc>
        <w:tc>
          <w:tcPr>
            <w:tcW w:w="34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4,440</w:t>
            </w:r>
          </w:p>
        </w:tc>
        <w:tc>
          <w:tcPr>
            <w:tcW w:w="156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3,873</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3,080</w:t>
            </w:r>
          </w:p>
        </w:tc>
      </w:tr>
      <w:tr>
        <w:trPr>
          <w:trHeight w:val="168"/>
        </w:trPr>
        <w:tc>
          <w:tcPr>
            <w:tcW w:w="3420" w:type="dxa"/>
            <w:vAlign w:val="bottom"/>
          </w:tcPr>
          <w:p>
            <w:pPr>
              <w:ind w:left="980"/>
              <w:spacing w:after="0"/>
              <w:rPr>
                <w:sz w:val="20"/>
                <w:szCs w:val="20"/>
                <w:color w:val="auto"/>
              </w:rPr>
            </w:pPr>
            <w:r>
              <w:rPr>
                <w:rFonts w:ascii="Courier New" w:cs="Courier New" w:eastAsia="Courier New" w:hAnsi="Courier New"/>
                <w:sz w:val="11"/>
                <w:szCs w:val="11"/>
                <w:color w:val="auto"/>
                <w:w w:val="71"/>
              </w:rPr>
              <w:t>FEMSA Comercio (1).................................</w:t>
            </w:r>
          </w:p>
        </w:tc>
        <w:tc>
          <w:tcPr>
            <w:tcW w:w="34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487</w:t>
            </w:r>
          </w:p>
        </w:tc>
        <w:tc>
          <w:tcPr>
            <w:tcW w:w="156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297</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304</w:t>
            </w:r>
          </w:p>
        </w:tc>
      </w:tr>
      <w:tr>
        <w:trPr>
          <w:trHeight w:val="168"/>
        </w:trPr>
        <w:tc>
          <w:tcPr>
            <w:tcW w:w="3420" w:type="dxa"/>
            <w:vAlign w:val="bottom"/>
          </w:tcPr>
          <w:p>
            <w:pPr>
              <w:ind w:left="980"/>
              <w:spacing w:after="0"/>
              <w:rPr>
                <w:sz w:val="20"/>
                <w:szCs w:val="20"/>
                <w:color w:val="auto"/>
              </w:rPr>
            </w:pPr>
            <w:r>
              <w:rPr>
                <w:rFonts w:ascii="Courier New" w:cs="Courier New" w:eastAsia="Courier New" w:hAnsi="Courier New"/>
                <w:sz w:val="11"/>
                <w:szCs w:val="11"/>
                <w:color w:val="auto"/>
                <w:w w:val="71"/>
              </w:rPr>
              <w:t>FEMSA Empaques.....................................</w:t>
            </w:r>
          </w:p>
        </w:tc>
        <w:tc>
          <w:tcPr>
            <w:tcW w:w="34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905</w:t>
            </w:r>
          </w:p>
        </w:tc>
        <w:tc>
          <w:tcPr>
            <w:tcW w:w="156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856</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1,009</w:t>
            </w:r>
          </w:p>
        </w:tc>
      </w:tr>
      <w:tr>
        <w:trPr>
          <w:trHeight w:val="168"/>
        </w:trPr>
        <w:tc>
          <w:tcPr>
            <w:tcW w:w="3420" w:type="dxa"/>
            <w:vAlign w:val="bottom"/>
          </w:tcPr>
          <w:p>
            <w:pPr>
              <w:ind w:left="980"/>
              <w:spacing w:after="0"/>
              <w:rPr>
                <w:sz w:val="20"/>
                <w:szCs w:val="20"/>
                <w:color w:val="auto"/>
              </w:rPr>
            </w:pPr>
            <w:r>
              <w:rPr>
                <w:rFonts w:ascii="Courier New" w:cs="Courier New" w:eastAsia="Courier New" w:hAnsi="Courier New"/>
                <w:sz w:val="11"/>
                <w:szCs w:val="11"/>
                <w:color w:val="auto"/>
                <w:w w:val="71"/>
              </w:rPr>
              <w:t>Logistica(4).......................................</w:t>
            </w:r>
          </w:p>
        </w:tc>
        <w:tc>
          <w:tcPr>
            <w:tcW w:w="34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119</w:t>
            </w:r>
          </w:p>
        </w:tc>
        <w:tc>
          <w:tcPr>
            <w:tcW w:w="156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99</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114</w:t>
            </w:r>
          </w:p>
        </w:tc>
      </w:tr>
      <w:tr>
        <w:trPr>
          <w:trHeight w:val="336"/>
        </w:trPr>
        <w:tc>
          <w:tcPr>
            <w:tcW w:w="3420" w:type="dxa"/>
            <w:vAlign w:val="bottom"/>
          </w:tcPr>
          <w:p>
            <w:pPr>
              <w:ind w:left="620"/>
              <w:spacing w:after="0"/>
              <w:rPr>
                <w:sz w:val="20"/>
                <w:szCs w:val="20"/>
                <w:color w:val="auto"/>
              </w:rPr>
            </w:pPr>
            <w:r>
              <w:rPr>
                <w:rFonts w:ascii="Courier New" w:cs="Courier New" w:eastAsia="Courier New" w:hAnsi="Courier New"/>
                <w:sz w:val="15"/>
                <w:szCs w:val="15"/>
                <w:color w:val="auto"/>
              </w:rPr>
              <w:t>Depreciation</w:t>
            </w:r>
          </w:p>
        </w:tc>
        <w:tc>
          <w:tcPr>
            <w:tcW w:w="34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68"/>
        </w:trPr>
        <w:tc>
          <w:tcPr>
            <w:tcW w:w="3420" w:type="dxa"/>
            <w:vAlign w:val="bottom"/>
          </w:tcPr>
          <w:p>
            <w:pPr>
              <w:ind w:left="980"/>
              <w:spacing w:after="0"/>
              <w:rPr>
                <w:sz w:val="20"/>
                <w:szCs w:val="20"/>
                <w:color w:val="auto"/>
              </w:rPr>
            </w:pPr>
            <w:r>
              <w:rPr>
                <w:rFonts w:ascii="Courier New" w:cs="Courier New" w:eastAsia="Courier New" w:hAnsi="Courier New"/>
                <w:sz w:val="11"/>
                <w:szCs w:val="11"/>
                <w:color w:val="auto"/>
                <w:w w:val="71"/>
              </w:rPr>
              <w:t>FEMSA Cerveza......................................</w:t>
            </w:r>
          </w:p>
        </w:tc>
        <w:tc>
          <w:tcPr>
            <w:tcW w:w="34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1,114</w:t>
            </w:r>
          </w:p>
        </w:tc>
        <w:tc>
          <w:tcPr>
            <w:tcW w:w="156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991</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966</w:t>
            </w:r>
          </w:p>
        </w:tc>
      </w:tr>
      <w:tr>
        <w:trPr>
          <w:trHeight w:val="168"/>
        </w:trPr>
        <w:tc>
          <w:tcPr>
            <w:tcW w:w="3420" w:type="dxa"/>
            <w:vAlign w:val="bottom"/>
          </w:tcPr>
          <w:p>
            <w:pPr>
              <w:ind w:left="980"/>
              <w:spacing w:after="0"/>
              <w:rPr>
                <w:sz w:val="20"/>
                <w:szCs w:val="20"/>
                <w:color w:val="auto"/>
              </w:rPr>
            </w:pPr>
            <w:r>
              <w:rPr>
                <w:rFonts w:ascii="Courier New" w:cs="Courier New" w:eastAsia="Courier New" w:hAnsi="Courier New"/>
                <w:sz w:val="11"/>
                <w:szCs w:val="11"/>
                <w:color w:val="auto"/>
                <w:w w:val="71"/>
              </w:rPr>
              <w:t>Coca-Cola FEMSA(5).................................</w:t>
            </w:r>
          </w:p>
        </w:tc>
        <w:tc>
          <w:tcPr>
            <w:tcW w:w="34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713</w:t>
            </w:r>
          </w:p>
        </w:tc>
        <w:tc>
          <w:tcPr>
            <w:tcW w:w="156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793</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930</w:t>
            </w:r>
          </w:p>
        </w:tc>
      </w:tr>
      <w:tr>
        <w:trPr>
          <w:trHeight w:val="168"/>
        </w:trPr>
        <w:tc>
          <w:tcPr>
            <w:tcW w:w="3420" w:type="dxa"/>
            <w:vAlign w:val="bottom"/>
          </w:tcPr>
          <w:p>
            <w:pPr>
              <w:ind w:left="980"/>
              <w:spacing w:after="0"/>
              <w:rPr>
                <w:sz w:val="20"/>
                <w:szCs w:val="20"/>
                <w:color w:val="auto"/>
              </w:rPr>
            </w:pPr>
            <w:r>
              <w:rPr>
                <w:rFonts w:ascii="Courier New" w:cs="Courier New" w:eastAsia="Courier New" w:hAnsi="Courier New"/>
                <w:sz w:val="11"/>
                <w:szCs w:val="11"/>
                <w:color w:val="auto"/>
                <w:w w:val="71"/>
              </w:rPr>
              <w:t>FEMSA Comercio (1).................................</w:t>
            </w:r>
          </w:p>
        </w:tc>
        <w:tc>
          <w:tcPr>
            <w:tcW w:w="34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90</w:t>
            </w:r>
          </w:p>
        </w:tc>
        <w:tc>
          <w:tcPr>
            <w:tcW w:w="156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81</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w:t>
            </w:r>
          </w:p>
        </w:tc>
      </w:tr>
      <w:tr>
        <w:trPr>
          <w:trHeight w:val="168"/>
        </w:trPr>
        <w:tc>
          <w:tcPr>
            <w:tcW w:w="3420" w:type="dxa"/>
            <w:vAlign w:val="bottom"/>
          </w:tcPr>
          <w:p>
            <w:pPr>
              <w:ind w:left="980"/>
              <w:spacing w:after="0"/>
              <w:rPr>
                <w:sz w:val="20"/>
                <w:szCs w:val="20"/>
                <w:color w:val="auto"/>
              </w:rPr>
            </w:pPr>
            <w:r>
              <w:rPr>
                <w:rFonts w:ascii="Courier New" w:cs="Courier New" w:eastAsia="Courier New" w:hAnsi="Courier New"/>
                <w:sz w:val="11"/>
                <w:szCs w:val="11"/>
                <w:color w:val="auto"/>
                <w:w w:val="71"/>
              </w:rPr>
              <w:t>FEMSA Empaques.....................................</w:t>
            </w:r>
          </w:p>
        </w:tc>
        <w:tc>
          <w:tcPr>
            <w:tcW w:w="34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262</w:t>
            </w:r>
          </w:p>
        </w:tc>
        <w:tc>
          <w:tcPr>
            <w:tcW w:w="156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246</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252</w:t>
            </w:r>
          </w:p>
        </w:tc>
      </w:tr>
      <w:tr>
        <w:trPr>
          <w:trHeight w:val="168"/>
        </w:trPr>
        <w:tc>
          <w:tcPr>
            <w:tcW w:w="3420" w:type="dxa"/>
            <w:vAlign w:val="bottom"/>
          </w:tcPr>
          <w:p>
            <w:pPr>
              <w:ind w:left="980"/>
              <w:spacing w:after="0"/>
              <w:rPr>
                <w:sz w:val="20"/>
                <w:szCs w:val="20"/>
                <w:color w:val="auto"/>
              </w:rPr>
            </w:pPr>
            <w:r>
              <w:rPr>
                <w:rFonts w:ascii="Courier New" w:cs="Courier New" w:eastAsia="Courier New" w:hAnsi="Courier New"/>
                <w:sz w:val="11"/>
                <w:szCs w:val="11"/>
                <w:color w:val="auto"/>
                <w:w w:val="71"/>
              </w:rPr>
              <w:t>Logistica..........................................</w:t>
            </w:r>
          </w:p>
        </w:tc>
        <w:tc>
          <w:tcPr>
            <w:tcW w:w="34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33</w:t>
            </w:r>
          </w:p>
        </w:tc>
        <w:tc>
          <w:tcPr>
            <w:tcW w:w="156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36</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w:t>
            </w:r>
          </w:p>
        </w:tc>
      </w:tr>
      <w:tr>
        <w:trPr>
          <w:trHeight w:val="673"/>
        </w:trPr>
        <w:tc>
          <w:tcPr>
            <w:tcW w:w="3420" w:type="dxa"/>
            <w:vAlign w:val="bottom"/>
          </w:tcPr>
          <w:p>
            <w:pPr>
              <w:spacing w:after="0"/>
              <w:rPr>
                <w:sz w:val="24"/>
                <w:szCs w:val="24"/>
                <w:color w:val="auto"/>
              </w:rPr>
            </w:pPr>
          </w:p>
        </w:tc>
        <w:tc>
          <w:tcPr>
            <w:tcW w:w="3460" w:type="dxa"/>
            <w:vAlign w:val="bottom"/>
          </w:tcPr>
          <w:p>
            <w:pPr>
              <w:jc w:val="right"/>
              <w:ind w:right="3207"/>
              <w:spacing w:after="0"/>
              <w:rPr>
                <w:sz w:val="20"/>
                <w:szCs w:val="20"/>
                <w:color w:val="auto"/>
              </w:rPr>
            </w:pPr>
            <w:r>
              <w:rPr>
                <w:rFonts w:ascii="Courier New" w:cs="Courier New" w:eastAsia="Courier New" w:hAnsi="Courier New"/>
                <w:sz w:val="15"/>
                <w:szCs w:val="15"/>
                <w:color w:val="auto"/>
                <w:w w:val="88"/>
              </w:rPr>
              <w:t>77</w:t>
            </w:r>
          </w:p>
        </w:tc>
        <w:tc>
          <w:tcPr>
            <w:tcW w:w="156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ectPr>
          <w:pgSz w:w="11900" w:h="16838" w:orient="portrait"/>
          <w:cols w:equalWidth="0" w:num="1">
            <w:col w:w="10239"/>
          </w:cols>
          <w:pgMar w:left="220" w:top="960" w:right="1440" w:bottom="1440" w:gutter="0" w:footer="0" w:header="0"/>
        </w:sectPr>
      </w:pPr>
    </w:p>
    <w:bookmarkStart w:id="84" w:name="page85"/>
    <w:bookmarkEnd w:id="84"/>
    <w:p>
      <w:pPr>
        <w:spacing w:after="0" w:line="1"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Percentages</w:t>
            </w:r>
          </w:p>
        </w:tc>
        <w:tc>
          <w:tcPr>
            <w:tcW w:w="840" w:type="dxa"/>
            <w:vAlign w:val="bottom"/>
          </w:tcPr>
          <w:p>
            <w:pPr>
              <w:spacing w:after="0"/>
              <w:rPr>
                <w:sz w:val="14"/>
                <w:szCs w:val="14"/>
                <w:color w:val="auto"/>
              </w:rPr>
            </w:pPr>
          </w:p>
        </w:tc>
      </w:tr>
      <w:tr>
        <w:trPr>
          <w:trHeight w:val="336"/>
        </w:trPr>
        <w:tc>
          <w:tcPr>
            <w:tcW w:w="5200" w:type="dxa"/>
            <w:vAlign w:val="bottom"/>
          </w:tcPr>
          <w:p>
            <w:pPr>
              <w:spacing w:after="0"/>
              <w:rPr>
                <w:sz w:val="20"/>
                <w:szCs w:val="20"/>
                <w:color w:val="auto"/>
              </w:rPr>
            </w:pPr>
            <w:r>
              <w:rPr>
                <w:rFonts w:ascii="Courier New" w:cs="Courier New" w:eastAsia="Courier New" w:hAnsi="Courier New"/>
                <w:sz w:val="15"/>
                <w:szCs w:val="15"/>
                <w:color w:val="auto"/>
              </w:rPr>
              <w:t>Gross Margin(6)</w:t>
            </w:r>
          </w:p>
        </w:tc>
        <w:tc>
          <w:tcPr>
            <w:tcW w:w="840" w:type="dxa"/>
            <w:vAlign w:val="bottom"/>
          </w:tcPr>
          <w:p>
            <w:pPr>
              <w:spacing w:after="0"/>
              <w:rPr>
                <w:sz w:val="24"/>
                <w:szCs w:val="24"/>
                <w:color w:val="auto"/>
              </w:rPr>
            </w:pPr>
          </w:p>
        </w:tc>
      </w:tr>
      <w:tr>
        <w:trPr>
          <w:trHeight w:val="168"/>
        </w:trPr>
        <w:tc>
          <w:tcPr>
            <w:tcW w:w="5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FEMSA Cerveza......................................</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57.6%</w:t>
            </w:r>
          </w:p>
        </w:tc>
      </w:tr>
      <w:tr>
        <w:trPr>
          <w:trHeight w:val="168"/>
        </w:trPr>
        <w:tc>
          <w:tcPr>
            <w:tcW w:w="5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Coca-Cola FEMSA....................................</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54.3%</w:t>
            </w:r>
          </w:p>
        </w:tc>
      </w:tr>
      <w:tr>
        <w:trPr>
          <w:trHeight w:val="168"/>
        </w:trPr>
        <w:tc>
          <w:tcPr>
            <w:tcW w:w="5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FEMSA Comercio (1).................................</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26.5%</w:t>
            </w:r>
          </w:p>
        </w:tc>
      </w:tr>
      <w:tr>
        <w:trPr>
          <w:trHeight w:val="168"/>
        </w:trPr>
        <w:tc>
          <w:tcPr>
            <w:tcW w:w="5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FEMSA Empaques.....................................</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24.4%</w:t>
            </w:r>
          </w:p>
        </w:tc>
      </w:tr>
      <w:tr>
        <w:trPr>
          <w:trHeight w:val="168"/>
        </w:trPr>
        <w:tc>
          <w:tcPr>
            <w:tcW w:w="5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Logistica..........................................</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14.4%</w:t>
            </w:r>
          </w:p>
        </w:tc>
      </w:tr>
      <w:tr>
        <w:trPr>
          <w:trHeight w:val="336"/>
        </w:trPr>
        <w:tc>
          <w:tcPr>
            <w:tcW w:w="5200" w:type="dxa"/>
            <w:vAlign w:val="bottom"/>
          </w:tcPr>
          <w:p>
            <w:pPr>
              <w:spacing w:after="0"/>
              <w:rPr>
                <w:sz w:val="20"/>
                <w:szCs w:val="20"/>
                <w:color w:val="auto"/>
              </w:rPr>
            </w:pPr>
            <w:r>
              <w:rPr>
                <w:rFonts w:ascii="Courier New" w:cs="Courier New" w:eastAsia="Courier New" w:hAnsi="Courier New"/>
                <w:sz w:val="15"/>
                <w:szCs w:val="15"/>
                <w:color w:val="auto"/>
              </w:rPr>
              <w:t>Operating Margin(7)</w:t>
            </w:r>
          </w:p>
        </w:tc>
        <w:tc>
          <w:tcPr>
            <w:tcW w:w="840" w:type="dxa"/>
            <w:vAlign w:val="bottom"/>
          </w:tcPr>
          <w:p>
            <w:pPr>
              <w:spacing w:after="0"/>
              <w:rPr>
                <w:sz w:val="24"/>
                <w:szCs w:val="24"/>
                <w:color w:val="auto"/>
              </w:rPr>
            </w:pPr>
          </w:p>
        </w:tc>
      </w:tr>
      <w:tr>
        <w:trPr>
          <w:trHeight w:val="168"/>
        </w:trPr>
        <w:tc>
          <w:tcPr>
            <w:tcW w:w="5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FEMSA Cerveza......................................</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17.0%</w:t>
            </w:r>
          </w:p>
        </w:tc>
      </w:tr>
      <w:tr>
        <w:trPr>
          <w:trHeight w:val="168"/>
        </w:trPr>
        <w:tc>
          <w:tcPr>
            <w:tcW w:w="5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Coca-Cola FEMSA....................................</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25.2%</w:t>
            </w:r>
          </w:p>
        </w:tc>
      </w:tr>
      <w:tr>
        <w:trPr>
          <w:trHeight w:val="168"/>
        </w:trPr>
        <w:tc>
          <w:tcPr>
            <w:tcW w:w="5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FEMSA Comercio (1).................................</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w:t>
            </w:r>
          </w:p>
        </w:tc>
      </w:tr>
      <w:tr>
        <w:trPr>
          <w:trHeight w:val="168"/>
        </w:trPr>
        <w:tc>
          <w:tcPr>
            <w:tcW w:w="5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FEMSA Empaques.....................................</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13.7%</w:t>
            </w:r>
          </w:p>
        </w:tc>
      </w:tr>
      <w:tr>
        <w:trPr>
          <w:trHeight w:val="168"/>
        </w:trPr>
        <w:tc>
          <w:tcPr>
            <w:tcW w:w="5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Logistica..........................................</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w:t>
            </w:r>
          </w:p>
        </w:tc>
      </w:tr>
    </w:tbl>
    <w:p>
      <w:pPr>
        <w:spacing w:after="0" w:line="200" w:lineRule="exact"/>
        <w:rPr>
          <w:sz w:val="20"/>
          <w:szCs w:val="20"/>
          <w:color w:val="auto"/>
        </w:rPr>
      </w:pPr>
    </w:p>
    <w:p>
      <w:pPr>
        <w:spacing w:after="0" w:line="309" w:lineRule="exact"/>
        <w:rPr>
          <w:sz w:val="20"/>
          <w:szCs w:val="20"/>
          <w:color w:val="auto"/>
        </w:rPr>
      </w:pPr>
    </w:p>
    <w:p>
      <w:pPr>
        <w:ind w:left="440" w:right="160" w:hanging="430"/>
        <w:spacing w:after="0" w:line="235" w:lineRule="auto"/>
        <w:tabs>
          <w:tab w:leader="none" w:pos="44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financial reporting and business discussion of our retail operations in this Annual Report, FEMSA Comercio and Oxxo Express are presented together as "FEMSA Comercio."</w:t>
      </w:r>
    </w:p>
    <w:p>
      <w:pPr>
        <w:spacing w:after="0" w:line="5" w:lineRule="exact"/>
        <w:rPr>
          <w:rFonts w:ascii="Courier New" w:cs="Courier New" w:eastAsia="Courier New" w:hAnsi="Courier New"/>
          <w:sz w:val="15"/>
          <w:szCs w:val="15"/>
          <w:color w:val="auto"/>
        </w:rPr>
      </w:pPr>
    </w:p>
    <w:p>
      <w:pPr>
        <w:ind w:left="440" w:hanging="430"/>
        <w:spacing w:after="0" w:line="234" w:lineRule="auto"/>
        <w:tabs>
          <w:tab w:leader="none" w:pos="44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management fees paid to Emprex (and to Labatt in the case of FEMSA Cerveza).</w:t>
      </w:r>
    </w:p>
    <w:p>
      <w:pPr>
        <w:ind w:left="440" w:hanging="430"/>
        <w:spacing w:after="0" w:line="237" w:lineRule="auto"/>
        <w:tabs>
          <w:tab w:leader="none" w:pos="44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equity method from affiliated companies including Labatt USA.</w:t>
      </w:r>
    </w:p>
    <w:p>
      <w:pPr>
        <w:spacing w:after="0" w:line="5" w:lineRule="exact"/>
        <w:rPr>
          <w:rFonts w:ascii="Courier New" w:cs="Courier New" w:eastAsia="Courier New" w:hAnsi="Courier New"/>
          <w:sz w:val="15"/>
          <w:szCs w:val="15"/>
          <w:color w:val="auto"/>
        </w:rPr>
      </w:pPr>
    </w:p>
    <w:p>
      <w:pPr>
        <w:jc w:val="both"/>
        <w:ind w:left="440" w:right="440" w:hanging="430"/>
        <w:spacing w:after="0" w:line="235" w:lineRule="auto"/>
        <w:tabs>
          <w:tab w:leader="none" w:pos="44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operating expense in connection with e-commerce project which amounted to Ps. 29 million, Ps. 42 million, and Ps. 29 million for the years 2002, 2001 and 2000, respectively.</w:t>
      </w:r>
    </w:p>
    <w:p>
      <w:pPr>
        <w:ind w:left="440" w:hanging="430"/>
        <w:spacing w:after="0" w:line="237" w:lineRule="auto"/>
        <w:tabs>
          <w:tab w:leader="none" w:pos="44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breakage of bottles.</w:t>
      </w:r>
    </w:p>
    <w:p>
      <w:pPr>
        <w:ind w:left="440" w:hanging="430"/>
        <w:spacing w:after="0" w:line="237" w:lineRule="auto"/>
        <w:tabs>
          <w:tab w:leader="none" w:pos="44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Gross margin calculated with reference to net sales.</w:t>
      </w:r>
    </w:p>
    <w:p>
      <w:pPr>
        <w:spacing w:after="0" w:line="5" w:lineRule="exact"/>
        <w:rPr>
          <w:rFonts w:ascii="Courier New" w:cs="Courier New" w:eastAsia="Courier New" w:hAnsi="Courier New"/>
          <w:sz w:val="15"/>
          <w:szCs w:val="15"/>
          <w:color w:val="auto"/>
        </w:rPr>
      </w:pPr>
    </w:p>
    <w:p>
      <w:pPr>
        <w:ind w:left="440" w:right="440" w:hanging="430"/>
        <w:spacing w:after="0" w:line="234" w:lineRule="auto"/>
        <w:tabs>
          <w:tab w:leader="none" w:pos="44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Operating margin calculated with reference to total revenues and after deduction of management fees.</w:t>
      </w:r>
    </w:p>
    <w:p>
      <w:pPr>
        <w:spacing w:after="0" w:line="335"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Operating Leverage</w:t>
      </w:r>
    </w:p>
    <w:p>
      <w:pPr>
        <w:spacing w:after="0" w:line="173" w:lineRule="exact"/>
        <w:rPr>
          <w:sz w:val="20"/>
          <w:szCs w:val="20"/>
          <w:color w:val="auto"/>
        </w:rPr>
      </w:pPr>
    </w:p>
    <w:p>
      <w:pPr>
        <w:ind w:firstLine="437"/>
        <w:spacing w:after="0" w:line="236" w:lineRule="auto"/>
        <w:rPr>
          <w:sz w:val="20"/>
          <w:szCs w:val="20"/>
          <w:color w:val="auto"/>
        </w:rPr>
      </w:pPr>
      <w:r>
        <w:rPr>
          <w:rFonts w:ascii="Courier New" w:cs="Courier New" w:eastAsia="Courier New" w:hAnsi="Courier New"/>
          <w:sz w:val="15"/>
          <w:szCs w:val="15"/>
          <w:color w:val="auto"/>
        </w:rPr>
        <w:t>The operating subsidiaries of FEMSA Cerveza, Coca-Cola FEMSA and FEMSA Empaques are engaged, to varying degrees, in capital-intensive activities. The high utilization of the installed capacity of the production facilities of our subholding companies results in better fixed cost absorption, as increased output results in higher revenues without additional fixed costs. Absent significant increases in variable costs, gross profit margins will expand when production facilities are operated at higher utilization rates. Alternatively, higher fixed costs will result in lower gross profit margins in periods of lower output.</w:t>
      </w:r>
    </w:p>
    <w:p>
      <w:pPr>
        <w:spacing w:after="0" w:line="178" w:lineRule="exact"/>
        <w:rPr>
          <w:sz w:val="20"/>
          <w:szCs w:val="20"/>
          <w:color w:val="auto"/>
        </w:rPr>
      </w:pPr>
    </w:p>
    <w:p>
      <w:pPr>
        <w:ind w:firstLine="437"/>
        <w:spacing w:after="0" w:line="255" w:lineRule="auto"/>
        <w:rPr>
          <w:sz w:val="20"/>
          <w:szCs w:val="20"/>
          <w:color w:val="auto"/>
        </w:rPr>
      </w:pPr>
      <w:r>
        <w:rPr>
          <w:rFonts w:ascii="Courier New" w:cs="Courier New" w:eastAsia="Courier New" w:hAnsi="Courier New"/>
          <w:sz w:val="14"/>
          <w:szCs w:val="14"/>
          <w:color w:val="auto"/>
        </w:rPr>
        <w:t>In addition, the commercial operations of FEMSA Cerveza and Coca-Cola FEMSA are carried out through extensive distribution networks, the principal fixed assets of which are warehouses and trucks. The distribution systems of both FEMSA Cerveza and Coca-Cola FEMSA are designed to handle large volumes of beverages. Fixed costs represent an important proportion of the total distribution expense of both FEMSA Cerveza and Coca-Cola FEMSA. Generally, the higher the volume that passes through the distribution system, the lower the fixed distribution cost as a percentage of the corresponding revenues. As a result, operating margins improve when the distribution capacity is operated at higher utilization rates. Nonetheless, periods of decreased utilization because of lower volumes will negatively impact our operating margins.</w:t>
      </w:r>
    </w:p>
    <w:p>
      <w:pPr>
        <w:spacing w:after="0" w:line="165" w:lineRule="exact"/>
        <w:rPr>
          <w:sz w:val="20"/>
          <w:szCs w:val="20"/>
          <w:color w:val="auto"/>
        </w:rPr>
      </w:pPr>
    </w:p>
    <w:p>
      <w:pPr>
        <w:ind w:right="160" w:firstLine="437"/>
        <w:spacing w:after="0" w:line="261" w:lineRule="auto"/>
        <w:rPr>
          <w:sz w:val="20"/>
          <w:szCs w:val="20"/>
          <w:color w:val="auto"/>
        </w:rPr>
      </w:pPr>
      <w:r>
        <w:rPr>
          <w:rFonts w:ascii="Courier New" w:cs="Courier New" w:eastAsia="Courier New" w:hAnsi="Courier New"/>
          <w:sz w:val="14"/>
          <w:szCs w:val="14"/>
          <w:color w:val="auto"/>
        </w:rPr>
        <w:t>Companies with structural characteristics that result in margin expansion in excess of sales growth are referred to as having high "operating leverage."</w:t>
      </w:r>
    </w:p>
    <w:p>
      <w:pPr>
        <w:spacing w:after="0" w:line="153"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Impact of the Panamco Acquisition</w:t>
      </w:r>
    </w:p>
    <w:p>
      <w:pPr>
        <w:spacing w:after="0" w:line="173" w:lineRule="exact"/>
        <w:rPr>
          <w:sz w:val="20"/>
          <w:szCs w:val="20"/>
          <w:color w:val="auto"/>
        </w:rPr>
      </w:pPr>
    </w:p>
    <w:p>
      <w:pPr>
        <w:ind w:firstLine="437"/>
        <w:spacing w:after="0" w:line="255" w:lineRule="auto"/>
        <w:rPr>
          <w:sz w:val="20"/>
          <w:szCs w:val="20"/>
          <w:color w:val="auto"/>
        </w:rPr>
      </w:pPr>
      <w:r>
        <w:rPr>
          <w:rFonts w:ascii="Courier New" w:cs="Courier New" w:eastAsia="Courier New" w:hAnsi="Courier New"/>
          <w:sz w:val="14"/>
          <w:szCs w:val="14"/>
          <w:color w:val="auto"/>
        </w:rPr>
        <w:t>We will begin consolidating the results of Panamco during the second quarter of 2003 and, under Mexican GAAP; Panamco's results will be reflected in our financial statements starting on May 6, 2003, the date of the acquisition. Panamco has historically prepared its financial statements in accordance with U.S. GAAP in U.S. Dollars. We have historically and will continue to prepare our financial statements in accordance with Mexican GAAP in Mexican Pesos. When presented in Mexican GAAP and in Mexican Pesos as part of our consolidated results, the results of Panamco may be significantly different from and may not be comparable to those reported by Panamco for prior periods. We may not provide separate financial statements for Panamco for future periods. In addition, because Panamco will not be included in our financial statements for periods prior to the second quarter of 2003, our future quarterly results will be comparable starting with the third quarter of 2004 as compared to the third of 2003 and our future annual results will be comparable starting with the full year of 2005 as compared to the full year of 2004.</w:t>
      </w:r>
    </w:p>
    <w:p>
      <w:pPr>
        <w:spacing w:after="0" w:line="3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8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88"/>
              </w:rPr>
              <w:t>57.3%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55.8%</w:t>
            </w:r>
          </w:p>
        </w:tc>
      </w:tr>
      <w:tr>
        <w:trPr>
          <w:trHeight w:val="168"/>
        </w:trPr>
        <w:tc>
          <w:tcPr>
            <w:tcW w:w="8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88"/>
              </w:rPr>
              <w:t>54.1%</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51.7%</w:t>
            </w:r>
          </w:p>
        </w:tc>
      </w:tr>
      <w:tr>
        <w:trPr>
          <w:trHeight w:val="168"/>
        </w:trPr>
        <w:tc>
          <w:tcPr>
            <w:tcW w:w="8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88"/>
              </w:rPr>
              <w:t>25.7%</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25.7%</w:t>
            </w:r>
          </w:p>
        </w:tc>
      </w:tr>
      <w:tr>
        <w:trPr>
          <w:trHeight w:val="168"/>
        </w:trPr>
        <w:tc>
          <w:tcPr>
            <w:tcW w:w="8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88"/>
              </w:rPr>
              <w:t>23.1%</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24.7%</w:t>
            </w:r>
          </w:p>
        </w:tc>
      </w:tr>
      <w:tr>
        <w:trPr>
          <w:trHeight w:val="168"/>
        </w:trPr>
        <w:tc>
          <w:tcPr>
            <w:tcW w:w="8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88"/>
              </w:rPr>
              <w:t>13.8%</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13.7%</w:t>
            </w:r>
          </w:p>
        </w:tc>
      </w:tr>
      <w:tr>
        <w:trPr>
          <w:trHeight w:val="505"/>
        </w:trPr>
        <w:tc>
          <w:tcPr>
            <w:tcW w:w="8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88"/>
              </w:rPr>
              <w:t>16.1%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15.8%</w:t>
            </w:r>
          </w:p>
        </w:tc>
      </w:tr>
      <w:tr>
        <w:trPr>
          <w:trHeight w:val="168"/>
        </w:trPr>
        <w:tc>
          <w:tcPr>
            <w:tcW w:w="8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88"/>
              </w:rPr>
              <w:t>23.2%</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19.2%</w:t>
            </w:r>
          </w:p>
        </w:tc>
      </w:tr>
      <w:tr>
        <w:trPr>
          <w:trHeight w:val="168"/>
        </w:trPr>
        <w:tc>
          <w:tcPr>
            <w:tcW w:w="8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2.8%</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w:t>
            </w:r>
          </w:p>
        </w:tc>
      </w:tr>
      <w:tr>
        <w:trPr>
          <w:trHeight w:val="168"/>
        </w:trPr>
        <w:tc>
          <w:tcPr>
            <w:tcW w:w="8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88"/>
              </w:rPr>
              <w:t>13.0%</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14.6%</w:t>
            </w:r>
          </w:p>
        </w:tc>
      </w:tr>
      <w:tr>
        <w:trPr>
          <w:trHeight w:val="168"/>
        </w:trPr>
        <w:tc>
          <w:tcPr>
            <w:tcW w:w="8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6.4%</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w:t>
            </w:r>
          </w:p>
        </w:tc>
      </w:tr>
    </w:tbl>
    <w:p>
      <w:pPr>
        <w:sectPr>
          <w:pgSz w:w="11900" w:h="16838" w:orient="portrait"/>
          <w:cols w:equalWidth="0" w:num="2">
            <w:col w:w="7000" w:space="540"/>
            <w:col w:w="2699"/>
          </w:cols>
          <w:pgMar w:left="220" w:top="1290" w:right="1440" w:bottom="1440" w:gutter="0" w:footer="0" w:header="0"/>
        </w:sectPr>
      </w:pPr>
    </w:p>
    <w:bookmarkStart w:id="85" w:name="page86"/>
    <w:bookmarkEnd w:id="85"/>
    <w:p>
      <w:pPr>
        <w:ind w:right="3239" w:firstLine="437"/>
        <w:spacing w:after="0" w:line="236" w:lineRule="auto"/>
        <w:rPr>
          <w:sz w:val="20"/>
          <w:szCs w:val="20"/>
          <w:color w:val="auto"/>
        </w:rPr>
      </w:pPr>
      <w:r>
        <w:rPr>
          <w:rFonts w:ascii="Courier New" w:cs="Courier New" w:eastAsia="Courier New" w:hAnsi="Courier New"/>
          <w:sz w:val="15"/>
          <w:szCs w:val="15"/>
          <w:color w:val="auto"/>
        </w:rPr>
        <w:t>Panamco has recorded significantly lower operating margins than Coca-Cola FEMSA in recent years, reflecting in part deterioration of macroeconomic and political conditions in some of the countries in which it operates and competitive pressures. Coca-Cola FEMSA's ability to maintain its margins will depend on its ability to generate synergies from the combination of the Mexican operations and to put in place new strategies in some of Panamco's territories, as well as on macroeconomic conditions throughout Latin America. Additional information regarding the Panamco acquisition can be found in the Coca-Cola FEMSA Annual Report on Form 20-F filed with the SEC on June 27, 2003, which does not constitute part of this Annual Report and is not incorporated by reference into this Annual Report.</w:t>
      </w:r>
    </w:p>
    <w:p>
      <w:pPr>
        <w:spacing w:after="0" w:line="174"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Results of Operations for the Year Ended December 31, 2002</w:t>
      </w:r>
    </w:p>
    <w:p>
      <w:pPr>
        <w:jc w:val="center"/>
        <w:ind w:right="3239"/>
        <w:spacing w:after="0" w:line="237" w:lineRule="auto"/>
        <w:rPr>
          <w:sz w:val="20"/>
          <w:szCs w:val="20"/>
          <w:color w:val="auto"/>
        </w:rPr>
      </w:pPr>
      <w:r>
        <w:rPr>
          <w:rFonts w:ascii="Courier New" w:cs="Courier New" w:eastAsia="Courier New" w:hAnsi="Courier New"/>
          <w:sz w:val="15"/>
          <w:szCs w:val="15"/>
          <w:color w:val="auto"/>
        </w:rPr>
        <w:t>Compared to the Year Ended December 31, 2001</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FEMSA Consolidated</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Total Revenues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FEMSA's consolidated total revenues increased by 5.7% to Ps. 52.941 billion for the year ended December 31, 2002, from Ps. 50.097 billion for the year ended December 31, 2001. Consolidated net sales increased by 5.6% to Ps. 52.746 billion in 2002 from Ps. 49.952 billion in 2001 and represented 99.6% of total revenues in 2002, compared to 99.7% in 2001. FEMSA Comercio, whose total revenue increased 18.7%, contributed significantly to the growth in consolidated revenue with the opening of 437 net new Oxxo stores, and Coca-Cola FEMSA, whose total revenues grew 5.3%, was also a significant contributing factor. FEMSA Cerveza faced weak demand in the northern markets throughout the year, but posted revenue growth of 0.5% aided by steady demand and successful performance in the central and southern markets. FEMSA Empaques capitalized on strong demand for its main product lines in the second half of the year and closed the year with 0.3% growth in revenue.</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Gross Profit</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Our consolidated gross profit increased by 5.4% to Ps. 26.557 billion in 2002 from Ps. 25.226 billion in 2001. As gross profit increased at a slightly lower rate than net sales, our consolidated gross profit margin was 50.4%, a decrease of 10 basis points over 2001. In addition, our dollar-linked variable cost of sales became more expensive on a real basis because of the depreciation of the Peso in the second half of 2002. The decrease in gross profit margin was only partially offset by operational efficiencies achieved in our manufacturing facilities, such as increased productivity and strategic procurement.</w:t>
      </w:r>
    </w:p>
    <w:p>
      <w:pPr>
        <w:spacing w:after="0" w:line="1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Income from Operations</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Our consolidated operating expenses (including goodwill amortization and management fees paid to Labatt) increased by 2.7% in 2002 to Ps. 17.170 billion from Ps. 16.726 billion in 2001. As a percentage of total revenues, consolidated operating expenses decreased by 100 basis points to 32.4% in 2002.</w:t>
      </w:r>
    </w:p>
    <w:p>
      <w:pPr>
        <w:spacing w:after="0" w:line="16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Consolidated administrative expenses increased by 1.1% to Ps. 4.659 billion in 2002 from Ps. 4.608 billion, primarily reflecting the net effect of the following:</w:t>
      </w:r>
    </w:p>
    <w:p>
      <w:pPr>
        <w:spacing w:after="0" w:line="174" w:lineRule="exact"/>
        <w:rPr>
          <w:sz w:val="20"/>
          <w:szCs w:val="20"/>
          <w:color w:val="auto"/>
        </w:rPr>
      </w:pPr>
    </w:p>
    <w:p>
      <w:pPr>
        <w:ind w:left="440" w:right="3139" w:hanging="430"/>
        <w:spacing w:after="0" w:line="235" w:lineRule="auto"/>
        <w:tabs>
          <w:tab w:leader="none" w:pos="178"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-increases in administrative expenses at Coca-Cola FEMSA, mainly reflecting investments in preparation for a large acquisition, such as administrative consultants and expanding managerial staff, plus certain system upgrades in Mexico;</w:t>
      </w:r>
    </w:p>
    <w:p>
      <w:pPr>
        <w:spacing w:after="0" w:line="175" w:lineRule="exact"/>
        <w:rPr>
          <w:rFonts w:ascii="Courier New" w:cs="Courier New" w:eastAsia="Courier New" w:hAnsi="Courier New"/>
          <w:sz w:val="15"/>
          <w:szCs w:val="15"/>
          <w:color w:val="auto"/>
        </w:rPr>
      </w:pPr>
    </w:p>
    <w:p>
      <w:pPr>
        <w:ind w:left="440" w:right="3239" w:hanging="430"/>
        <w:spacing w:after="0" w:line="235" w:lineRule="auto"/>
        <w:tabs>
          <w:tab w:leader="none" w:pos="178"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-slight increases in administrative expenses at FEMSA Comercio, related to its expansion, and at FEMSA Empaques, reflecting investments in ERP systems; and</w:t>
      </w:r>
    </w:p>
    <w:p>
      <w:pPr>
        <w:spacing w:after="0" w:line="173" w:lineRule="exact"/>
        <w:rPr>
          <w:rFonts w:ascii="Courier New" w:cs="Courier New" w:eastAsia="Courier New" w:hAnsi="Courier New"/>
          <w:sz w:val="15"/>
          <w:szCs w:val="15"/>
          <w:color w:val="auto"/>
        </w:rPr>
      </w:pPr>
    </w:p>
    <w:p>
      <w:pPr>
        <w:ind w:left="440" w:right="3239" w:hanging="430"/>
        <w:spacing w:after="0" w:line="234" w:lineRule="auto"/>
        <w:tabs>
          <w:tab w:leader="none" w:pos="178"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-slight decrease in FEMSA Cerveza's administrative expenses as a result of efforts to contain expenses.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79</w:t>
      </w:r>
    </w:p>
    <w:p>
      <w:pPr>
        <w:sectPr>
          <w:pgSz w:w="11900" w:h="16838" w:orient="portrait"/>
          <w:cols w:equalWidth="0" w:num="1">
            <w:col w:w="10239"/>
          </w:cols>
          <w:pgMar w:left="220" w:top="624" w:right="1440" w:bottom="1440" w:gutter="0" w:footer="0" w:header="0"/>
        </w:sectPr>
      </w:pPr>
    </w:p>
    <w:bookmarkStart w:id="86" w:name="page87"/>
    <w:bookmarkEnd w:id="86"/>
    <w:p>
      <w:pPr>
        <w:ind w:right="3239" w:firstLine="437"/>
        <w:spacing w:after="0" w:line="236" w:lineRule="auto"/>
        <w:rPr>
          <w:sz w:val="20"/>
          <w:szCs w:val="20"/>
          <w:color w:val="auto"/>
        </w:rPr>
      </w:pPr>
      <w:r>
        <w:rPr>
          <w:rFonts w:ascii="Courier New" w:cs="Courier New" w:eastAsia="Courier New" w:hAnsi="Courier New"/>
          <w:sz w:val="15"/>
          <w:szCs w:val="15"/>
          <w:color w:val="auto"/>
        </w:rPr>
        <w:t>Some of our subsidiaries pay management fees to FEMSA in consideration for corporate services provided to such subsidiaries. Our subsidiaries' payments of management fees are eliminated in consolidation and thus have no effect on our consolidated operating expense, with the exception of the management fee paid by FEMSA Cerveza to Labatt, which amounted to Ps. 118 million in 2002 compared to Ps. 124 million in 2001. Goodwill amortization corresponding to Coca-Cola FEMSA amounted to Ps. 37 million in 2002 compared to Ps. 101 million in 2001, reflecting the goodwill impairment related to Coca-Cola FEMSA Buenos Aires (see "--Coca-Cola FEMSA").</w:t>
      </w:r>
    </w:p>
    <w:p>
      <w:pPr>
        <w:spacing w:after="0" w:line="178" w:lineRule="exact"/>
        <w:rPr>
          <w:sz w:val="20"/>
          <w:szCs w:val="20"/>
          <w:color w:val="auto"/>
        </w:rPr>
      </w:pPr>
    </w:p>
    <w:p>
      <w:pPr>
        <w:ind w:right="3499" w:firstLine="437"/>
        <w:spacing w:after="0" w:line="261" w:lineRule="auto"/>
        <w:rPr>
          <w:sz w:val="20"/>
          <w:szCs w:val="20"/>
          <w:color w:val="auto"/>
        </w:rPr>
      </w:pPr>
      <w:r>
        <w:rPr>
          <w:rFonts w:ascii="Courier New" w:cs="Courier New" w:eastAsia="Courier New" w:hAnsi="Courier New"/>
          <w:sz w:val="14"/>
          <w:szCs w:val="14"/>
          <w:color w:val="auto"/>
        </w:rPr>
        <w:t>Consolidated selling expenses increased by 3.2% to Ps. 12.511 billion in 2002 from Ps. 12.118 billion in 2001, mainly reflecting the combination of:</w:t>
      </w:r>
    </w:p>
    <w:p>
      <w:pPr>
        <w:spacing w:after="0" w:line="160" w:lineRule="exact"/>
        <w:rPr>
          <w:sz w:val="20"/>
          <w:szCs w:val="20"/>
          <w:color w:val="auto"/>
        </w:rPr>
      </w:pPr>
    </w:p>
    <w:p>
      <w:pPr>
        <w:ind w:left="440" w:right="3059" w:hanging="430"/>
        <w:spacing w:after="0" w:line="235" w:lineRule="auto"/>
        <w:tabs>
          <w:tab w:leader="none" w:pos="178"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-growth in FEMSA Comercio's selling expenses as the chain expands at a rapid pace, requiring a proportional operating expense infrastructure and a larger infrastructure required to manage the expansion of the chain; and</w:t>
      </w:r>
    </w:p>
    <w:p>
      <w:pPr>
        <w:spacing w:after="0" w:line="173" w:lineRule="exact"/>
        <w:rPr>
          <w:rFonts w:ascii="Courier New" w:cs="Courier New" w:eastAsia="Courier New" w:hAnsi="Courier New"/>
          <w:sz w:val="15"/>
          <w:szCs w:val="15"/>
          <w:color w:val="auto"/>
        </w:rPr>
      </w:pPr>
    </w:p>
    <w:p>
      <w:pPr>
        <w:ind w:left="440" w:right="3579" w:hanging="430"/>
        <w:spacing w:after="0" w:line="235" w:lineRule="auto"/>
        <w:tabs>
          <w:tab w:leader="none" w:pos="178"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-reduction in Coca-Cola FEMSA's selling expenses reflecting expense containment measures in Mexico and lower marketing expenses and payroll optimization in Argentina.</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incur various expenses related to the distribution of our products. We include these types of costs in the selling expenses line of our income statement. During 2002 and 2001, our distribution costs amounted to Ps. 3,299 million and Ps. 3,581 million, respectively. The exclusion of these charges from our cost of sales line may result in the amounts reported as gross profit not being comparable to other companies, who may include all expenses related to their distribution network in cost of sales when computing gross profit (or an equivalent measure).</w:t>
      </w:r>
    </w:p>
    <w:p>
      <w:pPr>
        <w:spacing w:after="0" w:line="177"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All of our principal businesses reported increases in their respective income from operations, which produced growth in consolidated income from operations (after participation in the results of affiliated companies) for the full year 2002 of 11.2% to Ps. 9.491 billion from Ps. 8.533 billion in 2001. Our consolidated operating margin increased 90 basis points to 17.9% of consolidated total revenues. Coca-Cola FEMSA was our primary driver of profitability growth, posting a 14.6% increase in its income from operations. FEMSA Cerveza and FEMSA Comercio each generated similar amounts of incremental operating profit in 2002, contributing to the consolidated result with growth rates of 5.3% and 44.3%, respectively, in their operating income (before management fees).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FEMSA Cerveza</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Total Revenues</w:t>
      </w:r>
    </w:p>
    <w:p>
      <w:pPr>
        <w:spacing w:after="0" w:line="173"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FEMSA Cerveza's net sales increased by 0.4% to Ps. 20.632 billion in 2002 from Ps. 20.551 billion in 2001. Other revenues, which consist mainly of income from the sale of manufacturing byproducts and sundries in retail locations owned by FEMSA Cerveza, totaled Ps. 183 million in 2002, 20.1% higher than in 2001.</w:t>
      </w:r>
    </w:p>
    <w:p>
      <w:pPr>
        <w:spacing w:after="0" w:line="1"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Total revenues for FEMSA Cerveza increased by 0.5% to Ps. 20.815 billion in 2002 from Ps. 20.703 billion in 2001. The increase in revenues in 2002 was primarily attributable to the net effect of the following:</w:t>
      </w:r>
    </w:p>
    <w:p>
      <w:pPr>
        <w:spacing w:after="0" w:line="167" w:lineRule="exact"/>
        <w:rPr>
          <w:sz w:val="20"/>
          <w:szCs w:val="20"/>
          <w:color w:val="auto"/>
        </w:rPr>
      </w:pPr>
    </w:p>
    <w:p>
      <w:pPr>
        <w:ind w:left="180" w:hanging="170"/>
        <w:spacing w:after="0"/>
        <w:tabs>
          <w:tab w:leader="none" w:pos="18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0.2% decrease in total sales volume; and</w:t>
      </w:r>
    </w:p>
    <w:p>
      <w:pPr>
        <w:spacing w:after="0" w:line="172" w:lineRule="exact"/>
        <w:rPr>
          <w:rFonts w:ascii="Courier New" w:cs="Courier New" w:eastAsia="Courier New" w:hAnsi="Courier New"/>
          <w:sz w:val="15"/>
          <w:szCs w:val="15"/>
          <w:color w:val="auto"/>
        </w:rPr>
      </w:pPr>
    </w:p>
    <w:p>
      <w:pPr>
        <w:ind w:left="440" w:right="3239" w:hanging="430"/>
        <w:spacing w:after="0" w:line="236" w:lineRule="auto"/>
        <w:tabs>
          <w:tab w:leader="none" w:pos="178"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-0.6% improvement in real total revenue per hectoliter sold for the full year 2002, derived primarily from a 7.0% nominal increase in the domestic price of beer (on a weighted average basis) implemented during the first quarter of 2002. FEMSA Cerveza's average revenue per hectoliter in 2002 was Ps. 866.5, including domestic and export sales.</w:t>
      </w:r>
    </w:p>
    <w:p>
      <w:pPr>
        <w:spacing w:after="0" w:line="17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Domestic volume declined by 0.7% to 21.856 million hectoliters, as FEMSA Cerveza continued to experience the adverse effects of the deterioration in disposable income in the northern region of Mexico. FEMSA Cerveza has greater exposure to the markets in the northern regions, where it sells approximately 56% of its domestic volume. Over the past two years we have observed a progressive deterioration in the economy that has disproportionately affected the northwest region, as its higher concentration of border towns makes it more susceptible to the U.S. economy. The central and southern regions have been more protected from this economic slowdown. For example, we estimate that employment in the manufacturing and retail industries in the north declined approximately 4.6% in 2002, compared to an estimated decline of 0.3% and 0.4% in the central and southern regions, respectively. At the same time, our sales volumes in the north declined 2.9%, while those in the rest of the country grew by approximately 1.9%. Another factor that materially affected our ability to sell more of our beer products in the north was a higher presence of beer imports, particularly during the period of Peso appreciation against the U.S. Dollar in the first half of 2002. On a quarterly basis, domestic volume trends were as follows: a 2.2% volume decline in the first quarter, marginal growths of 0.1% and 0.3% in the second and third quarters respectively, and a decline of 1.3% in the fourth quarter of 2002, all relative to the comparable quarters of 2001. Pricing in the domestic market increased by 0.9% in real terms, averaging Ps. 886 per hectoliter in 2002.</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80</w:t>
      </w:r>
    </w:p>
    <w:p>
      <w:pPr>
        <w:sectPr>
          <w:pgSz w:w="11900" w:h="16838" w:orient="portrait"/>
          <w:cols w:equalWidth="0" w:num="1">
            <w:col w:w="10239"/>
          </w:cols>
          <w:pgMar w:left="220" w:top="623" w:right="1440" w:bottom="1440" w:gutter="0" w:footer="0" w:header="0"/>
        </w:sectPr>
      </w:pPr>
    </w:p>
    <w:bookmarkStart w:id="87" w:name="page88"/>
    <w:bookmarkEnd w:id="87"/>
    <w:p>
      <w:pPr>
        <w:ind w:right="3239" w:firstLine="437"/>
        <w:spacing w:after="0" w:line="255" w:lineRule="auto"/>
        <w:rPr>
          <w:sz w:val="20"/>
          <w:szCs w:val="20"/>
          <w:color w:val="auto"/>
        </w:rPr>
      </w:pPr>
      <w:r>
        <w:rPr>
          <w:rFonts w:ascii="Courier New" w:cs="Courier New" w:eastAsia="Courier New" w:hAnsi="Courier New"/>
          <w:sz w:val="14"/>
          <w:szCs w:val="14"/>
          <w:color w:val="auto"/>
        </w:rPr>
        <w:t>Export volume grew by 6.1% to 1.955 million hectoliters in 2002, and represented 8.2% of the total volume sold by FEMSA Cerveza. Volume sold to North America, FEMSA Cerveza's main export market, increased by 8.2% and accounted for 92.2% of FEMSA Cerveza's export volume. Export volume to Europe and Asia declined 17.6% and 25.7%, respectively, compared to 2001 and accounted for 2.9% and 2.8% of total export sales. Average pricing in the export market decreased by 2.2% in real terms, averaging Ps. 653 per hectoliter in 2002. Export revenues increased by 3.7% to Ps. 1.276 billion in 2002 and in U.S. Dollar terms, export revenues increased by 3.7% to US$127 million.</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2002, we adopted EITF Consensus No. 01-9, "Accounting for Consideration Given By a Vendor to a Customer or Reseller of the Vendor's Products," issued by the FASB. This consensus requires certain selling expenses incurred by FEMSA Cerveza previously classified as operating expenses to be reclassified as deductions from revenue. Amortizations that were previously classified as selling expenses in the amount of Ps. 851 million for 2001 were reclassified as a reduction in net sales in accordance with this EITF consensus. Correspondingly, during 2002 we classified Ps. 951 million as a reduction in net sales.</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Gross Profit</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FEMSA Cerveza's cost of sales for 2002 remained flat at Ps. 8.926 billion compared to 2001. FEMSA Cerveza's gross profit increased by 1.0% to Ps. 11.889 billion in 2002 from Ps. 11.776 billion in 2001. As a percentage of net sales, gross margin increased by 30 basis points to 57.6% in 2002, reflecting enhancements in manufacturing productivity and savings in the plant-to-warehouse logistics. Cost trends for FEMSA Cerveza's principal raw materials (malting barley, hops, aluminum cans and glass bottles) remained relatively stable throughout 2002. The favorable effect of the appreciation of the Peso against the U.S. Dollar on Dollar-denominated costs during the first half of the year was more than offset by a depreciation of the Peso against the U.S. Dollar during the latter half of 2002.</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Income from Operations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FEMSA Cerveza's operating expenses decreased by 0.4% to Ps. 8.035 billion in 2002 from Ps. 8.069 billion in 2001 and represented 38.6% of total revenues in 2002, compared to 39.0% of total revenues in 2001. Administrative expenses decreased by 0.7% to Ps. 2.175 billion in 2002 from Ps. 2.190 billion in 2001, reflecting continued expense containment practices across the organization and an average headcount reduction. Selling expenses decreased by 0.3% to Ps. 5.860 billion in 2002 and represented 28.2% of total revenues. Our success in containing selling expenses and generating operational savings resulted from the following:</w:t>
      </w:r>
    </w:p>
    <w:p>
      <w:pPr>
        <w:spacing w:after="0" w:line="172" w:lineRule="exact"/>
        <w:rPr>
          <w:sz w:val="20"/>
          <w:szCs w:val="20"/>
          <w:color w:val="auto"/>
        </w:rPr>
      </w:pPr>
    </w:p>
    <w:p>
      <w:pPr>
        <w:ind w:left="180" w:hanging="170"/>
        <w:spacing w:after="0"/>
        <w:tabs>
          <w:tab w:leader="none" w:pos="18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warehouse rationalization across all markets;</w:t>
      </w:r>
    </w:p>
    <w:p>
      <w:pPr>
        <w:spacing w:after="0" w:line="172" w:lineRule="exact"/>
        <w:rPr>
          <w:rFonts w:ascii="Courier New" w:cs="Courier New" w:eastAsia="Courier New" w:hAnsi="Courier New"/>
          <w:sz w:val="15"/>
          <w:szCs w:val="15"/>
          <w:color w:val="auto"/>
        </w:rPr>
      </w:pPr>
    </w:p>
    <w:p>
      <w:pPr>
        <w:ind w:left="440" w:right="3399" w:hanging="430"/>
        <w:spacing w:after="0" w:line="234" w:lineRule="auto"/>
        <w:tabs>
          <w:tab w:leader="none" w:pos="178"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-presale logistics, which by separating the sales and delivery functions have reduced significantly unsold load in delivery trucks; and</w:t>
      </w:r>
    </w:p>
    <w:p>
      <w:pPr>
        <w:spacing w:after="0" w:line="173" w:lineRule="exact"/>
        <w:rPr>
          <w:rFonts w:ascii="Courier New" w:cs="Courier New" w:eastAsia="Courier New" w:hAnsi="Courier New"/>
          <w:sz w:val="15"/>
          <w:szCs w:val="15"/>
          <w:color w:val="auto"/>
        </w:rPr>
      </w:pPr>
    </w:p>
    <w:p>
      <w:pPr>
        <w:ind w:left="440" w:right="3239" w:hanging="430"/>
        <w:spacing w:after="0" w:line="234" w:lineRule="auto"/>
        <w:tabs>
          <w:tab w:leader="none" w:pos="178"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-improved resource utilization, which resulted in a net reduction of sales routes.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FEMSA Cerveza has continued to invest in the development of its new competitive business model, which has entailed budgeted expenditures in information technology platforms (including the ERP system), acquisition of third party distributorships, high-impact marketing campaigns and deployment of commercial equipment (such as refrigerators and point-of-sale displays). See "Item 4. Information on the Company--FEMSA Cerveza--Business Strategy."</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81</w:t>
      </w:r>
    </w:p>
    <w:p>
      <w:pPr>
        <w:sectPr>
          <w:pgSz w:w="11900" w:h="16838" w:orient="portrait"/>
          <w:cols w:equalWidth="0" w:num="1">
            <w:col w:w="10239"/>
          </w:cols>
          <w:pgMar w:left="220" w:top="624" w:right="1440" w:bottom="1440" w:gutter="0" w:footer="0" w:header="0"/>
        </w:sectPr>
      </w:pPr>
    </w:p>
    <w:bookmarkStart w:id="88" w:name="page89"/>
    <w:bookmarkEnd w:id="88"/>
    <w:p>
      <w:pPr>
        <w:ind w:right="3239" w:firstLine="437"/>
        <w:spacing w:after="0" w:line="236" w:lineRule="auto"/>
        <w:rPr>
          <w:sz w:val="20"/>
          <w:szCs w:val="20"/>
          <w:color w:val="auto"/>
        </w:rPr>
      </w:pPr>
      <w:r>
        <w:rPr>
          <w:rFonts w:ascii="Courier New" w:cs="Courier New" w:eastAsia="Courier New" w:hAnsi="Courier New"/>
          <w:sz w:val="15"/>
          <w:szCs w:val="15"/>
          <w:color w:val="auto"/>
        </w:rPr>
        <w:t>FEMSA Cerveza recorded Ps. 84 million in 2002 for participation in the results of affiliated companies (including Labatt USA) compared to Ps. 33 million in 2001. FEMSA Cerveza's income from operations, before deduction of management fees paid to us and to Labatt, increased by 5.3% to Ps. 3.938 billion in 2002 over Ps. 3.740 billion recorded in 2001. In 2002, FEMSA Cerveza's operating margin before deduction of management fees increased by 80 basis points to 18.9% of total revenues. Management fees amounted to Ps. 392 million and represented 1.9% of total revenues in 2002 compared to Ps. 413 million recorded in 2001, which represented 2.0% of total revenues in 2001. FEMSA Cerveza's income from operations after deduction of management fees amounted to Ps. 3.546 billion, 6.6% more than in 2001.</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Coca-Cola FEMSA</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Total Revenues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Coca-Cola FEMSA recorded net sales of Ps. 17.492 billion in 2002, a 5.3% increase over net sales of Ps. 16.612 billion in 2001. Revenue growth was primarily attributable to strong volume growth and a steady improvement in the average price per unit case in the Mexican Territories, which more than offset the volume contraction observed in the Buenos Aires Territories. Other revenues, which consist mainly of income from toll production agreements with a neighboring Coca-Cola Bottler in Argentina, whereby Coca-Cola FEMSA has been producing Coca-Cola brand beverages for sale in its territories, amounted to Ps. 128 million in 2002, 9.6% higher than in 2001. Total revenues for Coca-Cola FEMSA increased by 5.3% to Ps. 17.620 billion in 2002 from Ps. 16.730 billion in 2001.</w:t>
      </w:r>
    </w:p>
    <w:p>
      <w:pPr>
        <w:spacing w:after="0" w:line="180"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Coca-Cola FEMSA recorded volume growth of 5.6% to 505 million unit cases in the combined Mexican Territories and an improvement in the real revenue per unit case of 1.1% during 2002. These improvements resulted in revenue growth of 6.7% to Ps. 16.133 billion in the combined Mexican Territories for 2002. We believe that the principal volume drivers in the Mexican Territories in 2002 were:</w:t>
      </w:r>
    </w:p>
    <w:p>
      <w:pPr>
        <w:spacing w:after="0" w:line="163" w:lineRule="exact"/>
        <w:rPr>
          <w:sz w:val="20"/>
          <w:szCs w:val="20"/>
          <w:color w:val="auto"/>
        </w:rPr>
      </w:pPr>
    </w:p>
    <w:p>
      <w:pPr>
        <w:ind w:left="440" w:right="3319" w:hanging="430"/>
        <w:spacing w:after="0" w:line="234" w:lineRule="auto"/>
        <w:tabs>
          <w:tab w:leader="none" w:pos="178"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-strong performance of Mundet beverages and still water, particularly the new 5-liter jug of Ciel;</w:t>
      </w:r>
    </w:p>
    <w:p>
      <w:pPr>
        <w:spacing w:after="0" w:line="166"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continued expansion in the flavor and "new categories" segments with the</w:t>
      </w:r>
    </w:p>
    <w:p>
      <w:pPr>
        <w:spacing w:after="0" w:line="4" w:lineRule="exact"/>
        <w:rPr>
          <w:rFonts w:ascii="Courier New" w:cs="Courier New" w:eastAsia="Courier New" w:hAnsi="Courier New"/>
          <w:sz w:val="15"/>
          <w:szCs w:val="15"/>
          <w:color w:val="auto"/>
        </w:rPr>
      </w:pPr>
    </w:p>
    <w:p>
      <w:pPr>
        <w:ind w:left="440" w:right="357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introduction of new and exciting products, such as Beat, Mundet, Mickey Adventures, Kin Light and Nestea; and</w:t>
      </w:r>
    </w:p>
    <w:p>
      <w:pPr>
        <w:spacing w:after="0" w:line="166"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modest volume growth in the core cola portfolio.</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the Buenos Aires Territory, Coca-Cola FEMSA operated in a very depressed economic environment in 2002. Volume decreased by 11.0% to 116 million unit cases in a year that started off with a severe economic crisis that hampered demand for our products. Coca-Cola FEMSA responded to this challenging market with the objectives of defending the brand equity of its brands, regaining market share from b-brands, extracting positive cash flow, and performing overall damage containment. As the year progressed, the commercial strategies implemented by Coca-Cola FEMSA yielded a more favorable outcome, closing the year with volume growth in the fourth quarter of 2002. The principal strategies implemented were:</w:t>
      </w:r>
    </w:p>
    <w:p>
      <w:pPr>
        <w:spacing w:after="0" w:line="179" w:lineRule="exact"/>
        <w:rPr>
          <w:sz w:val="20"/>
          <w:szCs w:val="20"/>
          <w:color w:val="auto"/>
        </w:rPr>
      </w:pPr>
    </w:p>
    <w:p>
      <w:pPr>
        <w:ind w:left="440" w:right="3059" w:hanging="430"/>
        <w:spacing w:after="0" w:line="235" w:lineRule="auto"/>
        <w:tabs>
          <w:tab w:leader="none" w:pos="178"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-shifting the mix back to returnable packages, which jumped from 5.8% of the mix in 2001 to 12.4% in 2002; led by the 1.25-liter glass returnable presentation of Coca-Cola, Fanta and Sprite; and</w:t>
      </w:r>
    </w:p>
    <w:p>
      <w:pPr>
        <w:spacing w:after="0" w:line="173" w:lineRule="exact"/>
        <w:rPr>
          <w:rFonts w:ascii="Courier New" w:cs="Courier New" w:eastAsia="Courier New" w:hAnsi="Courier New"/>
          <w:sz w:val="15"/>
          <w:szCs w:val="15"/>
          <w:color w:val="auto"/>
        </w:rPr>
      </w:pPr>
    </w:p>
    <w:p>
      <w:pPr>
        <w:ind w:left="440" w:right="3059" w:hanging="430"/>
        <w:spacing w:after="0" w:line="234" w:lineRule="auto"/>
        <w:tabs>
          <w:tab w:leader="none" w:pos="178"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-continuing to promote the core Coca-Cola brand while further developing the value protection brands (Tai and Crush).</w:t>
      </w:r>
    </w:p>
    <w:p>
      <w:pPr>
        <w:spacing w:after="0" w:line="173" w:lineRule="exact"/>
        <w:rPr>
          <w:sz w:val="20"/>
          <w:szCs w:val="20"/>
          <w:color w:val="auto"/>
        </w:rPr>
      </w:pPr>
    </w:p>
    <w:p>
      <w:pPr>
        <w:ind w:right="3399"/>
        <w:spacing w:after="0" w:line="258" w:lineRule="auto"/>
        <w:rPr>
          <w:sz w:val="20"/>
          <w:szCs w:val="20"/>
          <w:color w:val="auto"/>
        </w:rPr>
      </w:pPr>
      <w:r>
        <w:rPr>
          <w:rFonts w:ascii="Courier New" w:cs="Courier New" w:eastAsia="Courier New" w:hAnsi="Courier New"/>
          <w:sz w:val="14"/>
          <w:szCs w:val="14"/>
          <w:color w:val="auto"/>
        </w:rPr>
        <w:t>Together these strategies allowed Coca-Cola FEMSA to defend its pricing structure and produced an increase in average revenue per unit case of 2.1% in 2002 compared to 2001. The reduction in total revenue was limited to 8.2%.</w:t>
      </w:r>
    </w:p>
    <w:p>
      <w:pPr>
        <w:spacing w:after="0" w:line="15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Gross Profit</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Coca-Cola FEMSA's cost of sales increased by 5.1% to Ps. 8.130 billion in 2002 from Ps. 7.738 billion in 2001, and its gross profit increased by 5.5% to Ps. 9.490 billion from Ps. 8.992 billion in 2001. Gross margin expanded by 20 basis points to 54.3% in 2002. Coca-Cola FEMSA's Mexican operations experienced a gross margin expansion of 90 basis points for the full year 2002, resulting mainly from solid revenue growth characterized by greater fixed cost absorption as a result of growth in volumes. The Buenos Aires operation's gross margin dropped 990 basis points to 36.0% of net sales for the full year 2002, due to lower absorption of fixed costs as a result of lower volumes, higher prices of raw materials and a larger depreciation charge in Argentina in connection with the reevaluation of fixed assets of foreign origin, as a consequence of the devaluation of the Argentine peso.</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82</w:t>
      </w:r>
    </w:p>
    <w:p>
      <w:pPr>
        <w:sectPr>
          <w:pgSz w:w="11900" w:h="16838" w:orient="portrait"/>
          <w:cols w:equalWidth="0" w:num="1">
            <w:col w:w="10239"/>
          </w:cols>
          <w:pgMar w:left="220" w:top="624" w:right="1440" w:bottom="1440" w:gutter="0" w:footer="0" w:header="0"/>
        </w:sectPr>
      </w:pPr>
    </w:p>
    <w:bookmarkStart w:id="89" w:name="page90"/>
    <w:bookmarkEnd w:id="89"/>
    <w:p>
      <w:pPr>
        <w:ind w:left="440"/>
        <w:spacing w:after="0"/>
        <w:rPr>
          <w:sz w:val="20"/>
          <w:szCs w:val="20"/>
          <w:color w:val="auto"/>
        </w:rPr>
      </w:pPr>
      <w:r>
        <w:rPr>
          <w:rFonts w:ascii="Courier New" w:cs="Courier New" w:eastAsia="Courier New" w:hAnsi="Courier New"/>
          <w:sz w:val="15"/>
          <w:szCs w:val="15"/>
          <w:color w:val="auto"/>
        </w:rPr>
        <w:t>Income from Operations</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Operating expenses for 2002 decreased by 0.1% to Ps. 5.013 billion. As a percentage of total revenues, operating expenses decreased 160 basis points to 28.4% in 2002. Administrative expenses in Mexico remained flat as a proportion of total revenues when compared to 2001; in absolute terms, they increased 7.9% mainly reflecting investments in preparation for a large acquisition, such as systems upgrades, administrative consultants and reinforcing managerial staff.</w:t>
      </w:r>
    </w:p>
    <w:p>
      <w:pPr>
        <w:spacing w:after="0" w:line="166"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Administrative expenses for the Buenos Aires Territory grew 17.6% relative to 2001, due mainly to higher depreciation in local currency in connection with a reevaluation of our foreign currency-denominated assets.</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Selling expenses for Coca-Cola FEMSA in Mexico increased by 0.2% in 2002, which represents a reduction of 130 basis points relative to total revenues, reflecting improvements in operations in Mexico. Selling expenses also decreased in the Buenos Aires Territories in 2002, as a result of lower marketing expenses and headcount reduction combined with adjusted salaries.</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Goodwill amortization for 2002 was Ps. 37.3 million, compared to Ps. 100.7 million for 2001, reflecting impairment in the goodwill as a result of the difficult economic situation in Argentina. In July 2002 Coca-Cola FEMSA recorded an impairment of Aps.139 million (US$37 million) in the value of its Buenos Aires investment, valuing its Argentine operation at Aps.289 million (US$86 million). Currently, under Mexican GAAP, goodwill is amortized gradually in the income statement through a straight-line method for a 20-year period. Coca-Cola FEMSA's income from operations after amortization of goodwill increased by 14.6% to Ps. 4.440 billion in 2002 from Ps. 3.873 billion in 2001, reflecting the net effect of the following:</w:t>
      </w:r>
    </w:p>
    <w:p>
      <w:pPr>
        <w:spacing w:after="0" w:line="179" w:lineRule="exact"/>
        <w:rPr>
          <w:sz w:val="20"/>
          <w:szCs w:val="20"/>
          <w:color w:val="auto"/>
        </w:rPr>
      </w:pPr>
    </w:p>
    <w:p>
      <w:pPr>
        <w:ind w:left="440" w:right="3059" w:hanging="430"/>
        <w:spacing w:after="0" w:line="234" w:lineRule="auto"/>
        <w:tabs>
          <w:tab w:leader="none" w:pos="178"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increase of 15.5% in income from operations of Coca-Cola FEMSA's Mexican operations; and</w:t>
      </w:r>
    </w:p>
    <w:p>
      <w:pPr>
        <w:spacing w:after="0" w:line="173" w:lineRule="exact"/>
        <w:rPr>
          <w:rFonts w:ascii="Courier New" w:cs="Courier New" w:eastAsia="Courier New" w:hAnsi="Courier New"/>
          <w:sz w:val="15"/>
          <w:szCs w:val="15"/>
          <w:color w:val="auto"/>
        </w:rPr>
      </w:pPr>
    </w:p>
    <w:p>
      <w:pPr>
        <w:ind w:left="440" w:right="3059" w:hanging="430"/>
        <w:spacing w:after="0" w:line="234" w:lineRule="auto"/>
        <w:tabs>
          <w:tab w:leader="none" w:pos="178"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decline of 66.8% in income from operations of Coca-Cola FEMSA's Argentine operations.</w:t>
      </w:r>
    </w:p>
    <w:p>
      <w:pPr>
        <w:spacing w:after="0" w:line="173"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Coca-Cola FEMSA's operating margin increased by 200 basis points to 25.2% of total revenues in 2002 from 23.2% of total revenues in 2001.</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FEMSA Comercio</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Total Revenues</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FEMSA Comercio's total revenues increased by 18.7% in 2002 to Ps. 12.740 billion from Ps. 10.732 billion in 2001. The increase of total revenues of FEMSA Comercio was mainly a result of the aggressive expansion of the Oxxo convenience store chain, which added 437 net new stores during the year. We believe that the strong revenue growth rate of the Oxxo chain is primarily attributable to:</w:t>
      </w:r>
    </w:p>
    <w:p>
      <w:pPr>
        <w:spacing w:after="0" w:line="157" w:lineRule="exact"/>
        <w:rPr>
          <w:sz w:val="20"/>
          <w:szCs w:val="20"/>
          <w:color w:val="auto"/>
        </w:rPr>
      </w:pPr>
    </w:p>
    <w:p>
      <w:pPr>
        <w:ind w:left="180" w:hanging="170"/>
        <w:spacing w:after="0"/>
        <w:tabs>
          <w:tab w:leader="none" w:pos="18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site scouting capabilities;</w:t>
      </w:r>
    </w:p>
    <w:p>
      <w:pPr>
        <w:spacing w:after="0" w:line="166"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nationwide presence;</w:t>
      </w:r>
    </w:p>
    <w:p>
      <w:pPr>
        <w:spacing w:after="0" w:line="172" w:lineRule="exact"/>
        <w:rPr>
          <w:rFonts w:ascii="Courier New" w:cs="Courier New" w:eastAsia="Courier New" w:hAnsi="Courier New"/>
          <w:sz w:val="15"/>
          <w:szCs w:val="15"/>
          <w:color w:val="auto"/>
        </w:rPr>
      </w:pPr>
    </w:p>
    <w:p>
      <w:pPr>
        <w:ind w:left="440" w:right="3319" w:hanging="430"/>
        <w:spacing w:after="0" w:line="234" w:lineRule="auto"/>
        <w:tabs>
          <w:tab w:leader="none" w:pos="178"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-efficient store setup model, including the "store commissioner" business model; and</w:t>
      </w:r>
    </w:p>
    <w:p>
      <w:pPr>
        <w:spacing w:after="0" w:line="166"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aggressive expansion and saturation business plan.</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Oxxo chain brought the total number of stores up to 2,216 by year-end 2002. As the chain grows, we have discovered new market opportunities in urban centers with high pedestrian traffic, such as hospitals and convention centers, and are increasingly exploiting the convenience store/gasoline station format. Same-store sales increased by 2.5% with respect to 2001. Same-store sales in our</w:t>
      </w:r>
    </w:p>
    <w:p>
      <w:pPr>
        <w:spacing w:after="0" w:line="233" w:lineRule="auto"/>
        <w:rPr>
          <w:sz w:val="20"/>
          <w:szCs w:val="20"/>
          <w:color w:val="auto"/>
        </w:rPr>
      </w:pPr>
      <w:r>
        <w:rPr>
          <w:rFonts w:ascii="Courier New" w:cs="Courier New" w:eastAsia="Courier New" w:hAnsi="Courier New"/>
          <w:sz w:val="15"/>
          <w:szCs w:val="15"/>
          <w:color w:val="auto"/>
        </w:rPr>
        <w:t>northwestern markets--which have the highest border town</w:t>
      </w:r>
    </w:p>
    <w:p>
      <w:pPr>
        <w:spacing w:after="0" w:line="237" w:lineRule="auto"/>
        <w:rPr>
          <w:sz w:val="20"/>
          <w:szCs w:val="20"/>
          <w:color w:val="auto"/>
        </w:rPr>
      </w:pPr>
      <w:r>
        <w:rPr>
          <w:rFonts w:ascii="Courier New" w:cs="Courier New" w:eastAsia="Courier New" w:hAnsi="Courier New"/>
          <w:sz w:val="15"/>
          <w:szCs w:val="15"/>
          <w:color w:val="auto"/>
        </w:rPr>
        <w:t>concentration--performed weakly in 2002. In contrast, the central and southern</w:t>
      </w:r>
    </w:p>
    <w:p>
      <w:pPr>
        <w:spacing w:after="0" w:line="238" w:lineRule="auto"/>
        <w:rPr>
          <w:sz w:val="20"/>
          <w:szCs w:val="20"/>
          <w:color w:val="auto"/>
        </w:rPr>
      </w:pPr>
      <w:r>
        <w:rPr>
          <w:rFonts w:ascii="Courier New" w:cs="Courier New" w:eastAsia="Courier New" w:hAnsi="Courier New"/>
          <w:sz w:val="15"/>
          <w:szCs w:val="15"/>
          <w:color w:val="auto"/>
        </w:rPr>
        <w:t>regions of the country have experienced significant same-stores sales growth</w:t>
      </w:r>
    </w:p>
    <w:p>
      <w:pPr>
        <w:spacing w:after="0" w:line="237" w:lineRule="auto"/>
        <w:rPr>
          <w:sz w:val="20"/>
          <w:szCs w:val="20"/>
          <w:color w:val="auto"/>
        </w:rPr>
      </w:pPr>
      <w:r>
        <w:rPr>
          <w:rFonts w:ascii="Courier New" w:cs="Courier New" w:eastAsia="Courier New" w:hAnsi="Courier New"/>
          <w:sz w:val="15"/>
          <w:szCs w:val="15"/>
          <w:color w:val="auto"/>
        </w:rPr>
        <w:t>during 2002. Growth in the northwest was affected by:</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83</w:t>
      </w:r>
    </w:p>
    <w:p>
      <w:pPr>
        <w:sectPr>
          <w:pgSz w:w="11900" w:h="16838" w:orient="portrait"/>
          <w:cols w:equalWidth="0" w:num="1">
            <w:col w:w="10239"/>
          </w:cols>
          <w:pgMar w:left="220" w:top="617" w:right="1440" w:bottom="1440" w:gutter="0" w:footer="0" w:header="0"/>
        </w:sectPr>
      </w:pPr>
    </w:p>
    <w:bookmarkStart w:id="90" w:name="page91"/>
    <w:bookmarkEnd w:id="90"/>
    <w:p>
      <w:pPr>
        <w:ind w:left="180" w:hanging="170"/>
        <w:spacing w:after="0"/>
        <w:tabs>
          <w:tab w:leader="none" w:pos="18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economic sluggishness characterized by high rates of unemployment;</w:t>
      </w:r>
    </w:p>
    <w:p>
      <w:pPr>
        <w:spacing w:after="0" w:line="166"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the strength of the peso during the first semester of 2002 which induced</w:t>
      </w:r>
    </w:p>
    <w:p>
      <w:pPr>
        <w:ind w:left="4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consumers to purchase sundries across the border in U.S. territory; and</w:t>
      </w:r>
    </w:p>
    <w:p>
      <w:pPr>
        <w:spacing w:after="0" w:line="173" w:lineRule="exact"/>
        <w:rPr>
          <w:rFonts w:ascii="Courier New" w:cs="Courier New" w:eastAsia="Courier New" w:hAnsi="Courier New"/>
          <w:sz w:val="15"/>
          <w:szCs w:val="15"/>
          <w:color w:val="auto"/>
        </w:rPr>
      </w:pPr>
    </w:p>
    <w:p>
      <w:pPr>
        <w:ind w:left="440" w:right="3399" w:hanging="430"/>
        <w:spacing w:after="0" w:line="235" w:lineRule="auto"/>
        <w:tabs>
          <w:tab w:leader="none" w:pos="178"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-high differentials in the price of gasoline between Mexico and the U.S. that caused Mexicans to buy gasoline and therefore convenience store products in the U.S. (Mexico being materially more expensive until corrective measures were taken in major border towns in December 2002).</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Average monthly traffic per store (within the same-store sample)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increased by 2.1% and the average sale per customer increased by 0.3% during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full year 2002. We believe that these increases are mainly attributable to:</w:t>
      </w:r>
    </w:p>
    <w:p>
      <w:pPr>
        <w:spacing w:after="0" w:line="173" w:lineRule="exact"/>
        <w:rPr>
          <w:sz w:val="20"/>
          <w:szCs w:val="20"/>
          <w:color w:val="auto"/>
        </w:rPr>
      </w:pPr>
    </w:p>
    <w:p>
      <w:pPr>
        <w:ind w:left="440" w:right="3579" w:hanging="430"/>
        <w:spacing w:after="0" w:line="234" w:lineRule="auto"/>
        <w:tabs>
          <w:tab w:leader="none" w:pos="178"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-FEMSA Comercio's strategy of competitively pricing traffic-generating products;</w:t>
      </w:r>
    </w:p>
    <w:p>
      <w:pPr>
        <w:spacing w:after="0" w:line="173" w:lineRule="exact"/>
        <w:rPr>
          <w:rFonts w:ascii="Courier New" w:cs="Courier New" w:eastAsia="Courier New" w:hAnsi="Courier New"/>
          <w:sz w:val="15"/>
          <w:szCs w:val="15"/>
          <w:color w:val="auto"/>
        </w:rPr>
      </w:pPr>
    </w:p>
    <w:p>
      <w:pPr>
        <w:ind w:left="440" w:right="3239" w:hanging="430"/>
        <w:spacing w:after="0" w:line="234" w:lineRule="auto"/>
        <w:tabs>
          <w:tab w:leader="none" w:pos="178"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-improvement in the value proposition to Oxxo's customers, including cross promotions, product introductions, and store enhancements; and</w:t>
      </w:r>
    </w:p>
    <w:p>
      <w:pPr>
        <w:spacing w:after="0" w:line="173" w:lineRule="exact"/>
        <w:rPr>
          <w:rFonts w:ascii="Courier New" w:cs="Courier New" w:eastAsia="Courier New" w:hAnsi="Courier New"/>
          <w:sz w:val="15"/>
          <w:szCs w:val="15"/>
          <w:color w:val="auto"/>
        </w:rPr>
      </w:pPr>
    </w:p>
    <w:p>
      <w:pPr>
        <w:ind w:left="440" w:right="3319" w:hanging="430"/>
        <w:spacing w:after="0" w:line="234" w:lineRule="auto"/>
        <w:tabs>
          <w:tab w:leader="none" w:pos="178"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-Oxxo becoming a reliable payment center where our customers can pay most home utilities in one stop.</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Gross Profit</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FEMSA Comercio recorded gross profit of Ps. 3.373 billion for the full year 2002, a 22.4% gain over the Ps. 2.756 billion recorded in 2001. Gross margin improved 80 basis points to 26.5% of net sales, as compared to 25.7% for 2001, as the additional scale has also allowed us to establish strategic alliances with some of our suppliers and thereby reduce costs. In addition, our successful category management execution and our growing ability to work jointly with our supplier partners to design differentiated assortment, pricing and promotions have contributed to gross margin expansion.</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Income from Operations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Operating expenses increased by 18.7% to Ps. 2.791 billion in 2002 from Ps.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2.352 billion in 2001 and remained flat as a percentage of total revenues at</w:t>
      </w:r>
    </w:p>
    <w:p>
      <w:pPr>
        <w:spacing w:after="0" w:line="5"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21.9% in both 2002 and 2001. Administrative expenses increased by only 5.4% to Ps. 244 million, as the increased costs associated with expansion were mitigated by higher absorption of fixed administrative costs as more stores were opened in cities where there is already an Oxxo administrative infrastructure. Selling expenses increased 20.1% to Ps. 2.546 billion, slightly above total revenue growth, reflecting higher expenditures associated with the infrastructure required to manage the expansion of the chain. FEMSA Comercio recorded income from operations, before deduction of management fees, of Ps. 583 million in 2002, an increase of 44.3% from the Ps. 404 million recorded in 2001. FEMSA Comercio's operating margin before management fees grew 80 basis points to 4.6% of total revenues in 2002 from 3.8% in 2001. In 2002, management fees amounted to Ps. 95.7 million or 0.8% of total revenues compared to Ps. 106.3 million or 1.0% of total revenues in 2001. FEMSA Comercio's operating margin after deduction of management fees increased by 100 basis points to 3.8% of total revenues in 2002.</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FEMSA Empaques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Total Revenues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FEMSA Empaques' total revenues increased 0.3% to Ps. 6.599 billion in 2002 from Ps. 6.577 billion in 2001, which was mainly attributable to a surge in demand in beverage cans and glass bottles coupled with the favorable effect of the weaker Peso on our U.S. Dollar revenues in the second half of the year. These increases offset slower demand for our packaging products in the first six months of 2002. For the full year, average capacity utilization was close to full in all of our main product lines.</w:t>
      </w:r>
    </w:p>
    <w:p>
      <w:pPr>
        <w:spacing w:after="0" w:line="17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Beverage can volumes reversed the weakness observed during 2001 by posting a growth of 6.8% in sales volume to 3.000 billion can units in 2002. In the second half of the year, the beverage can unit experienced increased demand from its main commercial partners domestically and abroad: FEMSA Cerveza, Coca-Cola FEMSA and Ball. We met this demand by reducing our sales to smaller domestic third party clients. Average real prices for beverage cans, which are quoted in U.S. Dollars, decreased by approximately 0.6%, following a multi-year trend of convergence with international prices for these products.</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84</w:t>
      </w:r>
    </w:p>
    <w:p>
      <w:pPr>
        <w:sectPr>
          <w:pgSz w:w="11900" w:h="16838" w:orient="portrait"/>
          <w:cols w:equalWidth="0" w:num="1">
            <w:col w:w="10239"/>
          </w:cols>
          <w:pgMar w:left="220" w:top="785" w:right="1440" w:bottom="1440" w:gutter="0" w:footer="0" w:header="0"/>
        </w:sectPr>
      </w:pPr>
    </w:p>
    <w:bookmarkStart w:id="91" w:name="page92"/>
    <w:bookmarkEnd w:id="91"/>
    <w:p>
      <w:pPr>
        <w:ind w:right="3239" w:firstLine="437"/>
        <w:spacing w:after="0" w:line="255" w:lineRule="auto"/>
        <w:rPr>
          <w:sz w:val="20"/>
          <w:szCs w:val="20"/>
          <w:color w:val="auto"/>
        </w:rPr>
      </w:pPr>
      <w:r>
        <w:rPr>
          <w:rFonts w:ascii="Courier New" w:cs="Courier New" w:eastAsia="Courier New" w:hAnsi="Courier New"/>
          <w:sz w:val="14"/>
          <w:szCs w:val="14"/>
          <w:color w:val="auto"/>
        </w:rPr>
        <w:t>Glass bottle volumes grew a solid 8.4% to 1.053 billion bottle units in 2002, while peso-denominated prices decreased 1.4%. FEMSA Empaques has encountered very high demand for its glass products domestically, since there is currently almost no excess capacity in the industry. Coca-Cola FEMSA purchased a larger number of 8 oz non-returnable glass Coca-Cola contour bottles. Supply of internal clients rose from 68.4% in 2001 to 89.2% in 2002. FEMSA Empaques commenced an inventory buildup during the fourth quarter of 2002 in preparation for the scheduled replacement of one of its glass furnaces in the first quarter of 2003, which involved approximately 85 days of inactivity.</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Sales volumes for crown caps increased 1.8% in 2002 despite the decline in demand for crown caps in the domestic market, reflecting FEMSA Empaques' success in the export markets, particularly in the North American market, where FEMSA Empaques is a major crown cap supplier for Labatt, Miller Brewing Company and Coors Brewing Company. FEMSA Empaques increased its crown cap export ratio from 51% in 2001 to a record 55% in 2002.</w:t>
      </w:r>
    </w:p>
    <w:p>
      <w:pPr>
        <w:spacing w:after="0" w:line="175"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Export revenues increased by 12.2% to Ps. 720 million and represented 10.9% of net sales in 2002. In U.S. Dollar terms, export revenues increased by 12.4% to US$71.7 million. Intercompany sales accounted for 58.3% of FEMSA Empaques' total revenues in 2002, compared to 56.4% for the same period last year. These intercompany sales are eliminated in our consolidated income statement.</w:t>
      </w:r>
    </w:p>
    <w:p>
      <w:pPr>
        <w:spacing w:after="0" w:line="15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Gross Profit</w:t>
      </w:r>
    </w:p>
    <w:p>
      <w:pPr>
        <w:spacing w:after="0" w:line="173" w:lineRule="exact"/>
        <w:rPr>
          <w:sz w:val="20"/>
          <w:szCs w:val="20"/>
          <w:color w:val="auto"/>
        </w:rPr>
      </w:pPr>
    </w:p>
    <w:p>
      <w:pPr>
        <w:ind w:right="3579" w:firstLine="437"/>
        <w:spacing w:after="0" w:line="261" w:lineRule="auto"/>
        <w:rPr>
          <w:sz w:val="20"/>
          <w:szCs w:val="20"/>
          <w:color w:val="auto"/>
        </w:rPr>
      </w:pPr>
      <w:r>
        <w:rPr>
          <w:rFonts w:ascii="Courier New" w:cs="Courier New" w:eastAsia="Courier New" w:hAnsi="Courier New"/>
          <w:sz w:val="14"/>
          <w:szCs w:val="14"/>
          <w:color w:val="auto"/>
        </w:rPr>
        <w:t>FEMSA Empaques' cost of sales decreased by 1.2% to Ps. 4.994 billion in 2002 from Ps. 5.057 billion in 2001, mainly due to the following factors:</w:t>
      </w:r>
    </w:p>
    <w:p>
      <w:pPr>
        <w:spacing w:after="0" w:line="160" w:lineRule="exact"/>
        <w:rPr>
          <w:sz w:val="20"/>
          <w:szCs w:val="20"/>
          <w:color w:val="auto"/>
        </w:rPr>
      </w:pPr>
    </w:p>
    <w:p>
      <w:pPr>
        <w:ind w:left="440" w:right="3499" w:hanging="430"/>
        <w:spacing w:after="0" w:line="234" w:lineRule="auto"/>
        <w:tabs>
          <w:tab w:leader="none" w:pos="178"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-efficiencies achieved in the manufacturing lines that resulted in less spoilage and lower headcount;</w:t>
      </w:r>
    </w:p>
    <w:p>
      <w:pPr>
        <w:spacing w:after="0" w:line="166"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consistency in the average contracted price of steel sheets; and</w:t>
      </w:r>
    </w:p>
    <w:p>
      <w:pPr>
        <w:spacing w:after="0" w:line="172" w:lineRule="exact"/>
        <w:rPr>
          <w:rFonts w:ascii="Courier New" w:cs="Courier New" w:eastAsia="Courier New" w:hAnsi="Courier New"/>
          <w:sz w:val="15"/>
          <w:szCs w:val="15"/>
          <w:color w:val="auto"/>
        </w:rPr>
      </w:pPr>
    </w:p>
    <w:p>
      <w:pPr>
        <w:ind w:left="440" w:right="3319" w:hanging="430"/>
        <w:spacing w:after="0" w:line="234" w:lineRule="auto"/>
        <w:tabs>
          <w:tab w:leader="none" w:pos="178"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-slight declines in the average price for bulk aluminum and ancillary raw materials.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Gross profit increased by 5.6% to Ps. 1.605 billion in 2002 from Ps. 1.520 billion in 2001, resulting in a gross margin expansion of 130 basis points to 24.4% of net sales in 2002, as compared to 23.1% in 2001. Improvement in gross profit is closely related to exchange rate fluctuations: as the peso depreciated against the dollar towards the end of the year, dollar denominated income for metallic products increased at a faster rate than costs, which have significant peso-denominated components. FEMSA Empaques is gradually recovering its long-term gross margin level, which has reached as high as 24.4% in the last five years, by means of implementing high productivity measures in the manufacturing plants such as the elimination of line personnel and middle management and application of ERP systems.</w:t>
      </w:r>
    </w:p>
    <w:p>
      <w:pPr>
        <w:spacing w:after="0" w:line="32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Income from Operations</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Operating expenses increased by 6.5% to Ps. 600 million in 2002 from Ps. 564 million in 2001 and increased only 50 basis points as a percentage of total revenues to 9.1% in 2002. For the full year 2002, FEMSA Empaques recorded parallel increases in selling expenses and administrative expenses of 7.0% and 5.5% respectively. The increase in selling expenses is mainly attributable to higher shipment costs. The increase in administrative expenses is mainly attributable to the one-time implementation costs of ERP modules in Famosa.</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Income from operations before deduction of management fees increased by 5.0% to Ps. 1.005 billion in 2002 from Ps. 957 million for 2001, primarily reflecting the growth in gross profit. FEMSA Empaques recorded an operating margin before deduction of management fees of 15.2% in 2002, compared to a 14.5% margin recorded in 2001. In 2002, management fees amounted to Ps. 99 million, or 1.5% of total revenues, compared to Ps. 101 million recorded in 2001, also 1.5% of total revenues. FEMSA Empaques' operating margin after deduction of management fees was 13.7% in 2002 compared to 13.0% in 2001. Operating margin was significantly affected in the first quarter of 2002, under a considerably strong peso scenario, but rebounded to record levels in the second and third quarters, as the peso depreciated.</w:t>
      </w:r>
    </w:p>
    <w:p>
      <w:pPr>
        <w:spacing w:after="0" w:line="3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85</w:t>
      </w:r>
    </w:p>
    <w:p>
      <w:pPr>
        <w:sectPr>
          <w:pgSz w:w="11900" w:h="16838" w:orient="portrait"/>
          <w:cols w:equalWidth="0" w:num="1">
            <w:col w:w="10239"/>
          </w:cols>
          <w:pgMar w:left="220" w:top="624" w:right="1440" w:bottom="1440" w:gutter="0" w:footer="0" w:header="0"/>
        </w:sectPr>
      </w:pPr>
    </w:p>
    <w:bookmarkStart w:id="92" w:name="page93"/>
    <w:bookmarkEnd w:id="92"/>
    <w:p>
      <w:pPr>
        <w:spacing w:after="0"/>
        <w:rPr>
          <w:sz w:val="20"/>
          <w:szCs w:val="20"/>
          <w:color w:val="auto"/>
        </w:rPr>
      </w:pPr>
      <w:r>
        <w:rPr>
          <w:rFonts w:ascii="Courier New" w:cs="Courier New" w:eastAsia="Courier New" w:hAnsi="Courier New"/>
          <w:sz w:val="15"/>
          <w:szCs w:val="15"/>
          <w:color w:val="auto"/>
        </w:rPr>
        <w:t>Logistica</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For the year ended December 31, 2002, Logistica recorded total revenues of Ps. 1.458 billion, a decline of 5.4% compared to Ps. 1.540 billion recorded in 2001, and generated Ps. 209 million in gross profit and Ps. 119 million in operating profit (which excludes operating expenses in connection with e-commerce projects). As of December 31, 2002 Logistica mainly provided services to affiliates, as a result of which approximately 83% of Logistica's revenues were eliminated in our consolidated financial statements. FEMSA Cerveza, Coca-Cola FEMSA and FEMSA Empaques accounted for approximately 56%, 15% and 12% of Logistica's revenues, respectively, in 2002.</w:t>
      </w:r>
    </w:p>
    <w:p>
      <w:pPr>
        <w:spacing w:after="0" w:line="178"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As of January 1, 2003, FEMSA's 70%-owned subsidiary Logistica CCM, which had been consolidated in the results of Logistica, was merged into FEMSA Cerveza. See "Item 4. Information on the Company--Logistica."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FEMSA Consolidated--Net Income</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Our consolidated net income decreased by 7.4% to Ps. 4.613 billion in 2002, from Ps. 4.980 billion recorded in 2001. The decrease in net income recorded for the full year 2002 resulted from the net effect of:</w:t>
      </w:r>
    </w:p>
    <w:p>
      <w:pPr>
        <w:spacing w:after="0" w:line="167" w:lineRule="exact"/>
        <w:rPr>
          <w:sz w:val="20"/>
          <w:szCs w:val="20"/>
          <w:color w:val="auto"/>
        </w:rPr>
      </w:pPr>
    </w:p>
    <w:p>
      <w:pPr>
        <w:ind w:left="180" w:hanging="170"/>
        <w:spacing w:after="0"/>
        <w:tabs>
          <w:tab w:leader="none" w:pos="18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an 11.2% increase in consolidated income from operations;</w:t>
      </w:r>
    </w:p>
    <w:p>
      <w:pPr>
        <w:spacing w:after="0" w:line="172" w:lineRule="exact"/>
        <w:rPr>
          <w:rFonts w:ascii="Courier New" w:cs="Courier New" w:eastAsia="Courier New" w:hAnsi="Courier New"/>
          <w:sz w:val="15"/>
          <w:szCs w:val="15"/>
          <w:color w:val="auto"/>
        </w:rPr>
      </w:pPr>
    </w:p>
    <w:p>
      <w:pPr>
        <w:ind w:left="440" w:right="3319" w:hanging="430"/>
        <w:spacing w:after="0" w:line="234" w:lineRule="auto"/>
        <w:tabs>
          <w:tab w:leader="none" w:pos="178"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write off of a portion of our goodwill related to the acquisition of Coca-Cola FEMSA Buenos Aires;</w:t>
      </w:r>
    </w:p>
    <w:p>
      <w:pPr>
        <w:spacing w:after="0" w:line="173" w:lineRule="exact"/>
        <w:rPr>
          <w:rFonts w:ascii="Courier New" w:cs="Courier New" w:eastAsia="Courier New" w:hAnsi="Courier New"/>
          <w:sz w:val="15"/>
          <w:szCs w:val="15"/>
          <w:color w:val="auto"/>
        </w:rPr>
      </w:pPr>
    </w:p>
    <w:p>
      <w:pPr>
        <w:ind w:left="440" w:right="3319" w:hanging="430"/>
        <w:spacing w:after="0" w:line="235" w:lineRule="auto"/>
        <w:tabs>
          <w:tab w:leader="none" w:pos="178"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significant increase in the consolidated integral result of financing loss, primarily in connection with the devaluation of the peso against the dollar in the second half of the year; and</w:t>
      </w:r>
    </w:p>
    <w:p>
      <w:pPr>
        <w:spacing w:after="0" w:line="167"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a larger tax provision.</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Goodwill</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view of the continued deterioration and uncertainty in the Argentine economic conditions, we decided to take a more conservative approach in the valuation of the goodwill related to our investments in that country. Therefore, in the third quarter we wrote down Aps.139 million (US$ 37 million) related to the acquisition of the territories of Coca-Cola FEMSA Buenos Aires. In view of the prevailing volatility of the Argentine currency, we also decided to take a conservative approach and stop considering our investment in Coca-Cola FEMSA Buenos Aires as a hedge for the dollar-denominated liabilities incurred in connection to this acquisition, thereby affecting the integral cost of financing for 2002 in the foreign exchange and monetary position calculations. These adjustments were non-cash.</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Integral Cost of Financing</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the twelve months ended December 31, 2002, we recorded a consolidated integral cost of financing of Ps. 396 million, compared to a consolidated integral cost of financing of Ps. 282 million for the comparable period in 2001. In 2002, consolidated net financial expense decreased by 2.5% to Ps. 460 million as compared to Ps. 472 million in 2001. Consolidated interest expense decreased by 4.4% to Ps. 906 million compared to 2001, mainly attributable to lower average real rates for our liabilities, although our average gross liabilities increased by 3.4% in 2002 and the dollar portion was subsequently affected by the devaluation of the peso against the dollar that occurred in the second half of the year. This was partially compensated by the reduction in consolidated interest income, which decreased by 6.3% to Ps. 446 million reflecting the net effect of lower interest rates earned on our investments relative to the year 2001 and a larger average cash position in pesos. As of December 31, 2002, our weighted average cost of debt was 6.9%, approximately 90 basis points lower than the weighted average cost of debt as of December 31, 2001.</w:t>
      </w:r>
    </w:p>
    <w:p>
      <w:pPr>
        <w:spacing w:after="0" w:line="163"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For the year 2002, we recorded a consolidated foreign exchange loss of Ps. 325 million compared to a foreign exchange gain of Ps. 230 million for the year 2001, primarily reflecting:</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86</w:t>
      </w:r>
    </w:p>
    <w:p>
      <w:pPr>
        <w:sectPr>
          <w:pgSz w:w="11900" w:h="16838" w:orient="portrait"/>
          <w:cols w:equalWidth="0" w:num="1">
            <w:col w:w="10239"/>
          </w:cols>
          <w:pgMar w:left="220" w:top="617" w:right="1440" w:bottom="1440" w:gutter="0" w:footer="0" w:header="0"/>
        </w:sectPr>
      </w:pPr>
    </w:p>
    <w:bookmarkStart w:id="93" w:name="page94"/>
    <w:bookmarkEnd w:id="93"/>
    <w:p>
      <w:pPr>
        <w:ind w:left="440" w:right="3239" w:hanging="430"/>
        <w:spacing w:after="0" w:line="235" w:lineRule="auto"/>
        <w:tabs>
          <w:tab w:leader="none" w:pos="178"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 of the depreciation of the Peso against the U.S. dollar, which totaled Ps. 1.28 per dollar in the year, on our net dollar liabilities in Mexico, compared to an appreciation of Ps. 43 cents on higher net dollar liabilities observed in 2001; and</w:t>
      </w:r>
    </w:p>
    <w:p>
      <w:pPr>
        <w:spacing w:after="0" w:line="175" w:lineRule="exact"/>
        <w:rPr>
          <w:rFonts w:ascii="Courier New" w:cs="Courier New" w:eastAsia="Courier New" w:hAnsi="Courier New"/>
          <w:sz w:val="15"/>
          <w:szCs w:val="15"/>
          <w:color w:val="auto"/>
        </w:rPr>
      </w:pPr>
    </w:p>
    <w:p>
      <w:pPr>
        <w:ind w:left="440" w:right="3239" w:hanging="430"/>
        <w:spacing w:after="0" w:line="235" w:lineRule="auto"/>
        <w:tabs>
          <w:tab w:leader="none" w:pos="178"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depreciation of the Argentine peso against the U.S. dollar on our net dollar assets in Argentina, which had a positive effect on the foreign exchange variation during 2002.</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gain on monetary position for the year 2002 amounted to Ps. 389 million, compared to a loss of Ps. 40 million in 2001. This gain was mainly generated as a result of the inflation rate for the twelve months in Argentina over the debt incurred in connection with the acquisition of Coca-Cola FEMSA Buenos Aires. The Argentine inflation rate for 2002 was 41.2%. It should be noted that the Argentine goodwill impairment, as explained above, had an impact on the foreign exchange variation and monetary position lines.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Other Expenses (Income)</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Our consolidated other expenses for the year 2002 amounted to Ps. 858 million, consisting mainly of the aforementioned impairment of a portion of the goodwill on our investments in Argentina charged in the third quarter, plus severance payments and asset write-offs.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Income Tax, Tax on Assets, and Employee Profit Sharing</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Our consolidated income before income tax, tax on assets and employee profit sharing increased by 3.6% to Ps. 8.237 billion in 2002 from Ps. 7.954 billion in 2001, primarily reflecting a larger consolidated integral result of financing loss. We recognized consolidated income tax, tax on assets and employee profit sharing of Ps. 3.624 billion in 2002, an increase of 23.1% over the Ps. 2.945 billion in 2001. This increase was primarily a consequence of an increase of 19.6% in our income tax, largely resulting from a deferred tax benefit realized in 2001 as a result of a reduction in the Mexican statutory income tax rate, the increase in non-deductible expenses generated in the course of business and the impairment to the goodwill generated by the acquisition of Coca-Cola FEMSA Buenos Aires. The combined effective tax rate for 2002 was 44.0%.</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Net Income</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Our consolidated net income decreased by 7.4% amounting to Ps. 4.613 billion for 2002 compared with Ps. 4.980 billion recorded in 2001, combining the improvement in consolidated income from operations, the goodwill write-off, an increase in the consolidated integral result of financing loss, and a larger tax provision. Consolidated net majority income amounted to Ps. 2.837 billion for 2001, a reduction of 16.4% as compared with Ps. 3.393 billion recorded in 2001. Net majority income per FEMSA Unit amounted to Ps. 2.678 in 2002, compared with Ps. 3.203 for last year.</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87</w:t>
      </w:r>
    </w:p>
    <w:p>
      <w:pPr>
        <w:sectPr>
          <w:pgSz w:w="11900" w:h="16838" w:orient="portrait"/>
          <w:cols w:equalWidth="0" w:num="1">
            <w:col w:w="10239"/>
          </w:cols>
          <w:pgMar w:left="220" w:top="623" w:right="1440" w:bottom="1440" w:gutter="0" w:footer="0" w:header="0"/>
        </w:sectPr>
      </w:pPr>
    </w:p>
    <w:bookmarkStart w:id="94" w:name="page95"/>
    <w:bookmarkEnd w:id="94"/>
    <w:p>
      <w:pPr>
        <w:jc w:val="center"/>
        <w:ind w:right="3239"/>
        <w:spacing w:after="0"/>
        <w:rPr>
          <w:sz w:val="20"/>
          <w:szCs w:val="20"/>
          <w:color w:val="auto"/>
        </w:rPr>
      </w:pPr>
      <w:r>
        <w:rPr>
          <w:rFonts w:ascii="Courier New" w:cs="Courier New" w:eastAsia="Courier New" w:hAnsi="Courier New"/>
          <w:sz w:val="15"/>
          <w:szCs w:val="15"/>
          <w:color w:val="auto"/>
        </w:rPr>
        <w:t>Results of Operations for the Year Ended December 31, 2001</w:t>
      </w:r>
    </w:p>
    <w:p>
      <w:pPr>
        <w:jc w:val="center"/>
        <w:ind w:right="3239"/>
        <w:spacing w:after="0" w:line="237" w:lineRule="auto"/>
        <w:rPr>
          <w:sz w:val="20"/>
          <w:szCs w:val="20"/>
          <w:color w:val="auto"/>
        </w:rPr>
      </w:pPr>
      <w:r>
        <w:rPr>
          <w:rFonts w:ascii="Courier New" w:cs="Courier New" w:eastAsia="Courier New" w:hAnsi="Courier New"/>
          <w:sz w:val="15"/>
          <w:szCs w:val="15"/>
          <w:color w:val="auto"/>
        </w:rPr>
        <w:t>Compared to the Year Ended December 31, 2000</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FEMSA Consolidated</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Total Revenues/Net Sales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Our consolidated total revenues increased by 6.1% to Ps. 50.097 billion for the year ended December 31, 2001, from Ps. 47.232 billion for the year ended December 31, 2000. Consolidated net sales increased by 5.9% to Ps. 49.952 billion in 2001 from Ps. 47.169 billion in 2000 and represented 99.7% of total revenues in 2001, down from 99.9% in 2000. Net sales growth in 2001 was driven primarily by volume growth and improved pricing experienced by FEMSA Cerveza and Coca-Cola FEMSA's Mexican operations, whose total revenues both increased by</w:t>
      </w:r>
    </w:p>
    <w:p>
      <w:pPr>
        <w:spacing w:after="0" w:line="2"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4.3%, and by the addition of 297 new Oxxo stores in the case of FEMSA Comercio, whose net sales increased by 19.8%. FEMSA Cerveza contributed to our revenue growth with domestic volume growth of 0.7%, export volume growth of 6.6%, and an increase in domestic revenue per hectoliter of 3.9%. Coca-Cola FEMSA recorded net sales growth of 4.0%, resulting from increases in volume and pricing of 3.6% and 1.1%, respectively, in its Mexican operations, and an increase in volume of 6.9% in the Buenos Aires franchise that partially compensated for the deterioration of the average unit price per case in that market. FEMSA Empaques' net sales and total revenues declined by 5.1% in 2001, reflecting an on going competitive and difficult operating environment particularly for the aluminum beverage can business.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Gross Profit</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Our consolidated gross profit increased by 7.3% to Ps. 25.226 billion in 2001 from Ps. 23.504 billion in 2000, representing a consolidated gross margin of 50.5%, stable compared to 2000. The stability in the consolidated gross margin reflects:</w:t>
      </w:r>
    </w:p>
    <w:p>
      <w:pPr>
        <w:spacing w:after="0" w:line="175" w:lineRule="exact"/>
        <w:rPr>
          <w:sz w:val="20"/>
          <w:szCs w:val="20"/>
          <w:color w:val="auto"/>
        </w:rPr>
      </w:pPr>
    </w:p>
    <w:p>
      <w:pPr>
        <w:ind w:left="440" w:right="3239" w:hanging="430"/>
        <w:spacing w:after="0" w:line="234" w:lineRule="auto"/>
        <w:tabs>
          <w:tab w:leader="none" w:pos="178"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-relatively healthy consolidated revenue growth in our beverage businesses in Mexico;</w:t>
      </w:r>
    </w:p>
    <w:p>
      <w:pPr>
        <w:spacing w:after="0" w:line="173" w:lineRule="exact"/>
        <w:rPr>
          <w:rFonts w:ascii="Courier New" w:cs="Courier New" w:eastAsia="Courier New" w:hAnsi="Courier New"/>
          <w:sz w:val="15"/>
          <w:szCs w:val="15"/>
          <w:color w:val="auto"/>
        </w:rPr>
      </w:pPr>
    </w:p>
    <w:p>
      <w:pPr>
        <w:ind w:left="440" w:right="3679" w:hanging="430"/>
        <w:spacing w:after="0" w:line="258" w:lineRule="auto"/>
        <w:tabs>
          <w:tab w:leader="none" w:pos="178"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the prevalence of a very favorable cost environment for our beverage operations enhanced by management's efforts to raise productivity and improve efficiencies to adapt to a period of economic slowdown; and</w:t>
      </w:r>
    </w:p>
    <w:p>
      <w:pPr>
        <w:spacing w:after="0" w:line="154"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a decline in the variable U.S. Dollar-denominated costs of production for</w:t>
      </w:r>
    </w:p>
    <w:p>
      <w:pPr>
        <w:spacing w:after="0" w:line="4" w:lineRule="exact"/>
        <w:rPr>
          <w:rFonts w:ascii="Courier New" w:cs="Courier New" w:eastAsia="Courier New" w:hAnsi="Courier New"/>
          <w:sz w:val="15"/>
          <w:szCs w:val="15"/>
          <w:color w:val="auto"/>
        </w:rPr>
      </w:pPr>
    </w:p>
    <w:p>
      <w:pPr>
        <w:ind w:left="440" w:right="349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FEMSA Cerveza and Coca-Cola FEMSA as a result of the appreciation of the Peso against the U.S. Dollar.</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Income from Operations</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Our consolidated operating expenses (including goodwill amortization and management fees paid to Labatt) increased by 5.3% to Ps. 16.726 billion in 2001 from Ps. 15.878 billion in 2000. As a percentage of total revenues, our consolidated operating expenses decreased by 20 basis points to 33.4% in 2001. This result reflects efforts by Coca-Cola FEMSA and FEMSA Empaques to reduce operating expenses, which effectively offset the increase in operating expenses recorded by FEMSA Cerveza and FEMSA Comercio during 2001. Consolidated administrative expenses increased by 4.2% to Ps. 4.608 billion in 2001 from Ps. 4.424 billion in 2000, primarily reflecting an increase in efficiency in terms of administrative expense with respect to total revenues. Consolidated selling expenses grew by 5.8% to Ps. 12.118 billion from Ps. 11.454 billion, reflecting higher store setup costs related to FEMSA Comercio's aggressive expansion and costs associated with FEMSA Cerveza's new business model.</w:t>
      </w:r>
    </w:p>
    <w:p>
      <w:pPr>
        <w:spacing w:after="0" w:line="16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Some of our subsidiaries pay management fees to Emprex in consideration for corporate services provided to such subsidiaries. Our subsidiaries' payment of management fees are eliminated in consolidation and thus have no effect on our consolidated operating expenses, with the exception of the management fee paid by FEMSA Cerveza to Labatt, which amounted to Ps. 124 million in 2001 and Ps. 117 million in 2000. Our consolidated income from operations (after participation in the results of affiliated companies) increased by 11.4% to Ps. 8.533 billion from Ps. 7.663 billion in 2000, driven primarily by a significant increase in profitability in Coca-Cola FEMSA, coupled with operating income growth in FEMSA Cerveza and FEMSA Comercio. Our consolidated operating margin increased by 80 basis points to 17.0% of consolidated total revenues, from 16.2% in 2000.</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88</w:t>
      </w:r>
    </w:p>
    <w:p>
      <w:pPr>
        <w:sectPr>
          <w:pgSz w:w="11900" w:h="16838" w:orient="portrait"/>
          <w:cols w:equalWidth="0" w:num="1">
            <w:col w:w="10239"/>
          </w:cols>
          <w:pgMar w:left="220" w:top="953" w:right="1440" w:bottom="1440" w:gutter="0" w:footer="0" w:header="0"/>
        </w:sectPr>
      </w:pPr>
    </w:p>
    <w:bookmarkStart w:id="95" w:name="page96"/>
    <w:bookmarkEnd w:id="95"/>
    <w:p>
      <w:pPr>
        <w:spacing w:after="0"/>
        <w:rPr>
          <w:sz w:val="20"/>
          <w:szCs w:val="20"/>
          <w:color w:val="auto"/>
        </w:rPr>
      </w:pPr>
      <w:r>
        <w:rPr>
          <w:rFonts w:ascii="Courier New" w:cs="Courier New" w:eastAsia="Courier New" w:hAnsi="Courier New"/>
          <w:sz w:val="15"/>
          <w:szCs w:val="15"/>
          <w:color w:val="auto"/>
        </w:rPr>
        <w:t>FEMSA Cerveza</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Total Revenues/Net Sales</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FEMSA Cerveza's net sales increased by 4.3% to Ps. 20.551 billion in 2001 from Ps. 19.709 billion in 2000. FEMSA Cerveza's total revenues increased by 4.3% to Ps. 20.703 billion in 2001 from Ps. 19.841 billion in 2000, mainly reflecting:</w:t>
      </w:r>
    </w:p>
    <w:p>
      <w:pPr>
        <w:spacing w:after="0" w:line="169" w:lineRule="exact"/>
        <w:rPr>
          <w:sz w:val="20"/>
          <w:szCs w:val="20"/>
          <w:color w:val="auto"/>
        </w:rPr>
      </w:pPr>
    </w:p>
    <w:p>
      <w:pPr>
        <w:ind w:left="180" w:hanging="170"/>
        <w:spacing w:after="0"/>
        <w:tabs>
          <w:tab w:leader="none" w:pos="18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increase in total sales volume of 1.1% to 23.861 million hectoliters; and</w:t>
      </w:r>
    </w:p>
    <w:p>
      <w:pPr>
        <w:spacing w:after="0" w:line="172" w:lineRule="exact"/>
        <w:rPr>
          <w:rFonts w:ascii="Courier New" w:cs="Courier New" w:eastAsia="Courier New" w:hAnsi="Courier New"/>
          <w:sz w:val="15"/>
          <w:szCs w:val="15"/>
          <w:color w:val="auto"/>
        </w:rPr>
      </w:pPr>
    </w:p>
    <w:p>
      <w:pPr>
        <w:ind w:left="440" w:right="3319" w:hanging="430"/>
        <w:spacing w:after="0" w:line="255" w:lineRule="auto"/>
        <w:tabs>
          <w:tab w:leader="none" w:pos="178"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increase in domestic revenue per hectoliter of 3.9% to Ps. 877.5, reflecting the increase in the domestic price of beer, which in nominal terms averaged 9.0% and was implemented during the first four months of 2001. The net acquisition of third-party distributors during 2001 resulted in a reduction in wholesale margins (margins granted to distributors), which also contributed to the improvement in revenue per hectoliter.</w:t>
      </w:r>
    </w:p>
    <w:p>
      <w:pPr>
        <w:spacing w:after="0" w:line="166"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FEMSA Cerveza's domestic sales volume increased by 0.7% to 22.018 million hectoliters in 2001 from 21.867 million hectoliters in 2000, reflecting the combination of 12.7% volume growth in the first quarter, a decline of 4.3% and 3.1% in the second and third quarters respectively, and an increase of 0.5% in the fourth quarter of 2001, all relative to the comparable quarters of 2000.</w:t>
      </w:r>
    </w:p>
    <w:p>
      <w:pPr>
        <w:spacing w:after="0" w:line="16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For the twelve months ended December 31, 2001, FEMSA Cerveza recorded 1.0% sales volume growth in the northern regions, where the company sustained the highest pricing levels nationwide. FEMSA Cerveza's sales volume increased by only 0.3% in the central and the southern regions on average, reflecting competitive pressures generated from lower prices from competitors and slower economic growth in the central and southern regions of the country during the second half of the year. It is worth noting that the growth in beer sales in northern Mexico for FEMSA Cerveza in 2001 was led by the northeast region, as the northwest was more affected by the sharp increase in unemployment from the many maquiladoras (manufacturing operations along the Mexico-U.S. border) that ceased operations early in 2001. Furthermore, the economic activity in northwest border cities was particularly affected by the sluggish U.S. economy as well as the strength of the Peso against the U.S. Dollar. We estimate that average per-capita consumption of beer in Mexico was 51.2 liters in 2001, which represents virtually no change relative to 2000.</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Both the can and the non-returnable glass presentations continued to increase as a percentage of domestic sales volume primarily at the expense of the one-liter returnable glass bottle presentations. In the twelve months of 2001, returnable presentations in the domestic markets accounted for 77.4% of the mix, compared to 78.8% in 2000. We attribute the increase in the proportion of non-returnable presentations to:</w:t>
      </w:r>
    </w:p>
    <w:p>
      <w:pPr>
        <w:spacing w:after="0" w:line="175" w:lineRule="exact"/>
        <w:rPr>
          <w:sz w:val="20"/>
          <w:szCs w:val="20"/>
          <w:color w:val="auto"/>
        </w:rPr>
      </w:pPr>
    </w:p>
    <w:p>
      <w:pPr>
        <w:ind w:left="440" w:right="3059" w:hanging="430"/>
        <w:spacing w:after="0" w:line="234" w:lineRule="auto"/>
        <w:tabs>
          <w:tab w:leader="none" w:pos="178"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-decline in the relative prices of such presentations compared to returnable presentations; and</w:t>
      </w:r>
    </w:p>
    <w:p>
      <w:pPr>
        <w:spacing w:after="0" w:line="173" w:lineRule="exact"/>
        <w:rPr>
          <w:rFonts w:ascii="Courier New" w:cs="Courier New" w:eastAsia="Courier New" w:hAnsi="Courier New"/>
          <w:sz w:val="15"/>
          <w:szCs w:val="15"/>
          <w:color w:val="auto"/>
        </w:rPr>
      </w:pPr>
    </w:p>
    <w:p>
      <w:pPr>
        <w:ind w:left="440" w:right="3839" w:hanging="430"/>
        <w:spacing w:after="0" w:line="235" w:lineRule="auto"/>
        <w:tabs>
          <w:tab w:leader="none" w:pos="178"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-decline in consumption of beer in returnable packages by the lower socioeconomic levels of the population, reflecting adverse economic conditions.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Export sales volume grew by 6.6% to 1.84 million hectoliters for the twelve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months of 2001. Sales volume to North America increased by 6.5% and accounted</w:t>
      </w:r>
    </w:p>
    <w:p>
      <w:pPr>
        <w:spacing w:after="0" w:line="237" w:lineRule="auto"/>
        <w:rPr>
          <w:sz w:val="20"/>
          <w:szCs w:val="20"/>
          <w:color w:val="auto"/>
        </w:rPr>
      </w:pPr>
      <w:r>
        <w:rPr>
          <w:rFonts w:ascii="Courier New" w:cs="Courier New" w:eastAsia="Courier New" w:hAnsi="Courier New"/>
          <w:sz w:val="15"/>
          <w:szCs w:val="15"/>
          <w:color w:val="auto"/>
        </w:rPr>
        <w:t>for 90.3% of FEMSA Cerveza's export sales volume. Prices for Tecate in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United States were increased in excess of the average price increase implemented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the imported beer category. Sales volume to Asia represented 4.0% of export</w:t>
      </w:r>
    </w:p>
    <w:p>
      <w:pPr>
        <w:spacing w:after="0" w:line="237" w:lineRule="auto"/>
        <w:rPr>
          <w:sz w:val="20"/>
          <w:szCs w:val="20"/>
          <w:color w:val="auto"/>
        </w:rPr>
      </w:pPr>
      <w:r>
        <w:rPr>
          <w:rFonts w:ascii="Courier New" w:cs="Courier New" w:eastAsia="Courier New" w:hAnsi="Courier New"/>
          <w:sz w:val="15"/>
          <w:szCs w:val="15"/>
          <w:color w:val="auto"/>
        </w:rPr>
        <w:t>sales volume in 2001, and grew at a pace of 20.1% as compared to 2000.</w:t>
      </w:r>
    </w:p>
    <w:p>
      <w:pPr>
        <w:spacing w:after="0" w:line="238" w:lineRule="auto"/>
        <w:rPr>
          <w:sz w:val="20"/>
          <w:szCs w:val="20"/>
          <w:color w:val="auto"/>
        </w:rPr>
      </w:pPr>
      <w:r>
        <w:rPr>
          <w:rFonts w:ascii="Courier New" w:cs="Courier New" w:eastAsia="Courier New" w:hAnsi="Courier New"/>
          <w:sz w:val="15"/>
          <w:szCs w:val="15"/>
          <w:color w:val="auto"/>
        </w:rPr>
        <w:t>Furthermore, FEMSA Cerveza made significant advancements in reducing the</w:t>
      </w:r>
    </w:p>
    <w:p>
      <w:pPr>
        <w:spacing w:after="0" w:line="237" w:lineRule="auto"/>
        <w:rPr>
          <w:sz w:val="20"/>
          <w:szCs w:val="20"/>
          <w:color w:val="auto"/>
        </w:rPr>
      </w:pPr>
      <w:r>
        <w:rPr>
          <w:rFonts w:ascii="Courier New" w:cs="Courier New" w:eastAsia="Courier New" w:hAnsi="Courier New"/>
          <w:sz w:val="15"/>
          <w:szCs w:val="15"/>
          <w:color w:val="auto"/>
        </w:rPr>
        <w:t>administrative and market-related expenses in connection with its international</w:t>
      </w:r>
    </w:p>
    <w:p>
      <w:pPr>
        <w:spacing w:after="0" w:line="238" w:lineRule="auto"/>
        <w:rPr>
          <w:sz w:val="20"/>
          <w:szCs w:val="20"/>
          <w:color w:val="auto"/>
        </w:rPr>
      </w:pPr>
      <w:r>
        <w:rPr>
          <w:rFonts w:ascii="Courier New" w:cs="Courier New" w:eastAsia="Courier New" w:hAnsi="Courier New"/>
          <w:sz w:val="15"/>
          <w:szCs w:val="15"/>
          <w:color w:val="auto"/>
        </w:rPr>
        <w:t>operations outside the Unites States. Export revenues decreased by 1.1% to Ps.</w:t>
      </w:r>
    </w:p>
    <w:p>
      <w:pPr>
        <w:spacing w:after="0" w:line="237" w:lineRule="auto"/>
        <w:rPr>
          <w:sz w:val="20"/>
          <w:szCs w:val="20"/>
          <w:color w:val="auto"/>
        </w:rPr>
      </w:pPr>
      <w:r>
        <w:rPr>
          <w:rFonts w:ascii="Courier New" w:cs="Courier New" w:eastAsia="Courier New" w:hAnsi="Courier New"/>
          <w:sz w:val="15"/>
          <w:szCs w:val="15"/>
          <w:color w:val="auto"/>
        </w:rPr>
        <w:t>1.230 billion in 2001, and in U.S. Dollar terms, export revenues increased by</w:t>
      </w:r>
    </w:p>
    <w:p>
      <w:pPr>
        <w:spacing w:after="0" w:line="238" w:lineRule="auto"/>
        <w:rPr>
          <w:sz w:val="20"/>
          <w:szCs w:val="20"/>
          <w:color w:val="auto"/>
        </w:rPr>
      </w:pPr>
      <w:r>
        <w:rPr>
          <w:rFonts w:ascii="Courier New" w:cs="Courier New" w:eastAsia="Courier New" w:hAnsi="Courier New"/>
          <w:sz w:val="15"/>
          <w:szCs w:val="15"/>
          <w:color w:val="auto"/>
        </w:rPr>
        <w:t>7.3% to US$123 million.</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compliance with EITF No. 01-9 issued by the FASB, as described above in "--Results of Operations for the Year Ended December 31, 2002 Compared to the Year Ended December 31, 2001", we reclassified Ps. 851 million of operating expenses as a reduction in net sales for the year 2001 and Ps. 636 million of operating expenses as a reduction in net sales for the year 2000.</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89</w:t>
      </w:r>
    </w:p>
    <w:p>
      <w:pPr>
        <w:sectPr>
          <w:pgSz w:w="11900" w:h="16838" w:orient="portrait"/>
          <w:cols w:equalWidth="0" w:num="1">
            <w:col w:w="10239"/>
          </w:cols>
          <w:pgMar w:left="220" w:top="617" w:right="1440" w:bottom="1440" w:gutter="0" w:footer="0" w:header="0"/>
        </w:sectPr>
      </w:pPr>
    </w:p>
    <w:bookmarkStart w:id="96" w:name="page97"/>
    <w:bookmarkEnd w:id="96"/>
    <w:p>
      <w:pPr>
        <w:ind w:left="440"/>
        <w:spacing w:after="0"/>
        <w:rPr>
          <w:sz w:val="20"/>
          <w:szCs w:val="20"/>
          <w:color w:val="auto"/>
        </w:rPr>
      </w:pPr>
      <w:r>
        <w:rPr>
          <w:rFonts w:ascii="Courier New" w:cs="Courier New" w:eastAsia="Courier New" w:hAnsi="Courier New"/>
          <w:sz w:val="15"/>
          <w:szCs w:val="15"/>
          <w:color w:val="auto"/>
        </w:rPr>
        <w:t>Gross Profit</w:t>
      </w:r>
    </w:p>
    <w:p>
      <w:pPr>
        <w:spacing w:after="0" w:line="173" w:lineRule="exact"/>
        <w:rPr>
          <w:sz w:val="20"/>
          <w:szCs w:val="20"/>
          <w:color w:val="auto"/>
        </w:rPr>
      </w:pPr>
    </w:p>
    <w:p>
      <w:pPr>
        <w:ind w:right="3399" w:firstLine="437"/>
        <w:spacing w:after="0" w:line="254" w:lineRule="auto"/>
        <w:rPr>
          <w:sz w:val="20"/>
          <w:szCs w:val="20"/>
          <w:color w:val="auto"/>
        </w:rPr>
      </w:pPr>
      <w:r>
        <w:rPr>
          <w:rFonts w:ascii="Courier New" w:cs="Courier New" w:eastAsia="Courier New" w:hAnsi="Courier New"/>
          <w:sz w:val="14"/>
          <w:szCs w:val="14"/>
          <w:color w:val="auto"/>
        </w:rPr>
        <w:t>FEMSA Cerveza's cost of sales increased by only 1.0% to Ps. 8.927 billion in the twelve months of 2001 from Ps. 8.838 billion in 2000. FEMSA Cerveza recorded gross profit growth of 7.0% to Ps. 11.776 billion in 2001 from Ps.</w:t>
      </w:r>
    </w:p>
    <w:p>
      <w:pPr>
        <w:spacing w:after="0" w:line="1"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11.003 billion in 2000. Consequently, gross margin improved by 150 basis points to 57.3% of net sales. Gross margin expansion at FEMSA Cerveza has shown four consecutive years of healthy growth, from 47.6% for the twelve months of 1997 to 57.3% in 2001. In 2001, the improvement in gross margin resulted from strong domestic pricing and a reduction of fixed and variable costs from:</w:t>
      </w:r>
    </w:p>
    <w:p>
      <w:pPr>
        <w:spacing w:after="0" w:line="163" w:lineRule="exact"/>
        <w:rPr>
          <w:sz w:val="20"/>
          <w:szCs w:val="20"/>
          <w:color w:val="auto"/>
        </w:rPr>
      </w:pPr>
    </w:p>
    <w:p>
      <w:pPr>
        <w:ind w:left="440" w:right="3239" w:hanging="430"/>
        <w:spacing w:after="0" w:line="235" w:lineRule="auto"/>
        <w:tabs>
          <w:tab w:leader="none" w:pos="178"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-lower prices of raw materials and packaging costs resulting from a more competitive environment in the domestic market and the effect of the real appreciation of the Peso against the U.S. Dollar in U.S. Dollar-denominated prices of raw and packaging materials; and</w:t>
      </w:r>
    </w:p>
    <w:p>
      <w:pPr>
        <w:spacing w:after="0" w:line="175" w:lineRule="exact"/>
        <w:rPr>
          <w:rFonts w:ascii="Courier New" w:cs="Courier New" w:eastAsia="Courier New" w:hAnsi="Courier New"/>
          <w:sz w:val="15"/>
          <w:szCs w:val="15"/>
          <w:color w:val="auto"/>
        </w:rPr>
      </w:pPr>
    </w:p>
    <w:p>
      <w:pPr>
        <w:ind w:left="440" w:right="3399" w:hanging="430"/>
        <w:spacing w:after="0" w:line="235" w:lineRule="auto"/>
        <w:tabs>
          <w:tab w:leader="none" w:pos="178"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-productivity enhancements and on-going cost reduction programs, such as headcount adjustments, designed to operate more efficiently under adverse economic conditions.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Income from Operations</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FEMSA Cerveza's operating expenses increased by 7.5% to Ps. 8.069 billion for the twelve months ended December 31, 2001 from Ps. 7.510 billion in 2000, representing 39.0% of total revenues, compared to 37.8% of total revenue for the same period last year.</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Administrative expenses increased by 11.4% to Ps. 2.190 billion in 2001 from Ps. 1.966 billion in 2000. The rate of increase in administrative expenses did, however, decrease as the year progressed and expense containment and rationalization measures were implemented. Selling expenses increased by 6.1% to Ps. 5.879 billion in 2001 from Ps. 5.544 billion in 2000. The increase in operating expenses is attributable to the following factors:</w:t>
      </w:r>
    </w:p>
    <w:p>
      <w:pPr>
        <w:spacing w:after="0" w:line="166" w:lineRule="exact"/>
        <w:rPr>
          <w:sz w:val="20"/>
          <w:szCs w:val="20"/>
          <w:color w:val="auto"/>
        </w:rPr>
      </w:pPr>
    </w:p>
    <w:p>
      <w:pPr>
        <w:ind w:left="440" w:right="3759" w:hanging="430"/>
        <w:spacing w:after="0" w:line="234" w:lineRule="auto"/>
        <w:tabs>
          <w:tab w:leader="none" w:pos="178"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-higher demand and channel-related expenses in connection with FEMSA Cerveza's strategic targeting of its consumers;</w:t>
      </w:r>
    </w:p>
    <w:p>
      <w:pPr>
        <w:spacing w:after="0" w:line="173" w:lineRule="exact"/>
        <w:rPr>
          <w:rFonts w:ascii="Courier New" w:cs="Courier New" w:eastAsia="Courier New" w:hAnsi="Courier New"/>
          <w:sz w:val="15"/>
          <w:szCs w:val="15"/>
          <w:color w:val="auto"/>
        </w:rPr>
      </w:pPr>
    </w:p>
    <w:p>
      <w:pPr>
        <w:ind w:left="440" w:right="3319" w:hanging="430"/>
        <w:spacing w:after="0" w:line="234" w:lineRule="auto"/>
        <w:tabs>
          <w:tab w:leader="none" w:pos="178"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-incremental costs in connection with the roll-out of FEMSA Cerveza's new business model; and</w:t>
      </w:r>
    </w:p>
    <w:p>
      <w:pPr>
        <w:spacing w:after="0" w:line="173" w:lineRule="exact"/>
        <w:rPr>
          <w:rFonts w:ascii="Courier New" w:cs="Courier New" w:eastAsia="Courier New" w:hAnsi="Courier New"/>
          <w:sz w:val="15"/>
          <w:szCs w:val="15"/>
          <w:color w:val="auto"/>
        </w:rPr>
      </w:pPr>
    </w:p>
    <w:p>
      <w:pPr>
        <w:ind w:left="440" w:right="4019" w:hanging="430"/>
        <w:spacing w:after="0" w:line="234" w:lineRule="auto"/>
        <w:tabs>
          <w:tab w:leader="none" w:pos="178"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-incremental expenses associated with the purchase of third-party distributors.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FEMSA Cerveza's income from operations, after participation in the results of Labatt USA and before deduction of management fees paid to us and to Labatt, increased by 5.9% to Ps. 3.740 billion in 2001. FEMSA Cerveza's operating margin before management fees increased slightly by 30 basis points to 18.1% compared to 2000. Management fees paid to us and to Labatt grew by 6.0% and amounted to Ps. 413 million, representing 2.0% of total revenues in 2001 compared to Ps. 390 million recorded in 2000. FEMSA Cerveza's income from operations after deduction of management fees amounted to Ps. 3.326 billion, an increase of 5.9% compared to 2000.</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Coca-Cola FEMSA</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Total Revenues/Net Sales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Coca-Cola FEMSA recorded net sales of Ps. 16.612 billion in 2001, a 4.0% increase over net sales of Ps. 15.968 billion in 2000, and total revenues increased by 4.3% to Ps. 16.730 billion in 2001 from Ps. 16.035 billion in 2000. Net sales growth is primarily attributable to stable volume growth and pricing in the Mexican Territories and a significant improvement in the sales volume performance in the Buenos Aires Territory. Other revenues increased by 74.9% in the year and amounted to Ps. 117 million. This increase reflects a toll operations agreement with a neighboring Coca-Cola bottler in Argentina, signed in February whereby Coca-Cola FEMSA has been producing Coca-Cola brand beverages for sale in its territories. Coca-Cola FEMSA recorded volume growth of 3.6% in the combined Mexican Territories and an improvement in the average revenue per unit case of 1.1% during 2001, attributable mainly to successful revenue management practices and to a shift in the presentation mix; prices were not nominally increased in 2001. These improvements resulted in net sales growth of 4.8% in the combined Mexican Territories for 2001. We believe that the principal volume drivers in the Mexican Territories in 2001 were:</w:t>
      </w:r>
    </w:p>
    <w:p>
      <w:pPr>
        <w:spacing w:after="0" w:line="33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90</w:t>
      </w:r>
    </w:p>
    <w:p>
      <w:pPr>
        <w:sectPr>
          <w:pgSz w:w="11900" w:h="16838" w:orient="portrait"/>
          <w:cols w:equalWidth="0" w:num="1">
            <w:col w:w="10239"/>
          </w:cols>
          <w:pgMar w:left="220" w:top="617" w:right="1440" w:bottom="1440" w:gutter="0" w:footer="0" w:header="0"/>
        </w:sectPr>
      </w:pPr>
    </w:p>
    <w:bookmarkStart w:id="97" w:name="page98"/>
    <w:bookmarkEnd w:id="97"/>
    <w:p>
      <w:pPr>
        <w:ind w:left="440" w:right="3319" w:hanging="430"/>
        <w:spacing w:after="0" w:line="235" w:lineRule="auto"/>
        <w:tabs>
          <w:tab w:leader="none" w:pos="178"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introduction of new products that met very favorable demand, such as "Senzao," a guarana-flavored carbonated beverage, and Ciel sparkling mineral water;</w:t>
      </w:r>
    </w:p>
    <w:p>
      <w:pPr>
        <w:spacing w:after="0" w:line="167"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the introduction of new packaging presentations that addressed specific</w:t>
      </w:r>
    </w:p>
    <w:p>
      <w:pPr>
        <w:spacing w:after="0" w:line="4" w:lineRule="exact"/>
        <w:rPr>
          <w:rFonts w:ascii="Courier New" w:cs="Courier New" w:eastAsia="Courier New" w:hAnsi="Courier New"/>
          <w:sz w:val="15"/>
          <w:szCs w:val="15"/>
          <w:color w:val="auto"/>
        </w:rPr>
      </w:pPr>
    </w:p>
    <w:p>
      <w:pPr>
        <w:ind w:left="440" w:right="331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market niches, such as the 250-ml PET non-returnable for flavored soft drinks, the 2-liter returnable PET for lower income areas, and the classic</w:t>
      </w:r>
    </w:p>
    <w:p>
      <w:pPr>
        <w:ind w:left="44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8 oz non-returnable contour Coca-Cola bottle, for bars and restaurants; and</w:t>
      </w:r>
    </w:p>
    <w:p>
      <w:pPr>
        <w:spacing w:after="0" w:line="177" w:lineRule="exact"/>
        <w:rPr>
          <w:rFonts w:ascii="Courier New" w:cs="Courier New" w:eastAsia="Courier New" w:hAnsi="Courier New"/>
          <w:sz w:val="15"/>
          <w:szCs w:val="15"/>
          <w:color w:val="auto"/>
        </w:rPr>
      </w:pPr>
    </w:p>
    <w:p>
      <w:pPr>
        <w:ind w:left="440" w:right="3139" w:hanging="430"/>
        <w:spacing w:after="0" w:line="234" w:lineRule="auto"/>
        <w:tabs>
          <w:tab w:leader="none" w:pos="178"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-continued emphasis on targeting consumers via sales promotions, events and sponsorships.</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Notwithstanding the difficult economic environment in Argentina, sales volume in the Buenos Aires Territory increased by 6.9% in 2001, despite a volume decline of 2.8% during the fourth quarter of 2001. Sales volume in this region declined by 1.5% in colas and increased by 34.4% for flavored soft drinks. The sales volume increase in Buenos Aires was attributable to the following factors:</w:t>
      </w:r>
    </w:p>
    <w:p>
      <w:pPr>
        <w:spacing w:after="0" w:line="163" w:lineRule="exact"/>
        <w:rPr>
          <w:sz w:val="20"/>
          <w:szCs w:val="20"/>
          <w:color w:val="auto"/>
        </w:rPr>
      </w:pPr>
    </w:p>
    <w:p>
      <w:pPr>
        <w:ind w:left="440" w:right="3239" w:hanging="430"/>
        <w:spacing w:after="0" w:line="235" w:lineRule="auto"/>
        <w:tabs>
          <w:tab w:leader="none" w:pos="178"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volume growth of premium brands such as Coca-Cola light, Sprite light and Schweppes, which grew by 15.7% during 2001 as compared to the same period in 2000; and</w:t>
      </w:r>
    </w:p>
    <w:p>
      <w:pPr>
        <w:spacing w:after="0" w:line="173" w:lineRule="exact"/>
        <w:rPr>
          <w:rFonts w:ascii="Courier New" w:cs="Courier New" w:eastAsia="Courier New" w:hAnsi="Courier New"/>
          <w:sz w:val="15"/>
          <w:szCs w:val="15"/>
          <w:color w:val="auto"/>
        </w:rPr>
      </w:pPr>
    </w:p>
    <w:p>
      <w:pPr>
        <w:ind w:left="440" w:right="3319" w:hanging="430"/>
        <w:spacing w:after="0" w:line="234" w:lineRule="auto"/>
        <w:tabs>
          <w:tab w:leader="none" w:pos="178"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strong performance of value protection brands such as Tai and Crush, which accounted for 11.8% of our total product mix in 2001.</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Average real price per unit case in Argentine pesos decreased by 9.3% during 2001 as a result of the growth of the value protection brands, a shift in product mix toward larger packaging presentations, and the decline in the Argentine economic environment. Total revenues in the Buenos Aires Territory decreased by only 0.5% for the full-year 2001, highlighting Coca-Cola FEMSA's success at extracting revenue from an economically depressed marketplace through sophisticated segmentation strategies, targeted promotions, and tolling production to other bottlers to improve plant utilization and efficiency.</w:t>
      </w:r>
    </w:p>
    <w:p>
      <w:pPr>
        <w:spacing w:after="0" w:line="1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Gross Profit</w:t>
      </w:r>
    </w:p>
    <w:p>
      <w:pPr>
        <w:spacing w:after="0" w:line="173"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Coca-Cola FEMSA's cost of sales decreased by 0.5% to Ps. 7.738 billion in the year ended December 31, 2001 from Ps. 7.773 billion in 2000, and gross profit increased by 8.8% to Ps. 8.992 billion from Ps. 8.262 billion in 2000. Gross margin expanded by 240 basis points to 54.1% of net sales in 2001 from 51.7% of net sales in 2000. Coca-Cola FEMSA's Mexican operations experienced a gross margin expansion of 220 basis points for the full year 2001. This expansion in gross margin resulted mainly from strong top line growth over a decreasing cost base. The increase in cost efficiency reflects:</w:t>
      </w:r>
    </w:p>
    <w:p>
      <w:pPr>
        <w:spacing w:after="0" w:line="159" w:lineRule="exact"/>
        <w:rPr>
          <w:sz w:val="20"/>
          <w:szCs w:val="20"/>
          <w:color w:val="auto"/>
        </w:rPr>
      </w:pPr>
    </w:p>
    <w:p>
      <w:pPr>
        <w:ind w:left="180" w:hanging="170"/>
        <w:spacing w:after="0"/>
        <w:tabs>
          <w:tab w:leader="none" w:pos="18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higher fixed-cost absorption driven by sales volume growth;</w:t>
      </w:r>
    </w:p>
    <w:p>
      <w:pPr>
        <w:spacing w:after="0" w:line="172" w:lineRule="exact"/>
        <w:rPr>
          <w:rFonts w:ascii="Courier New" w:cs="Courier New" w:eastAsia="Courier New" w:hAnsi="Courier New"/>
          <w:sz w:val="15"/>
          <w:szCs w:val="15"/>
          <w:color w:val="auto"/>
        </w:rPr>
      </w:pPr>
    </w:p>
    <w:p>
      <w:pPr>
        <w:ind w:left="440" w:right="3319" w:hanging="430"/>
        <w:spacing w:after="0" w:line="234" w:lineRule="auto"/>
        <w:tabs>
          <w:tab w:leader="none" w:pos="178"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-lower unit price of certain raw materials due to the appreciation of the Peso against the U.S. Dollar; and</w:t>
      </w:r>
    </w:p>
    <w:p>
      <w:pPr>
        <w:spacing w:after="0" w:line="173" w:lineRule="exact"/>
        <w:rPr>
          <w:rFonts w:ascii="Courier New" w:cs="Courier New" w:eastAsia="Courier New" w:hAnsi="Courier New"/>
          <w:sz w:val="15"/>
          <w:szCs w:val="15"/>
          <w:color w:val="auto"/>
        </w:rPr>
      </w:pPr>
    </w:p>
    <w:p>
      <w:pPr>
        <w:ind w:left="440" w:right="3319" w:hanging="430"/>
        <w:spacing w:after="0" w:line="235" w:lineRule="auto"/>
        <w:tabs>
          <w:tab w:leader="none" w:pos="178"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-fixed-cost reductions resulting from the closing of one plant and two distribution facilities in the Valley of Mexico during 2001 and two plants in the Southeast of Mexico during 2000.</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In Buenos Aires, cost of sales as a percentage of net sales decreased by 40 basis points in 2001, mainly due to fixed-cost reductions resulting from productivity and efficiency initiatives and the closing of the San Justo plant in 2000 and the Roca distribution center in 2001.</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Income from Operations</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For the year ended December 31, 2001, operating expenses decreased by 1.1% to Ps. 5.018 billion from Ps. 5.074 billion in 2000. As a percentage of total revenues, operating expenses dropped 160 basis points to 30.0% in 2001 compared to 31.6% in 2000. The decrease in operating expenses resulted from a decline of 1.3% in administrative expenses (excluding goodwill amortization) to Ps. 1.287 billion in 2001, and of 1.0% in selling expenses to Ps. 3.731 billion in 2001. The reduction in Coca-Cola FEMSA's administrative expenses was primarily due to lower administrative expenses in both Mexico and Buenos Aires, reflecting significant savings achieved in Buenos Aires from headcount optimization across Coca-Cola FEMSA and the implementation of a seasonal labor program.</w:t>
      </w:r>
    </w:p>
    <w:p>
      <w:pPr>
        <w:spacing w:after="0" w:line="165"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Selling expenses for Coca-Cola FEMSA in Mexico decreased by 1.8%, as a percentage of total revenues, representing a decline of 150 basis points, which in turn reflects a combination of the following factors: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91</w:t>
      </w:r>
    </w:p>
    <w:p>
      <w:pPr>
        <w:sectPr>
          <w:pgSz w:w="11900" w:h="16838" w:orient="portrait"/>
          <w:cols w:equalWidth="0" w:num="1">
            <w:col w:w="10239"/>
          </w:cols>
          <w:pgMar w:left="220" w:top="623" w:right="1440" w:bottom="1440" w:gutter="0" w:footer="0" w:header="0"/>
        </w:sectPr>
      </w:pPr>
    </w:p>
    <w:bookmarkStart w:id="98" w:name="page99"/>
    <w:bookmarkEnd w:id="98"/>
    <w:p>
      <w:pPr>
        <w:ind w:left="180" w:hanging="170"/>
        <w:spacing w:after="0"/>
        <w:tabs>
          <w:tab w:leader="none" w:pos="18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increase in sales volume;</w:t>
      </w:r>
    </w:p>
    <w:p>
      <w:pPr>
        <w:spacing w:after="0" w:line="166"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decrease in distribution costs; and</w:t>
      </w:r>
    </w:p>
    <w:p>
      <w:pPr>
        <w:spacing w:after="0" w:line="172" w:lineRule="exact"/>
        <w:rPr>
          <w:rFonts w:ascii="Courier New" w:cs="Courier New" w:eastAsia="Courier New" w:hAnsi="Courier New"/>
          <w:sz w:val="15"/>
          <w:szCs w:val="15"/>
          <w:color w:val="auto"/>
        </w:rPr>
      </w:pPr>
    </w:p>
    <w:p>
      <w:pPr>
        <w:ind w:left="440" w:right="4019" w:hanging="430"/>
        <w:spacing w:after="0" w:line="234" w:lineRule="auto"/>
        <w:tabs>
          <w:tab w:leader="none" w:pos="178"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-lower bottle breakage and case replacement costs due to a higher non-returnable volume mix.</w:t>
      </w:r>
    </w:p>
    <w:p>
      <w:pPr>
        <w:spacing w:after="0" w:line="173" w:lineRule="exact"/>
        <w:rPr>
          <w:sz w:val="20"/>
          <w:szCs w:val="20"/>
          <w:color w:val="auto"/>
        </w:rPr>
      </w:pPr>
    </w:p>
    <w:p>
      <w:pPr>
        <w:ind w:right="3679" w:firstLine="437"/>
        <w:spacing w:after="0" w:line="235" w:lineRule="auto"/>
        <w:rPr>
          <w:sz w:val="20"/>
          <w:szCs w:val="20"/>
          <w:color w:val="auto"/>
        </w:rPr>
      </w:pPr>
      <w:r>
        <w:rPr>
          <w:rFonts w:ascii="Courier New" w:cs="Courier New" w:eastAsia="Courier New" w:hAnsi="Courier New"/>
          <w:sz w:val="15"/>
          <w:szCs w:val="15"/>
          <w:color w:val="auto"/>
        </w:rPr>
        <w:t>In contrast, selling expenses increased 5.1% in the Buenos Aires Territories in 2001, which represented an increase of 170 basis points as a ratio to total revenues, resulting from higher marketing costs.</w:t>
      </w:r>
    </w:p>
    <w:p>
      <w:pPr>
        <w:spacing w:after="0" w:line="17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Coca-Cola FEMSA's income from operations after goodwill amortization increased by 25.7% to Ps. 3.873 billion in 2001 from Ps. 3.080 billion in 2000, reflecting the combined effect of the following:</w:t>
      </w:r>
    </w:p>
    <w:p>
      <w:pPr>
        <w:spacing w:after="0" w:line="174" w:lineRule="exact"/>
        <w:rPr>
          <w:sz w:val="20"/>
          <w:szCs w:val="20"/>
          <w:color w:val="auto"/>
        </w:rPr>
      </w:pPr>
    </w:p>
    <w:p>
      <w:pPr>
        <w:ind w:left="440" w:right="3059" w:hanging="430"/>
        <w:spacing w:after="0" w:line="234" w:lineRule="auto"/>
        <w:tabs>
          <w:tab w:leader="none" w:pos="178"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increase of 25.4% in income from operations of Coca-Cola FEMSA's Mexican operations; and</w:t>
      </w:r>
    </w:p>
    <w:p>
      <w:pPr>
        <w:spacing w:after="0" w:line="173" w:lineRule="exact"/>
        <w:rPr>
          <w:rFonts w:ascii="Courier New" w:cs="Courier New" w:eastAsia="Courier New" w:hAnsi="Courier New"/>
          <w:sz w:val="15"/>
          <w:szCs w:val="15"/>
          <w:color w:val="auto"/>
        </w:rPr>
      </w:pPr>
    </w:p>
    <w:p>
      <w:pPr>
        <w:ind w:left="440" w:right="3839" w:hanging="430"/>
        <w:spacing w:after="0" w:line="234" w:lineRule="auto"/>
        <w:tabs>
          <w:tab w:leader="none" w:pos="178"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increase of 8.1% in income from operations of Coca-Cola FEMSA's Argentine operations.</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Coca-Cola FEMSA recorded goodwill amortization of Ps. 101 million in 2001, a decrease of 7.0% as compared to 2000. Coca-Cola FEMSA's operating margin increased by 400 basis points to 23.2% of total revenues in 2001 from 19.2% of total revenue in 2000.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FEMSA Comercio</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Total Revenues/Net Sales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FEMSA Comercio's net sales increased by 19.8% for the twelve months ended December 31, 2001 to Ps. 10.731 billion from Ps. 8.956 billion in 2000, surpassing the one-billion-dollar annual sales milestone. Total revenues also increased by 19.8% to Ps. 10.732 billion in 2001 from Ps. 8.957 billion in 2000. The increase in net sales is mainly a result of the aggressive growth in selling space of the Oxxo convenience store chain during 2001, which added a net of 297 new stores to reach a total of 1,779 stores, representing a growth of average selling space of 20.0% as compared to 2000. The expansion process was marked by further penetration into border cities in the north and large cities in the southeast, and by accelerated saturation in the hub cities of Monterrey, Mexico City and Guadalajara.</w:t>
      </w:r>
    </w:p>
    <w:p>
      <w:pPr>
        <w:spacing w:after="0" w:line="180"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Oxxo's average same-store sales increased by 4.5% in 2001, a significant reduction in the pace of growth displayed during the three previous years, which underlines the challenges encountered in the northern markets and a weak economy in general.</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Average monthly traffic per store increased by 2.6%, and the average sale per customer increased by 1.9% during the full year 2001, which was achieved in spite of the difficult economic and competitive conditions in the northern border markets, compounded by a strong Peso-Dollar exchange rate, which increasingly induce shoppers to buy relatively cheaper groceries in the United States.</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Oxxo increased its same-store revenues by applying carefully tailored promotions that enhance the value offered to its shoppers. In addition, Oxxo has developed a program to continuously roll-out high impact cross promotions both on national and local scales, many of which feature FEMSA Cerveza's products or support their marketing campaigns. Examples of these include the launch of the Tecate 16 oz can presentation and special contests related to the CART Series Tecate Grand Prix in 2001.</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Gross Profit</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FEMSA Comercio recorded gross profit of Ps. 2.755 billion for the twelve months ended December 31, 2001, a 19.7% gain over the Ps. 2.302 billion recorded for the twelve months ended December 31, 2000. The gross margin remained constant at 25.7% of net sales, reflecting Oxxo's ability to maintain a stable cost structure in an environment of rapid selling space growth.</w:t>
      </w:r>
    </w:p>
    <w:p>
      <w:pPr>
        <w:spacing w:after="0" w:line="200" w:lineRule="exact"/>
        <w:rPr>
          <w:sz w:val="20"/>
          <w:szCs w:val="20"/>
          <w:color w:val="auto"/>
        </w:rPr>
      </w:pPr>
    </w:p>
    <w:p>
      <w:pPr>
        <w:spacing w:after="0" w:line="29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92</w:t>
      </w:r>
    </w:p>
    <w:p>
      <w:pPr>
        <w:sectPr>
          <w:pgSz w:w="11900" w:h="16838" w:orient="portrait"/>
          <w:cols w:equalWidth="0" w:num="1">
            <w:col w:w="10239"/>
          </w:cols>
          <w:pgMar w:left="220" w:top="617" w:right="1440" w:bottom="1440" w:gutter="0" w:footer="0" w:header="0"/>
        </w:sectPr>
      </w:pPr>
    </w:p>
    <w:bookmarkStart w:id="99" w:name="page100"/>
    <w:bookmarkEnd w:id="99"/>
    <w:p>
      <w:pPr>
        <w:ind w:left="440"/>
        <w:spacing w:after="0"/>
        <w:rPr>
          <w:sz w:val="20"/>
          <w:szCs w:val="20"/>
          <w:color w:val="auto"/>
        </w:rPr>
      </w:pPr>
      <w:r>
        <w:rPr>
          <w:rFonts w:ascii="Courier New" w:cs="Courier New" w:eastAsia="Courier New" w:hAnsi="Courier New"/>
          <w:sz w:val="15"/>
          <w:szCs w:val="15"/>
          <w:color w:val="auto"/>
        </w:rPr>
        <w:t>Income from Operations</w:t>
      </w:r>
    </w:p>
    <w:p>
      <w:pPr>
        <w:spacing w:after="0" w:line="173" w:lineRule="exact"/>
        <w:rPr>
          <w:sz w:val="20"/>
          <w:szCs w:val="20"/>
          <w:color w:val="auto"/>
        </w:rPr>
      </w:pPr>
    </w:p>
    <w:p>
      <w:pPr>
        <w:jc w:val="both"/>
        <w:ind w:right="3399" w:firstLine="437"/>
        <w:spacing w:after="0" w:line="256" w:lineRule="auto"/>
        <w:rPr>
          <w:sz w:val="20"/>
          <w:szCs w:val="20"/>
          <w:color w:val="auto"/>
        </w:rPr>
      </w:pPr>
      <w:r>
        <w:rPr>
          <w:rFonts w:ascii="Courier New" w:cs="Courier New" w:eastAsia="Courier New" w:hAnsi="Courier New"/>
          <w:sz w:val="14"/>
          <w:szCs w:val="14"/>
          <w:color w:val="auto"/>
        </w:rPr>
        <w:t>Operating expenses increased by 21.8% to Ps. 2.352 billion for the twelve months ended December 31, 2001 from Ps. 1.931 billion in 2000 and increased by 30 basis points as a ratio to total revenues to 21.9% in 2001 from 21.6% in 2000. The increase in operating expenses is primarily attributable to:</w:t>
      </w:r>
    </w:p>
    <w:p>
      <w:pPr>
        <w:spacing w:after="0" w:line="158" w:lineRule="exact"/>
        <w:rPr>
          <w:sz w:val="20"/>
          <w:szCs w:val="20"/>
          <w:color w:val="auto"/>
        </w:rPr>
      </w:pPr>
    </w:p>
    <w:p>
      <w:pPr>
        <w:ind w:left="180" w:hanging="170"/>
        <w:spacing w:after="0"/>
        <w:tabs>
          <w:tab w:leader="none" w:pos="18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an accelerated increase in the number of stores;</w:t>
      </w:r>
    </w:p>
    <w:p>
      <w:pPr>
        <w:spacing w:after="0" w:line="166"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investments in central office infrastructure, distribution centers and</w:t>
      </w:r>
    </w:p>
    <w:p>
      <w:pPr>
        <w:ind w:left="4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personnel necessary to support the rapid expansion of the Oxxo chain;</w:t>
      </w:r>
    </w:p>
    <w:p>
      <w:pPr>
        <w:spacing w:after="0" w:line="173" w:lineRule="exact"/>
        <w:rPr>
          <w:rFonts w:ascii="Courier New" w:cs="Courier New" w:eastAsia="Courier New" w:hAnsi="Courier New"/>
          <w:sz w:val="15"/>
          <w:szCs w:val="15"/>
          <w:color w:val="auto"/>
        </w:rPr>
      </w:pPr>
    </w:p>
    <w:p>
      <w:pPr>
        <w:ind w:left="440" w:right="3579" w:hanging="430"/>
        <w:spacing w:after="0" w:line="234" w:lineRule="auto"/>
        <w:tabs>
          <w:tab w:leader="none" w:pos="178"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in an integrated ERP system platform that reengineers the logistics of merchandise supply across the whole store chain;</w:t>
      </w:r>
    </w:p>
    <w:p>
      <w:pPr>
        <w:spacing w:after="0" w:line="173" w:lineRule="exact"/>
        <w:rPr>
          <w:rFonts w:ascii="Courier New" w:cs="Courier New" w:eastAsia="Courier New" w:hAnsi="Courier New"/>
          <w:sz w:val="15"/>
          <w:szCs w:val="15"/>
          <w:color w:val="auto"/>
        </w:rPr>
      </w:pPr>
    </w:p>
    <w:p>
      <w:pPr>
        <w:ind w:left="440" w:right="3239" w:hanging="430"/>
        <w:spacing w:after="0" w:line="234" w:lineRule="auto"/>
        <w:tabs>
          <w:tab w:leader="none" w:pos="178"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in more flexible in-store management software, which features improved connectivity with central headquarters;</w:t>
      </w:r>
    </w:p>
    <w:p>
      <w:pPr>
        <w:spacing w:after="0" w:line="166"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investments in the development of the Bara discount store chain; and</w:t>
      </w:r>
    </w:p>
    <w:p>
      <w:pPr>
        <w:spacing w:after="0" w:line="166"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expenses related to the setup of FEMSA Comercio's e-commerce initiatives.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FEMSA Comercio recorded income from operations, before deduction of management fees, of Ps. 404 million in 2001, an increase of 8.9% from the Ps. 371 million recorded in 2000. However, FEMSA Comercio's income from operations, excluding the operating loss recorded by the Bara Discount stores and the expenses in connection with the infrastructure for e-commerce and technological projects, improved by 33.9% from 2000 to 2001. FEMSA Comercio's operating margin before management fees decreased by 30 basis points to 3.8% of total revenues in 2001 from 4.1% in 2000. In 2001, management fees amounted to Ps. 106 million or 1.0% of total revenues compared to Ps. 66 million or 0.7% of total revenues in 2000. FEMSA Comercio's operating margin after deduction of management fees decreased by 60 basis points to 2.8% of total revenues in 2001 from 3.4% of total revenues in 2000.</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FEMSA Empaques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Total Revenues/Net Sales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FEMSA Empaques experienced a 5.1% decline in net sales to Ps. 6.569 billion for the twelve months ended December 31, 2001 from Ps. 6.919 billion for the twelve months ended December 31, 2000. Total revenues also decreased by 5.1% to Ps. 6.577 billion in 2001 from Ps. 6.929 billion in 2000, which was mainly attributable to:</w:t>
      </w:r>
    </w:p>
    <w:p>
      <w:pPr>
        <w:spacing w:after="0" w:line="174" w:lineRule="exact"/>
        <w:rPr>
          <w:sz w:val="20"/>
          <w:szCs w:val="20"/>
          <w:color w:val="auto"/>
        </w:rPr>
      </w:pPr>
    </w:p>
    <w:p>
      <w:pPr>
        <w:ind w:left="440" w:right="3319" w:hanging="430"/>
        <w:spacing w:after="0" w:line="235" w:lineRule="auto"/>
        <w:tabs>
          <w:tab w:leader="none" w:pos="178"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-decrease in the volumes of FEMSA Empaques' main product lines, including beverage cans and glass bottles, which together represent 52.9% of FEMSA Empaques' net sales;</w:t>
      </w:r>
    </w:p>
    <w:p>
      <w:pPr>
        <w:spacing w:after="0" w:line="173" w:lineRule="exact"/>
        <w:rPr>
          <w:rFonts w:ascii="Courier New" w:cs="Courier New" w:eastAsia="Courier New" w:hAnsi="Courier New"/>
          <w:sz w:val="15"/>
          <w:szCs w:val="15"/>
          <w:color w:val="auto"/>
        </w:rPr>
      </w:pPr>
    </w:p>
    <w:p>
      <w:pPr>
        <w:ind w:left="440" w:right="3679" w:hanging="430"/>
        <w:spacing w:after="0" w:line="234" w:lineRule="auto"/>
        <w:tabs>
          <w:tab w:leader="none" w:pos="178"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-lower prices for finished beverage cans as a result of the extremely competitive environment; and</w:t>
      </w:r>
    </w:p>
    <w:p>
      <w:pPr>
        <w:spacing w:after="0" w:line="173" w:lineRule="exact"/>
        <w:rPr>
          <w:rFonts w:ascii="Courier New" w:cs="Courier New" w:eastAsia="Courier New" w:hAnsi="Courier New"/>
          <w:sz w:val="15"/>
          <w:szCs w:val="15"/>
          <w:color w:val="auto"/>
        </w:rPr>
      </w:pPr>
    </w:p>
    <w:p>
      <w:pPr>
        <w:ind w:left="440" w:right="3239" w:hanging="430"/>
        <w:spacing w:after="0" w:line="235" w:lineRule="auto"/>
        <w:tabs>
          <w:tab w:leader="none" w:pos="178"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negative effect of the real appreciation of the Peso against the U.S. Dollar on the Peso revenues of U.S. Dollar-denominated packaging products, namely beverage cans and crown caps.</w:t>
      </w:r>
    </w:p>
    <w:p>
      <w:pPr>
        <w:spacing w:after="0" w:line="174"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The volume of glass bottles, crown caps, and refrigerators increased by 23.0%, 4.7% and 4.1%, respectively, in 2001 over 2000, while the volume of beverage cans decreased by 6.4% in 2001 over 2000.</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Sales volumes for crown caps continue to increase despite the decline in demand for crown caps in the domestic market, reflecting FEMSA Empaques' success in the export markets, particularly to North America. As of December 31, 2001 FEMSA Empaques supplied crown caps for one hundred percent of Coors' and Labatt's crown caps supply. Average pricing for crown caps decreased by approximately 5% in 2001.</w:t>
      </w:r>
    </w:p>
    <w:p>
      <w:pPr>
        <w:spacing w:after="0" w:line="175"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Volumes of commercial refrigerators increased significantly in 2001 as FEMSA Empaques supplied all the sub-zero capable refrigerators required by the rollout of FEMSA Cerveza's cooler placement program. Additionally, FEMSA Empaques was a major supplier for Coca-Cola FEMSA in its cooler placement program.</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93</w:t>
      </w:r>
    </w:p>
    <w:p>
      <w:pPr>
        <w:sectPr>
          <w:pgSz w:w="11900" w:h="16838" w:orient="portrait"/>
          <w:cols w:equalWidth="0" w:num="1">
            <w:col w:w="10239"/>
          </w:cols>
          <w:pgMar w:left="220" w:top="617" w:right="1440" w:bottom="1440" w:gutter="0" w:footer="0" w:header="0"/>
        </w:sectPr>
      </w:pPr>
    </w:p>
    <w:bookmarkStart w:id="100" w:name="page101"/>
    <w:bookmarkEnd w:id="100"/>
    <w:p>
      <w:pPr>
        <w:ind w:right="3939" w:firstLine="437"/>
        <w:spacing w:after="0" w:line="234" w:lineRule="auto"/>
        <w:rPr>
          <w:sz w:val="20"/>
          <w:szCs w:val="20"/>
          <w:color w:val="auto"/>
        </w:rPr>
      </w:pPr>
      <w:r>
        <w:rPr>
          <w:rFonts w:ascii="Courier New" w:cs="Courier New" w:eastAsia="Courier New" w:hAnsi="Courier New"/>
          <w:sz w:val="15"/>
          <w:szCs w:val="15"/>
          <w:color w:val="auto"/>
        </w:rPr>
        <w:t>Volumes of glass bottles increased significantly as a result of the following factors:</w:t>
      </w:r>
    </w:p>
    <w:p>
      <w:pPr>
        <w:spacing w:after="0" w:line="173" w:lineRule="exact"/>
        <w:rPr>
          <w:sz w:val="20"/>
          <w:szCs w:val="20"/>
          <w:color w:val="auto"/>
        </w:rPr>
      </w:pPr>
    </w:p>
    <w:p>
      <w:pPr>
        <w:ind w:left="440" w:right="3319" w:hanging="430"/>
        <w:spacing w:after="0" w:line="234" w:lineRule="auto"/>
        <w:tabs>
          <w:tab w:leader="none" w:pos="178"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purchase of non-returnable 8 oz glass bottles by Coca-Cola FEMSA for its new Coca-Cola presentation;</w:t>
      </w:r>
    </w:p>
    <w:p>
      <w:pPr>
        <w:spacing w:after="0" w:line="173" w:lineRule="exact"/>
        <w:rPr>
          <w:rFonts w:ascii="Courier New" w:cs="Courier New" w:eastAsia="Courier New" w:hAnsi="Courier New"/>
          <w:sz w:val="15"/>
          <w:szCs w:val="15"/>
          <w:color w:val="auto"/>
        </w:rPr>
      </w:pPr>
    </w:p>
    <w:p>
      <w:pPr>
        <w:ind w:left="440" w:right="3239" w:hanging="430"/>
        <w:spacing w:after="0" w:line="235" w:lineRule="auto"/>
        <w:tabs>
          <w:tab w:leader="none" w:pos="178"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purchase of returnable glass bottles by FEMSA Cerveza for its bottle replacement program since most of FEMSA Cerveza volumes are sold in a glass bottle returnable presentation;</w:t>
      </w:r>
    </w:p>
    <w:p>
      <w:pPr>
        <w:spacing w:after="0" w:line="167"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increase in sales to third party clients; and</w:t>
      </w:r>
    </w:p>
    <w:p>
      <w:pPr>
        <w:spacing w:after="0" w:line="166"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decrease in real prices of glass bottles by approximately 13% in 2001.</w:t>
      </w:r>
    </w:p>
    <w:p>
      <w:pPr>
        <w:spacing w:after="0" w:line="341" w:lineRule="exact"/>
        <w:rPr>
          <w:sz w:val="20"/>
          <w:szCs w:val="20"/>
          <w:color w:val="auto"/>
        </w:rPr>
      </w:pPr>
    </w:p>
    <w:p>
      <w:pPr>
        <w:ind w:right="3679" w:firstLine="437"/>
        <w:spacing w:after="0" w:line="234" w:lineRule="auto"/>
        <w:rPr>
          <w:sz w:val="20"/>
          <w:szCs w:val="20"/>
          <w:color w:val="auto"/>
        </w:rPr>
      </w:pPr>
      <w:r>
        <w:rPr>
          <w:rFonts w:ascii="Courier New" w:cs="Courier New" w:eastAsia="Courier New" w:hAnsi="Courier New"/>
          <w:sz w:val="15"/>
          <w:szCs w:val="15"/>
          <w:color w:val="auto"/>
        </w:rPr>
        <w:t>The beverage can business was affected in 2001 by a combination of the following factors:</w:t>
      </w:r>
    </w:p>
    <w:p>
      <w:pPr>
        <w:spacing w:after="0" w:line="173" w:lineRule="exact"/>
        <w:rPr>
          <w:sz w:val="20"/>
          <w:szCs w:val="20"/>
          <w:color w:val="auto"/>
        </w:rPr>
      </w:pPr>
    </w:p>
    <w:p>
      <w:pPr>
        <w:ind w:left="440" w:right="3139" w:hanging="430"/>
        <w:spacing w:after="0" w:line="234" w:lineRule="auto"/>
        <w:tabs>
          <w:tab w:leader="none" w:pos="178"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-reduction in the real price of beverage cans of approximately 6%, which is quoted in U.S. Dollars;</w:t>
      </w:r>
    </w:p>
    <w:p>
      <w:pPr>
        <w:spacing w:after="0" w:line="173" w:lineRule="exact"/>
        <w:rPr>
          <w:rFonts w:ascii="Courier New" w:cs="Courier New" w:eastAsia="Courier New" w:hAnsi="Courier New"/>
          <w:sz w:val="15"/>
          <w:szCs w:val="15"/>
          <w:color w:val="auto"/>
        </w:rPr>
      </w:pPr>
    </w:p>
    <w:p>
      <w:pPr>
        <w:ind w:left="440" w:right="3239" w:hanging="430"/>
        <w:spacing w:after="0" w:line="234" w:lineRule="auto"/>
        <w:tabs>
          <w:tab w:leader="none" w:pos="178"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-decline in volume sold to Coca-Cola FEMSA and IEQSA, as a result of lower demand for canned soft drinks; and</w:t>
      </w:r>
    </w:p>
    <w:p>
      <w:pPr>
        <w:spacing w:after="0" w:line="166"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reduction in exports of beverage cans.</w:t>
      </w:r>
    </w:p>
    <w:p>
      <w:pPr>
        <w:spacing w:after="0" w:line="173"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FEMSA Cerveza increased its purchases of beverage cans in 2001 principally as a result of its promotion of the 16 oz Tecate can.</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Export revenues decreased by 11.0% to Ps. 642 million and represented 9.8% of net sales in 2001, compared to Ps. 722 million, which represented 10.5% of net sales in 2000. In U.S. Dollar terms, export revenues decreased by 4.1% to US$64 million.</w:t>
      </w:r>
    </w:p>
    <w:p>
      <w:pPr>
        <w:spacing w:after="0" w:line="175" w:lineRule="exact"/>
        <w:rPr>
          <w:sz w:val="20"/>
          <w:szCs w:val="20"/>
          <w:color w:val="auto"/>
        </w:rPr>
      </w:pPr>
    </w:p>
    <w:p>
      <w:pPr>
        <w:jc w:val="both"/>
        <w:ind w:right="3499" w:firstLine="437"/>
        <w:spacing w:after="0" w:line="235" w:lineRule="auto"/>
        <w:rPr>
          <w:sz w:val="20"/>
          <w:szCs w:val="20"/>
          <w:color w:val="auto"/>
        </w:rPr>
      </w:pPr>
      <w:r>
        <w:rPr>
          <w:rFonts w:ascii="Courier New" w:cs="Courier New" w:eastAsia="Courier New" w:hAnsi="Courier New"/>
          <w:sz w:val="15"/>
          <w:szCs w:val="15"/>
          <w:color w:val="auto"/>
        </w:rPr>
        <w:t>Intercompany sales accounted for 56.4% of FEMSA Empaques' total revenues for the twelve months ended December 31, 2001, compared to 53.4% for the same period last year. These intercompany sales are eliminated in our consolidated financial statements.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Gross Profit</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FEMSA Empaques' cost of sales decreased by 3.2% to Ps. 5.057 billion for the twelve months ended December 31, 2001 from Ps. 5.221 billion in 2000. Gross profit decreased by 11.0% to Ps. 1.520 billion in 2001 from Ps. 1.708 billion in 2000, and gross profit margin decreased by 160 basis points to 23.1% of net sales in 2001, as compared to 24.7% in 2000, reflecting:</w:t>
      </w:r>
    </w:p>
    <w:p>
      <w:pPr>
        <w:spacing w:after="0" w:line="167" w:lineRule="exact"/>
        <w:rPr>
          <w:sz w:val="20"/>
          <w:szCs w:val="20"/>
          <w:color w:val="auto"/>
        </w:rPr>
      </w:pPr>
    </w:p>
    <w:p>
      <w:pPr>
        <w:ind w:left="180" w:hanging="170"/>
        <w:spacing w:after="0"/>
        <w:tabs>
          <w:tab w:leader="none" w:pos="18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reduction in net sales;</w:t>
      </w:r>
    </w:p>
    <w:p>
      <w:pPr>
        <w:spacing w:after="0" w:line="166"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reduction in the gross margin of the beverage can and crown cap operations</w:t>
      </w:r>
    </w:p>
    <w:p>
      <w:pPr>
        <w:spacing w:after="0" w:line="4" w:lineRule="exact"/>
        <w:rPr>
          <w:rFonts w:ascii="Courier New" w:cs="Courier New" w:eastAsia="Courier New" w:hAnsi="Courier New"/>
          <w:sz w:val="15"/>
          <w:szCs w:val="15"/>
          <w:color w:val="auto"/>
        </w:rPr>
      </w:pPr>
    </w:p>
    <w:p>
      <w:pPr>
        <w:ind w:left="440" w:right="339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as a result of the real appreciation of the Peso against the U.S. Dollar; and</w:t>
      </w:r>
    </w:p>
    <w:p>
      <w:pPr>
        <w:spacing w:after="0" w:line="173" w:lineRule="exact"/>
        <w:rPr>
          <w:rFonts w:ascii="Courier New" w:cs="Courier New" w:eastAsia="Courier New" w:hAnsi="Courier New"/>
          <w:sz w:val="15"/>
          <w:szCs w:val="15"/>
          <w:color w:val="auto"/>
        </w:rPr>
      </w:pPr>
    </w:p>
    <w:p>
      <w:pPr>
        <w:ind w:left="440" w:right="3059" w:hanging="430"/>
        <w:spacing w:after="0" w:line="234" w:lineRule="auto"/>
        <w:tabs>
          <w:tab w:leader="none" w:pos="178"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-depressed pricing environment for packaging products in the domestic market as a result of increased competition.</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Income from Operations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Operating expenses decreased by 5.4% to Ps. 564 million for the twelve months ended December 31, 2001 from Ps. 596 million in 2000 and remained constant as a percentage of total revenues at 8.6%. For the full year 2001, FEMSA Empaques recorded declines in both selling and administrative expenses as a result of lower volumes and headcount reductions.</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Income from operations before deduction of management fees decreased by 14.0% to Ps. 957 million in 2001 from Ps. 1.112 billion for 2000, which primarily reflects the decline in net sales and in gross profit. FEMSA Empaques recorded an operating margin before deduction of management fees of 14.5% in 2001, compared to a 16.0% margin recorded in 2000, a reduction of 150 basis points. In 2001, management fees amounted to Ps. 101 million, or 1.5% of total revenues, compared to Ps. 103 million recorded in 2000, also 1.5% of total revenues. FEMSA Empaques' operating margin after deduction of management fees was 13.0% in 2001 compared to 14.6% in 2000, a reduction of 160 basis points. The contraction in operating margin reflects the fact that businesses like FEMSA Empaques, which have certain Peso-denominated operating costs (such as wages and salaries, distribution and selling expenses and administrative overhead) and record revenues denominated in U.S. Dollars, typically experience contracting operating margins in periods of Peso appreciation.</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94</w:t>
      </w:r>
    </w:p>
    <w:p>
      <w:pPr>
        <w:sectPr>
          <w:pgSz w:w="11900" w:h="16838" w:orient="portrait"/>
          <w:cols w:equalWidth="0" w:num="1">
            <w:col w:w="10239"/>
          </w:cols>
          <w:pgMar w:left="220" w:top="624" w:right="1440" w:bottom="1440" w:gutter="0" w:footer="0" w:header="0"/>
        </w:sectPr>
      </w:pPr>
    </w:p>
    <w:bookmarkStart w:id="101" w:name="page102"/>
    <w:bookmarkEnd w:id="101"/>
    <w:p>
      <w:pPr>
        <w:spacing w:after="0"/>
        <w:rPr>
          <w:sz w:val="20"/>
          <w:szCs w:val="20"/>
          <w:color w:val="auto"/>
        </w:rPr>
      </w:pPr>
      <w:r>
        <w:rPr>
          <w:rFonts w:ascii="Courier New" w:cs="Courier New" w:eastAsia="Courier New" w:hAnsi="Courier New"/>
          <w:sz w:val="15"/>
          <w:szCs w:val="15"/>
          <w:color w:val="auto"/>
        </w:rPr>
        <w:t>Logistica</w:t>
      </w:r>
    </w:p>
    <w:p>
      <w:pPr>
        <w:spacing w:after="0" w:line="173" w:lineRule="exact"/>
        <w:rPr>
          <w:sz w:val="20"/>
          <w:szCs w:val="20"/>
          <w:color w:val="auto"/>
        </w:rPr>
      </w:pPr>
    </w:p>
    <w:p>
      <w:pPr>
        <w:jc w:val="both"/>
        <w:ind w:right="3319" w:firstLine="437"/>
        <w:spacing w:after="0" w:line="254" w:lineRule="auto"/>
        <w:rPr>
          <w:sz w:val="20"/>
          <w:szCs w:val="20"/>
          <w:color w:val="auto"/>
        </w:rPr>
      </w:pPr>
      <w:r>
        <w:rPr>
          <w:rFonts w:ascii="Courier New" w:cs="Courier New" w:eastAsia="Courier New" w:hAnsi="Courier New"/>
          <w:sz w:val="14"/>
          <w:szCs w:val="14"/>
          <w:color w:val="auto"/>
        </w:rPr>
        <w:t>For the year ended December 31, 2001, Logistica recorded net sales of Ps. 1.532 billion, a decrease of 1.1% compared to the Ps. 1.549 billion recorded in 2000. Total revenues decreased by 0.5% to Ps. 1.540 billion in 2001 from Ps.</w:t>
      </w:r>
    </w:p>
    <w:p>
      <w:pPr>
        <w:spacing w:after="0" w:line="1"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1.549 billion in 2000. Logistica generated Ps. 211 million in gross profit and Ps. 99 million in operating profit (which excludes operating expense in connection with e-commerce projects). As of December 31, 2001 Logistica mainly provided services to affiliates, and thus as a result approximately 90% of Logistica's revenues are not reflected in our consolidated financial statements. FEMSA Cerveza, Coca-Cola FEMSA and FEMSA Empaques accounted for approximately 66%, 14% and 10% of Logistica's revenues, respectively, in 2001.</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FEMSA Consolidated--Net Income</w:t>
      </w:r>
    </w:p>
    <w:p>
      <w:pPr>
        <w:spacing w:after="0" w:line="173"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FEMSA's consolidated net income increased by 30.1% from Ps. 3.827 billion recorded in 2000 to Ps. 4.980 billion for the twelve months ended December 31, 2001. The increase in net income is the result of:</w:t>
      </w:r>
    </w:p>
    <w:p>
      <w:pPr>
        <w:spacing w:after="0" w:line="167" w:lineRule="exact"/>
        <w:rPr>
          <w:sz w:val="20"/>
          <w:szCs w:val="20"/>
          <w:color w:val="auto"/>
        </w:rPr>
      </w:pPr>
    </w:p>
    <w:p>
      <w:pPr>
        <w:ind w:left="180" w:hanging="170"/>
        <w:spacing w:after="0"/>
        <w:tabs>
          <w:tab w:leader="none" w:pos="18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an 11.4% increase in consolidated income from operations; and</w:t>
      </w:r>
    </w:p>
    <w:p>
      <w:pPr>
        <w:spacing w:after="0" w:line="166"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a decline of 82.0% in the consolidated integral result of financing.</w:t>
      </w:r>
    </w:p>
    <w:p>
      <w:pPr>
        <w:spacing w:after="0" w:line="173" w:lineRule="exact"/>
        <w:rPr>
          <w:sz w:val="20"/>
          <w:szCs w:val="20"/>
          <w:color w:val="auto"/>
        </w:rPr>
      </w:pPr>
    </w:p>
    <w:p>
      <w:pPr>
        <w:ind w:right="4019" w:firstLine="787"/>
        <w:spacing w:after="0" w:line="234" w:lineRule="auto"/>
        <w:rPr>
          <w:sz w:val="20"/>
          <w:szCs w:val="20"/>
          <w:color w:val="auto"/>
        </w:rPr>
      </w:pPr>
      <w:r>
        <w:rPr>
          <w:rFonts w:ascii="Courier New" w:cs="Courier New" w:eastAsia="Courier New" w:hAnsi="Courier New"/>
          <w:sz w:val="15"/>
          <w:szCs w:val="15"/>
          <w:color w:val="auto"/>
        </w:rPr>
        <w:t>The term "integral result of financing" refers to the combined financial effects of:</w:t>
      </w:r>
    </w:p>
    <w:p>
      <w:pPr>
        <w:spacing w:after="0" w:line="167" w:lineRule="exact"/>
        <w:rPr>
          <w:sz w:val="20"/>
          <w:szCs w:val="20"/>
          <w:color w:val="auto"/>
        </w:rPr>
      </w:pPr>
    </w:p>
    <w:p>
      <w:pPr>
        <w:ind w:left="180" w:hanging="170"/>
        <w:spacing w:after="0"/>
        <w:tabs>
          <w:tab w:leader="none" w:pos="18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net interest expense or interest income;</w:t>
      </w:r>
    </w:p>
    <w:p>
      <w:pPr>
        <w:spacing w:after="0" w:line="166"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net foreign exchange gain or loss; and</w:t>
      </w:r>
    </w:p>
    <w:p>
      <w:pPr>
        <w:spacing w:after="0" w:line="166"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net gain or loss on monetary position.</w:t>
      </w:r>
    </w:p>
    <w:p>
      <w:pPr>
        <w:spacing w:after="0" w:line="173"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Please refer to Note 4(n) of our consolidated financial statements for a description of the integral result of financing components.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the twelve months ended December 31, 2001, we recorded a consolidated integral result of financing expense of Ps. 282 million, significantly lower than the consolidated integral result of financing expense of Ps. 1.571 billion recorded for 2000. In the twelve months of 2001, consolidated net interest expense decreased by 34.4% to Ps. 472 million compared to Ps. 719 million in the comparable period of 2000. The decline in net interest expense is primarily attributable to a decline of 18.3% in our interest expense from Ps. 1.160 billion in 2000 to Ps. 948 million in 2001, which in turn reflects:</w:t>
      </w:r>
    </w:p>
    <w:p>
      <w:pPr>
        <w:spacing w:after="0" w:line="177" w:lineRule="exact"/>
        <w:rPr>
          <w:sz w:val="20"/>
          <w:szCs w:val="20"/>
          <w:color w:val="auto"/>
        </w:rPr>
      </w:pPr>
    </w:p>
    <w:p>
      <w:pPr>
        <w:ind w:left="440" w:right="3059" w:hanging="430"/>
        <w:spacing w:after="0" w:line="234" w:lineRule="auto"/>
        <w:tabs>
          <w:tab w:leader="none" w:pos="178"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100 basis point reduction in the weighted average cost of debt reflecting lower base rates for our variable-rate debt;</w:t>
      </w:r>
    </w:p>
    <w:p>
      <w:pPr>
        <w:spacing w:after="0" w:line="166"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a slight decline in our average indebtedness; and</w:t>
      </w:r>
    </w:p>
    <w:p>
      <w:pPr>
        <w:spacing w:after="0" w:line="172" w:lineRule="exact"/>
        <w:rPr>
          <w:rFonts w:ascii="Courier New" w:cs="Courier New" w:eastAsia="Courier New" w:hAnsi="Courier New"/>
          <w:sz w:val="15"/>
          <w:szCs w:val="15"/>
          <w:color w:val="auto"/>
        </w:rPr>
      </w:pPr>
    </w:p>
    <w:p>
      <w:pPr>
        <w:ind w:left="440" w:right="3059" w:hanging="430"/>
        <w:spacing w:after="0" w:line="235" w:lineRule="auto"/>
        <w:tabs>
          <w:tab w:leader="none" w:pos="178"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appreciation of the Peso against the U.S. Dollar of 4.5% when comparing the year-end exchange rate of 9.18 in December 31, 2001 to the year-end exchange rate of 9.61 in December 31, 2000, in terms of its impact on our U.S. Dollar-denominated debt.</w:t>
      </w:r>
    </w:p>
    <w:p>
      <w:pPr>
        <w:spacing w:after="0" w:line="175"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In addition, consolidated interest income increased by 7.9%, from Ps. 441 million in 2000 to Ps. 476 million in 2001 reflecting higher cash balances despite lower interest rates earned on Peso investments as compared to 2000. As of December 31, 2001, our weighted average cost of debt was 7.8%, 100 basis points lower than the weighted average cost of debt as of December 31, 2000.</w:t>
      </w:r>
    </w:p>
    <w:p>
      <w:pPr>
        <w:spacing w:after="0" w:line="16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We recorded a consolidated foreign exchange gain of Ps. 230 million compared to a foreign exchange loss of Ps. 1.121 billion recorded in 2000, primarily reflecting the effect of the appreciation of the Peso against the U.S. Dollar on our U.S. Dollar denominated indebtedness during 2001 and a foreign exchange gain of Ps. 69 million recorded by Coca-Cola FEMSA Buenos Aires during the fourth quarter of 2001 from holding U.S. Dollar-denominated assets. The foreign exchange loss we recorded in 2000 was mostly related to the loss recorded from foreign exchange forward contracts entered into during 2000.</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95</w:t>
      </w:r>
    </w:p>
    <w:p>
      <w:pPr>
        <w:sectPr>
          <w:pgSz w:w="11900" w:h="16838" w:orient="portrait"/>
          <w:cols w:equalWidth="0" w:num="1">
            <w:col w:w="10239"/>
          </w:cols>
          <w:pgMar w:left="220" w:top="617" w:right="1440" w:bottom="1440" w:gutter="0" w:footer="0" w:header="0"/>
        </w:sectPr>
      </w:pPr>
    </w:p>
    <w:bookmarkStart w:id="102" w:name="page103"/>
    <w:bookmarkEnd w:id="102"/>
    <w:p>
      <w:pPr>
        <w:ind w:right="3399" w:firstLine="437"/>
        <w:spacing w:after="0" w:line="235" w:lineRule="auto"/>
        <w:rPr>
          <w:sz w:val="20"/>
          <w:szCs w:val="20"/>
          <w:color w:val="auto"/>
        </w:rPr>
      </w:pPr>
      <w:r>
        <w:rPr>
          <w:rFonts w:ascii="Courier New" w:cs="Courier New" w:eastAsia="Courier New" w:hAnsi="Courier New"/>
          <w:sz w:val="15"/>
          <w:szCs w:val="15"/>
          <w:color w:val="auto"/>
        </w:rPr>
        <w:t>The loss in consolidated monetary position amounted to Ps. 40 million reflecting the increase in our Mexican operations' net monetary asset position as well as declining Mexican inflation.</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Other Expenses (Income)</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Consolidated other expenses for 2001 amounted to Ps. 297 million, compared to consolidated other income of Ps. 243 million recorded for 2000. The expenses recorded in 2001 were in connection with asset impairments, write-offs and severance related costs.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Income Tax, Tax on Assets, and Employee Profit Sharing</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Our consolidated income before income tax, tax on assets and employee profit sharing increased by 25.6% to Ps. 7.954 billion in 2001 from Ps. 6.335 billion in 2000, primarily reflecting the increase in the consolidated net integral cost of financing. Our taxes are computed on a consolidated basis, and we are the consolidating entity for tax purposes. Our consolidated income tax, tax on assets and employee profit sharing amounted to Ps. 2.945 billion in 2001, an increase of 17.4% relative to the 2.508 billion recorded for 2000. Of the Ps. 2.945 billion, Ps. 2.765 billion is current income tax expense, Ps. 292 is employee profit sharing expense, and Ps. 112 million is deferred income tax gain. Our combined effective rate for the full year 2001 was 37.0%, lower than the 39.6% combined effective rate for the full year 2000 as a result of a reduction in the Mexican statutory income tax rate.</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Net Income</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Our consolidated net income increased by 30.1% amounting to Ps. 4.980 billion for 2001 compared with Ps. 3.827 billion recorded in 2000, primarily reflecting the improvement in consolidated income from operations and a reduction in the consolidated integral results of financing. Consolidated net majority income amounted to Ps. 3.393 billion for 2001, an increase of 23.5% as compared with Ps. 2.748 billion recorded for 2000. Net majority income per FEMSA Unit amounted to Ps. 3.203, compared with Ps. 2.589 for last year, an increase of 23.7%. See "Item 9. The Offer and Listing--Description of Securities."</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96</w:t>
      </w:r>
    </w:p>
    <w:p>
      <w:pPr>
        <w:sectPr>
          <w:pgSz w:w="11900" w:h="16838" w:orient="portrait"/>
          <w:cols w:equalWidth="0" w:num="1">
            <w:col w:w="10239"/>
          </w:cols>
          <w:pgMar w:left="220" w:top="623" w:right="1440" w:bottom="1440" w:gutter="0" w:footer="0" w:header="0"/>
        </w:sectPr>
      </w:pPr>
    </w:p>
    <w:bookmarkStart w:id="103" w:name="page104"/>
    <w:bookmarkEnd w:id="103"/>
    <w:p>
      <w:pPr>
        <w:ind w:left="2200"/>
        <w:spacing w:after="0"/>
        <w:rPr>
          <w:sz w:val="20"/>
          <w:szCs w:val="20"/>
          <w:color w:val="auto"/>
        </w:rPr>
      </w:pPr>
      <w:r>
        <w:rPr>
          <w:rFonts w:ascii="Courier New" w:cs="Courier New" w:eastAsia="Courier New" w:hAnsi="Courier New"/>
          <w:sz w:val="15"/>
          <w:szCs w:val="15"/>
          <w:color w:val="auto"/>
        </w:rPr>
        <w:t>Liquidity and Capital Resources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w:t>
      </w:r>
    </w:p>
    <w:p>
      <w:pPr>
        <w:spacing w:after="0" w:line="173"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Currently, each of our subholding companies finance their business and capital requirements. Although we have historically followed centralized financing strategies, whereby Emprex was responsible for the majority of our financing transactions and funds were lent to our operating subsidiaries, as of December 31, 2002, 88.5% of our outstanding consolidated indebtedness was incurred at the level of the subholding companies. This strategy is attributable, in part, to the inclusion of third parties in the capital structure of both FEMSA Cerveza and Coca-Cola FEMSA. In 1996, however, this policy was also implemented with respect to FEMSA Empaques and FEMSA Comercio. We believe that we have been able to improve our overall financing profile and that of each of our subholding companies through this policy. We expect to continue to finance our operations primarily at the level of the subholding companies.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principal source of liquidity of each subholding company has generally been generated from operations. We have traditionally been able to rely on cash generated from operations because a significant majority of the sales of FEMSA Cerveza, Coca-Cola FEMSA and FEMSA Comercio are on a cash or short-term credit basis, and FEMSA Comercio's Oxxo stores are able to finance a significant proportion of their initial and ongoing inventories with supplier credit. Our principal use of cash has generally been for capital expenditure programs, debt repayments and dividend payments.</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ind w:left="2540"/>
              <w:spacing w:after="0"/>
              <w:rPr>
                <w:sz w:val="20"/>
                <w:szCs w:val="20"/>
                <w:color w:val="auto"/>
              </w:rPr>
            </w:pPr>
            <w:r>
              <w:rPr>
                <w:rFonts w:ascii="Courier New" w:cs="Courier New" w:eastAsia="Courier New" w:hAnsi="Courier New"/>
                <w:sz w:val="15"/>
                <w:szCs w:val="15"/>
                <w:color w:val="auto"/>
              </w:rPr>
              <w:t>Principal Uses of Cash</w:t>
            </w:r>
          </w:p>
        </w:tc>
        <w:tc>
          <w:tcPr>
            <w:tcW w:w="1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36"/>
        </w:trPr>
        <w:tc>
          <w:tcPr>
            <w:tcW w:w="5340" w:type="dxa"/>
            <w:vAlign w:val="bottom"/>
          </w:tcPr>
          <w:p>
            <w:pPr>
              <w:spacing w:after="0"/>
              <w:rPr>
                <w:sz w:val="24"/>
                <w:szCs w:val="24"/>
                <w:color w:val="auto"/>
              </w:rPr>
            </w:pPr>
          </w:p>
        </w:tc>
        <w:tc>
          <w:tcPr>
            <w:tcW w:w="3900" w:type="dxa"/>
            <w:vAlign w:val="bottom"/>
            <w:gridSpan w:val="4"/>
          </w:tcPr>
          <w:p>
            <w:pPr>
              <w:jc w:val="right"/>
              <w:ind w:right="67"/>
              <w:spacing w:after="0"/>
              <w:rPr>
                <w:sz w:val="20"/>
                <w:szCs w:val="20"/>
                <w:color w:val="auto"/>
              </w:rPr>
            </w:pPr>
            <w:r>
              <w:rPr>
                <w:rFonts w:ascii="Courier New" w:cs="Courier New" w:eastAsia="Courier New" w:hAnsi="Courier New"/>
                <w:sz w:val="15"/>
                <w:szCs w:val="15"/>
                <w:color w:val="auto"/>
              </w:rPr>
              <w:t>For the Year Ended December 31,</w:t>
            </w:r>
          </w:p>
        </w:tc>
        <w:tc>
          <w:tcPr>
            <w:tcW w:w="740" w:type="dxa"/>
            <w:vAlign w:val="bottom"/>
          </w:tcPr>
          <w:p>
            <w:pPr>
              <w:spacing w:after="0"/>
              <w:rPr>
                <w:sz w:val="24"/>
                <w:szCs w:val="24"/>
                <w:color w:val="auto"/>
              </w:rPr>
            </w:pPr>
          </w:p>
        </w:tc>
      </w:tr>
      <w:tr>
        <w:trPr>
          <w:trHeight w:val="168"/>
        </w:trPr>
        <w:tc>
          <w:tcPr>
            <w:tcW w:w="5340" w:type="dxa"/>
            <w:vAlign w:val="bottom"/>
          </w:tcPr>
          <w:p>
            <w:pPr>
              <w:spacing w:after="0"/>
              <w:rPr>
                <w:sz w:val="14"/>
                <w:szCs w:val="14"/>
                <w:color w:val="auto"/>
              </w:rPr>
            </w:pPr>
          </w:p>
        </w:tc>
        <w:tc>
          <w:tcPr>
            <w:tcW w:w="3900" w:type="dxa"/>
            <w:vAlign w:val="bottom"/>
            <w:gridSpan w:val="4"/>
          </w:tcPr>
          <w:p>
            <w:pPr>
              <w:ind w:left="1140"/>
              <w:spacing w:after="0" w:line="168" w:lineRule="exact"/>
              <w:rPr>
                <w:sz w:val="20"/>
                <w:szCs w:val="20"/>
                <w:color w:val="auto"/>
              </w:rPr>
            </w:pPr>
            <w:r>
              <w:rPr>
                <w:rFonts w:ascii="Courier New" w:cs="Courier New" w:eastAsia="Courier New" w:hAnsi="Courier New"/>
                <w:sz w:val="15"/>
                <w:szCs w:val="15"/>
                <w:color w:val="auto"/>
              </w:rPr>
              <w:t>(Millions of Constant Pesos)</w:t>
            </w:r>
          </w:p>
        </w:tc>
        <w:tc>
          <w:tcPr>
            <w:tcW w:w="740" w:type="dxa"/>
            <w:vAlign w:val="bottom"/>
          </w:tcPr>
          <w:p>
            <w:pPr>
              <w:spacing w:after="0"/>
              <w:rPr>
                <w:sz w:val="14"/>
                <w:szCs w:val="14"/>
                <w:color w:val="auto"/>
              </w:rPr>
            </w:pPr>
          </w:p>
        </w:tc>
      </w:tr>
      <w:tr>
        <w:trPr>
          <w:trHeight w:val="168"/>
        </w:trPr>
        <w:tc>
          <w:tcPr>
            <w:tcW w:w="5340" w:type="dxa"/>
            <w:vAlign w:val="bottom"/>
          </w:tcPr>
          <w:p>
            <w:pPr>
              <w:spacing w:after="0"/>
              <w:rPr>
                <w:sz w:val="14"/>
                <w:szCs w:val="14"/>
                <w:color w:val="auto"/>
              </w:rPr>
            </w:pPr>
          </w:p>
        </w:tc>
        <w:tc>
          <w:tcPr>
            <w:tcW w:w="15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2002</w:t>
            </w:r>
          </w:p>
        </w:tc>
        <w:tc>
          <w:tcPr>
            <w:tcW w:w="700" w:type="dxa"/>
            <w:vAlign w:val="bottom"/>
          </w:tcPr>
          <w:p>
            <w:pPr>
              <w:spacing w:after="0"/>
              <w:rPr>
                <w:sz w:val="14"/>
                <w:szCs w:val="14"/>
                <w:color w:val="auto"/>
              </w:rPr>
            </w:pP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2001</w:t>
            </w:r>
          </w:p>
        </w:tc>
        <w:tc>
          <w:tcPr>
            <w:tcW w:w="66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5340" w:type="dxa"/>
            <w:vAlign w:val="bottom"/>
          </w:tcPr>
          <w:p>
            <w:pPr>
              <w:spacing w:after="0"/>
              <w:rPr>
                <w:sz w:val="14"/>
                <w:szCs w:val="14"/>
                <w:color w:val="auto"/>
              </w:rPr>
            </w:pPr>
          </w:p>
        </w:tc>
        <w:tc>
          <w:tcPr>
            <w:tcW w:w="15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Net resources generated by operations....................</w:t>
            </w:r>
          </w:p>
        </w:tc>
        <w:tc>
          <w:tcPr>
            <w:tcW w:w="1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Ps. 9,182</w:t>
            </w:r>
          </w:p>
        </w:tc>
        <w:tc>
          <w:tcPr>
            <w:tcW w:w="700" w:type="dxa"/>
            <w:vAlign w:val="bottom"/>
          </w:tcPr>
          <w:p>
            <w:pPr>
              <w:ind w:left="300"/>
              <w:spacing w:after="0"/>
              <w:rPr>
                <w:sz w:val="20"/>
                <w:szCs w:val="20"/>
                <w:color w:val="auto"/>
              </w:rPr>
            </w:pPr>
            <w:r>
              <w:rPr>
                <w:rFonts w:ascii="Courier New" w:cs="Courier New" w:eastAsia="Courier New" w:hAnsi="Courier New"/>
                <w:sz w:val="15"/>
                <w:szCs w:val="15"/>
                <w:color w:val="auto"/>
              </w:rPr>
              <w:t>Ps.</w:t>
            </w:r>
          </w:p>
        </w:tc>
        <w:tc>
          <w:tcPr>
            <w:tcW w:w="10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9,390</w:t>
            </w: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Ps.</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7,984</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expenditures(1)..................................</w:t>
            </w:r>
          </w:p>
        </w:tc>
        <w:tc>
          <w:tcPr>
            <w:tcW w:w="15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(5,540)</w:t>
            </w:r>
          </w:p>
        </w:tc>
        <w:tc>
          <w:tcPr>
            <w:tcW w:w="70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(5,314)</w:t>
            </w:r>
          </w:p>
        </w:tc>
        <w:tc>
          <w:tcPr>
            <w:tcW w:w="6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(4,571)</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Bank loans, notes and interest payable...................</w:t>
            </w:r>
          </w:p>
        </w:tc>
        <w:tc>
          <w:tcPr>
            <w:tcW w:w="15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5,482</w:t>
            </w:r>
          </w:p>
        </w:tc>
        <w:tc>
          <w:tcPr>
            <w:tcW w:w="70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(508)</w:t>
            </w:r>
          </w:p>
        </w:tc>
        <w:tc>
          <w:tcPr>
            <w:tcW w:w="6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(620)</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Dividends declared and paid..............................</w:t>
            </w:r>
          </w:p>
        </w:tc>
        <w:tc>
          <w:tcPr>
            <w:tcW w:w="15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(1,140)</w:t>
            </w:r>
          </w:p>
        </w:tc>
        <w:tc>
          <w:tcPr>
            <w:tcW w:w="70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(632)</w:t>
            </w:r>
          </w:p>
        </w:tc>
        <w:tc>
          <w:tcPr>
            <w:tcW w:w="6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(720)</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Includes Property, Plant and Equipment plus Deferred Charges.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Our subholding companies generally incur short-term indebtedness, in the event that they are temporarily unable to finance operations or meet any capital requirements with cash from operations. A significant decline in the business of any of our subholding companies may affect such subholding company's ability to fund its capital requirements. A significant and prolonged deterioration in the Mexican economy or in our business may affect our ability to obtain short-term and long-term credit on terms satisfactory to us.</w:t>
      </w:r>
    </w:p>
    <w:p>
      <w:pPr>
        <w:spacing w:after="0" w:line="16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We have traditionally financed significant acquisitions, principally Coca-Cola FEMSA's acquisition of Coca-Cola Buenos Aires in 1994 and more recently our acquisition of Panamco in May 2003, capital expenditures and other capital requirements that could not be financed with cash from operations by incurring long-term indebtedness.</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Servicing the substantial indebtedness incurred by Coca-Cola FEMSA in connection with the acquisition of Panamco will require a significant amount of Coca-Cola FEMSA's future net resources from operations and may decrease the amount available to it to invest in its business, meet its other obligations or obtain other financing on satisfactory terms. In addition, the terms of the indebtedness may restrict Coca-Cola FEMSA's ability to incur additional indebtedness. See "--Acquisition of Panamco."</w:t>
      </w:r>
    </w:p>
    <w:p>
      <w:pPr>
        <w:spacing w:after="0" w:line="176"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We believe that our sources of liquidity as of December 31, 2002 were adequate for the conduct of our subholding companies' businesses and that we will have sufficient funds available to meet our expenditure demands and financing needs in 2003.</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97</w:t>
      </w:r>
    </w:p>
    <w:p>
      <w:pPr>
        <w:sectPr>
          <w:pgSz w:w="11900" w:h="16838" w:orient="portrait"/>
          <w:cols w:equalWidth="0" w:num="1">
            <w:col w:w="10239"/>
          </w:cols>
          <w:pgMar w:left="220" w:top="953" w:right="1440" w:bottom="1440" w:gutter="0" w:footer="0" w:header="0"/>
        </w:sectPr>
      </w:pPr>
    </w:p>
    <w:bookmarkStart w:id="104" w:name="page105"/>
    <w:bookmarkEnd w:id="104"/>
    <w:p>
      <w:pPr>
        <w:spacing w:after="0"/>
        <w:rPr>
          <w:sz w:val="20"/>
          <w:szCs w:val="20"/>
          <w:color w:val="auto"/>
        </w:rPr>
      </w:pPr>
      <w:r>
        <w:rPr>
          <w:rFonts w:ascii="Courier New" w:cs="Courier New" w:eastAsia="Courier New" w:hAnsi="Courier New"/>
          <w:sz w:val="15"/>
          <w:szCs w:val="15"/>
          <w:color w:val="auto"/>
        </w:rPr>
        <w:t>Contractual Obligations</w:t>
      </w:r>
    </w:p>
    <w:p>
      <w:pPr>
        <w:spacing w:after="0" w:line="173" w:lineRule="exact"/>
        <w:rPr>
          <w:sz w:val="20"/>
          <w:szCs w:val="20"/>
          <w:color w:val="auto"/>
        </w:rPr>
      </w:pPr>
    </w:p>
    <w:p>
      <w:pPr>
        <w:ind w:right="880" w:firstLine="437"/>
        <w:spacing w:after="0" w:line="234" w:lineRule="auto"/>
        <w:rPr>
          <w:sz w:val="20"/>
          <w:szCs w:val="20"/>
          <w:color w:val="auto"/>
        </w:rPr>
      </w:pPr>
      <w:r>
        <w:rPr>
          <w:rFonts w:ascii="Courier New" w:cs="Courier New" w:eastAsia="Courier New" w:hAnsi="Courier New"/>
          <w:sz w:val="15"/>
          <w:szCs w:val="15"/>
          <w:color w:val="auto"/>
        </w:rPr>
        <w:t>The table below sets forth our significant long-term contractual obligations as of December 31, 2002:</w:t>
      </w:r>
    </w:p>
    <w:p>
      <w:pPr>
        <w:spacing w:after="0" w:line="200" w:lineRule="exact"/>
        <w:rPr>
          <w:sz w:val="20"/>
          <w:szCs w:val="20"/>
          <w:color w:val="auto"/>
        </w:rPr>
      </w:pPr>
    </w:p>
    <w:p>
      <w:pPr>
        <w:spacing w:after="0" w:line="303" w:lineRule="exact"/>
        <w:rPr>
          <w:sz w:val="20"/>
          <w:szCs w:val="20"/>
          <w:color w:val="auto"/>
        </w:rPr>
      </w:pPr>
    </w:p>
    <w:p>
      <w:pPr>
        <w:jc w:val="center"/>
        <w:ind w:left="180"/>
        <w:spacing w:after="0"/>
        <w:rPr>
          <w:sz w:val="20"/>
          <w:szCs w:val="20"/>
          <w:color w:val="auto"/>
        </w:rPr>
      </w:pPr>
      <w:r>
        <w:rPr>
          <w:rFonts w:ascii="Courier New" w:cs="Courier New" w:eastAsia="Courier New" w:hAnsi="Courier New"/>
          <w:sz w:val="15"/>
          <w:szCs w:val="15"/>
          <w:color w:val="auto"/>
        </w:rPr>
        <w:t>Contractual Obligations</w:t>
      </w:r>
    </w:p>
    <w:p>
      <w:pPr>
        <w:jc w:val="center"/>
        <w:ind w:left="180"/>
        <w:spacing w:after="0" w:line="237" w:lineRule="auto"/>
        <w:rPr>
          <w:sz w:val="20"/>
          <w:szCs w:val="20"/>
          <w:color w:val="auto"/>
        </w:rPr>
      </w:pPr>
      <w:r>
        <w:rPr>
          <w:rFonts w:ascii="Courier New" w:cs="Courier New" w:eastAsia="Courier New" w:hAnsi="Courier New"/>
          <w:sz w:val="15"/>
          <w:szCs w:val="15"/>
          <w:color w:val="auto"/>
        </w:rPr>
        <w:t>As of December 31, 2002</w:t>
      </w:r>
    </w:p>
    <w:p>
      <w:pPr>
        <w:jc w:val="center"/>
        <w:ind w:left="180"/>
        <w:spacing w:after="0" w:line="238" w:lineRule="auto"/>
        <w:rPr>
          <w:sz w:val="20"/>
          <w:szCs w:val="20"/>
          <w:color w:val="auto"/>
        </w:rPr>
      </w:pPr>
      <w:r>
        <w:rPr>
          <w:rFonts w:ascii="Courier New" w:cs="Courier New" w:eastAsia="Courier New" w:hAnsi="Courier New"/>
          <w:sz w:val="15"/>
          <w:szCs w:val="15"/>
          <w:color w:val="auto"/>
        </w:rPr>
        <w:t>In Millions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8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Operating Leasing</w:t>
            </w:r>
          </w:p>
        </w:tc>
      </w:tr>
      <w:tr>
        <w:trPr>
          <w:trHeight w:val="168"/>
        </w:trPr>
        <w:tc>
          <w:tcPr>
            <w:tcW w:w="3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060" w:type="dxa"/>
            <w:vAlign w:val="bottom"/>
            <w:gridSpan w:val="3"/>
          </w:tcPr>
          <w:p>
            <w:pPr>
              <w:jc w:val="right"/>
              <w:ind w:right="367"/>
              <w:spacing w:after="0" w:line="168" w:lineRule="exact"/>
              <w:rPr>
                <w:sz w:val="20"/>
                <w:szCs w:val="20"/>
                <w:color w:val="auto"/>
              </w:rPr>
            </w:pPr>
            <w:r>
              <w:rPr>
                <w:rFonts w:ascii="Courier New" w:cs="Courier New" w:eastAsia="Courier New" w:hAnsi="Courier New"/>
                <w:sz w:val="15"/>
                <w:szCs w:val="15"/>
                <w:color w:val="auto"/>
              </w:rPr>
              <w:t>Long-Term Debt</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Commitments</w:t>
            </w:r>
          </w:p>
        </w:tc>
        <w:tc>
          <w:tcPr>
            <w:tcW w:w="62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Pesos</w:t>
            </w:r>
          </w:p>
        </w:tc>
        <w:tc>
          <w:tcPr>
            <w:tcW w:w="22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Dollars</w:t>
            </w:r>
          </w:p>
        </w:tc>
        <w:tc>
          <w:tcPr>
            <w:tcW w:w="166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Pesos</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Dollars</w:t>
            </w:r>
          </w:p>
        </w:tc>
      </w:tr>
      <w:tr>
        <w:trPr>
          <w:trHeight w:val="336"/>
        </w:trPr>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2003</w:t>
            </w:r>
          </w:p>
        </w:tc>
        <w:tc>
          <w:tcPr>
            <w:tcW w:w="214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Ps.  180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859</w:t>
            </w:r>
          </w:p>
        </w:tc>
        <w:tc>
          <w:tcPr>
            <w:tcW w:w="16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Ps.  236</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   26</w:t>
            </w:r>
          </w:p>
        </w:tc>
      </w:tr>
      <w:tr>
        <w:trPr>
          <w:trHeight w:val="168"/>
        </w:trPr>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2004</w:t>
            </w:r>
          </w:p>
        </w:tc>
        <w:tc>
          <w:tcPr>
            <w:tcW w:w="2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180</w:t>
            </w:r>
          </w:p>
        </w:tc>
        <w:tc>
          <w:tcPr>
            <w:tcW w:w="22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3,527</w:t>
            </w:r>
          </w:p>
        </w:tc>
        <w:tc>
          <w:tcPr>
            <w:tcW w:w="16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213</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w:t>
            </w:r>
          </w:p>
        </w:tc>
      </w:tr>
      <w:tr>
        <w:trPr>
          <w:trHeight w:val="168"/>
        </w:trPr>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2005</w:t>
            </w:r>
          </w:p>
        </w:tc>
        <w:tc>
          <w:tcPr>
            <w:tcW w:w="2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680</w:t>
            </w:r>
          </w:p>
        </w:tc>
        <w:tc>
          <w:tcPr>
            <w:tcW w:w="22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1,297</w:t>
            </w:r>
          </w:p>
        </w:tc>
        <w:tc>
          <w:tcPr>
            <w:tcW w:w="16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200</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w:t>
            </w:r>
          </w:p>
        </w:tc>
      </w:tr>
      <w:tr>
        <w:trPr>
          <w:trHeight w:val="168"/>
        </w:trPr>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2006</w:t>
            </w:r>
          </w:p>
        </w:tc>
        <w:tc>
          <w:tcPr>
            <w:tcW w:w="2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910</w:t>
            </w:r>
          </w:p>
        </w:tc>
        <w:tc>
          <w:tcPr>
            <w:tcW w:w="22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3,428</w:t>
            </w:r>
          </w:p>
        </w:tc>
        <w:tc>
          <w:tcPr>
            <w:tcW w:w="16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187</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w:t>
            </w:r>
          </w:p>
        </w:tc>
      </w:tr>
      <w:tr>
        <w:trPr>
          <w:trHeight w:val="168"/>
        </w:trPr>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2007</w:t>
            </w:r>
          </w:p>
        </w:tc>
        <w:tc>
          <w:tcPr>
            <w:tcW w:w="2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1,250</w:t>
            </w:r>
          </w:p>
        </w:tc>
        <w:tc>
          <w:tcPr>
            <w:tcW w:w="22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1,200</w:t>
            </w:r>
          </w:p>
        </w:tc>
        <w:tc>
          <w:tcPr>
            <w:tcW w:w="16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173</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2008</w:t>
            </w:r>
          </w:p>
        </w:tc>
        <w:tc>
          <w:tcPr>
            <w:tcW w:w="2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w:t>
            </w:r>
          </w:p>
        </w:tc>
        <w:tc>
          <w:tcPr>
            <w:tcW w:w="16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159</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2009</w:t>
            </w:r>
          </w:p>
        </w:tc>
        <w:tc>
          <w:tcPr>
            <w:tcW w:w="2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and thereafter........</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43</w:t>
            </w:r>
          </w:p>
        </w:tc>
        <w:tc>
          <w:tcPr>
            <w:tcW w:w="16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968</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440" w:right="80" w:hanging="430"/>
        <w:spacing w:after="0" w:line="235" w:lineRule="auto"/>
        <w:tabs>
          <w:tab w:leader="none" w:pos="44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Refers to the contract with Pemex described in "Item 11. Quantitative and Qualitative Disclosure About Market Risk--Commodity Price Risk and a capital lease."</w:t>
      </w:r>
    </w:p>
    <w:p>
      <w:pPr>
        <w:spacing w:after="0" w:line="174" w:lineRule="exact"/>
        <w:rPr>
          <w:sz w:val="20"/>
          <w:szCs w:val="20"/>
          <w:color w:val="auto"/>
        </w:rPr>
      </w:pPr>
    </w:p>
    <w:p>
      <w:pPr>
        <w:ind w:firstLine="437"/>
        <w:spacing w:after="0" w:line="236" w:lineRule="auto"/>
        <w:rPr>
          <w:sz w:val="20"/>
          <w:szCs w:val="20"/>
          <w:color w:val="auto"/>
        </w:rPr>
      </w:pPr>
      <w:r>
        <w:rPr>
          <w:rFonts w:ascii="Courier New" w:cs="Courier New" w:eastAsia="Courier New" w:hAnsi="Courier New"/>
          <w:sz w:val="15"/>
          <w:szCs w:val="15"/>
          <w:color w:val="auto"/>
        </w:rPr>
        <w:t>As of December 31, 2002, we had total consolidated indebtedness of approximately Ps. 13,806 million, of which Ps. 4,003 million was due within one year and Ps. 10,679 million was long-term debt. As of December 31, 2002, our consolidated average cost of borrowing was approximately 6.9%, compared to an average cost of borrowing of 7.8% in 2001. The decrease in our average cost of borrowing mainly reflects a decrease in the London interbank offered rate, or LIBOR, a benchmark rate used for Eurodollar loans. As of December 31, 2002, 69.6% of our consolidated indebtedness was denominated and payable in U.S. Dollars.</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Other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Contractual Obligations</w:t>
      </w:r>
    </w:p>
    <w:p>
      <w:pPr>
        <w:spacing w:after="0" w:line="3" w:lineRule="exact"/>
        <w:rPr>
          <w:sz w:val="20"/>
          <w:szCs w:val="20"/>
          <w:color w:val="auto"/>
        </w:rPr>
      </w:pPr>
    </w:p>
    <w:p>
      <w:pPr>
        <w:ind w:left="80"/>
        <w:spacing w:after="0"/>
        <w:tabs>
          <w:tab w:leader="none" w:pos="1300" w:val="left"/>
        </w:tabs>
        <w:rPr>
          <w:sz w:val="20"/>
          <w:szCs w:val="20"/>
          <w:color w:val="auto"/>
        </w:rPr>
      </w:pPr>
      <w:r>
        <w:rPr>
          <w:rFonts w:ascii="Courier New" w:cs="Courier New" w:eastAsia="Courier New" w:hAnsi="Courier New"/>
          <w:sz w:val="15"/>
          <w:szCs w:val="15"/>
          <w:color w:val="auto"/>
        </w:rPr>
        <w:t>Pesos</w:t>
      </w:r>
      <w:r>
        <w:rPr>
          <w:sz w:val="20"/>
          <w:szCs w:val="20"/>
          <w:color w:val="auto"/>
        </w:rPr>
        <w:tab/>
      </w:r>
      <w:r>
        <w:rPr>
          <w:rFonts w:ascii="Courier New" w:cs="Courier New" w:eastAsia="Courier New" w:hAnsi="Courier New"/>
          <w:sz w:val="15"/>
          <w:szCs w:val="15"/>
          <w:color w:val="auto"/>
        </w:rPr>
        <w:t>Dollars</w:t>
      </w:r>
    </w:p>
    <w:p>
      <w:pPr>
        <w:spacing w:after="0" w:line="173" w:lineRule="exact"/>
        <w:rPr>
          <w:sz w:val="20"/>
          <w:szCs w:val="20"/>
          <w:color w:val="auto"/>
        </w:rPr>
      </w:pPr>
    </w:p>
    <w:p>
      <w:pPr>
        <w:ind w:left="1400" w:hanging="1139"/>
        <w:spacing w:after="0"/>
        <w:tabs>
          <w:tab w:leader="none" w:pos="140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$ 16(1)</w:t>
      </w:r>
    </w:p>
    <w:p>
      <w:pPr>
        <w:spacing w:after="0" w:line="4" w:lineRule="exact"/>
        <w:rPr>
          <w:rFonts w:ascii="Courier New" w:cs="Courier New" w:eastAsia="Courier New" w:hAnsi="Courier New"/>
          <w:sz w:val="14"/>
          <w:szCs w:val="14"/>
          <w:color w:val="auto"/>
        </w:rPr>
      </w:pPr>
    </w:p>
    <w:p>
      <w:pPr>
        <w:ind w:left="1740" w:hanging="1479"/>
        <w:spacing w:after="0" w:line="237" w:lineRule="auto"/>
        <w:tabs>
          <w:tab w:leader="none" w:pos="174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1</w:t>
      </w:r>
    </w:p>
    <w:p>
      <w:pPr>
        <w:ind w:left="1740" w:hanging="1479"/>
        <w:spacing w:after="0" w:line="237" w:lineRule="auto"/>
        <w:tabs>
          <w:tab w:leader="none" w:pos="174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1</w:t>
      </w:r>
    </w:p>
    <w:p>
      <w:pPr>
        <w:ind w:left="1740" w:hanging="1479"/>
        <w:spacing w:after="0" w:line="237" w:lineRule="auto"/>
        <w:tabs>
          <w:tab w:leader="none" w:pos="174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1</w:t>
      </w:r>
    </w:p>
    <w:p>
      <w:pPr>
        <w:ind w:left="1660" w:hanging="1399"/>
        <w:spacing w:after="0" w:line="237" w:lineRule="auto"/>
        <w:tabs>
          <w:tab w:leader="none" w:pos="166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660" w:hanging="1399"/>
        <w:spacing w:after="0" w:line="237" w:lineRule="auto"/>
        <w:tabs>
          <w:tab w:leader="none" w:pos="166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660" w:hanging="1399"/>
        <w:spacing w:after="0" w:line="237" w:lineRule="auto"/>
        <w:tabs>
          <w:tab w:leader="none" w:pos="166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2">
            <w:col w:w="6920" w:space="700"/>
            <w:col w:w="2619"/>
          </w:cols>
          <w:pgMar w:left="220" w:top="617" w:right="1440" w:bottom="1440" w:gutter="0" w:footer="0" w:header="0"/>
        </w:sectPr>
      </w:pPr>
    </w:p>
    <w:bookmarkStart w:id="105" w:name="page106"/>
    <w:bookmarkEnd w:id="105"/>
    <w:p>
      <w:pPr>
        <w:ind w:left="800"/>
        <w:spacing w:after="0"/>
        <w:rPr>
          <w:sz w:val="20"/>
          <w:szCs w:val="20"/>
          <w:color w:val="auto"/>
        </w:rPr>
      </w:pPr>
      <w:r>
        <w:rPr>
          <w:rFonts w:ascii="Courier New" w:cs="Courier New" w:eastAsia="Courier New" w:hAnsi="Courier New"/>
          <w:sz w:val="15"/>
          <w:szCs w:val="15"/>
          <w:color w:val="auto"/>
        </w:rPr>
        <w:t>The following table shows the allocations of debt among the companies: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06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w w:val="99"/>
              </w:rPr>
              <w:t>Debt Profile of the Companies</w:t>
            </w:r>
          </w:p>
        </w:tc>
        <w:tc>
          <w:tcPr>
            <w:tcW w:w="880" w:type="dxa"/>
            <w:vAlign w:val="bottom"/>
          </w:tcPr>
          <w:p>
            <w:pPr>
              <w:spacing w:after="0"/>
              <w:rPr>
                <w:sz w:val="14"/>
                <w:szCs w:val="14"/>
                <w:color w:val="auto"/>
              </w:rPr>
            </w:pPr>
          </w:p>
        </w:tc>
      </w:tr>
      <w:tr>
        <w:trPr>
          <w:trHeight w:val="168"/>
        </w:trPr>
        <w:tc>
          <w:tcPr>
            <w:tcW w:w="2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As</w:t>
            </w:r>
          </w:p>
        </w:tc>
        <w:tc>
          <w:tcPr>
            <w:tcW w:w="248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w w:val="97"/>
              </w:rPr>
              <w:t>of December 31, 2002</w:t>
            </w:r>
          </w:p>
        </w:tc>
        <w:tc>
          <w:tcPr>
            <w:tcW w:w="880" w:type="dxa"/>
            <w:vAlign w:val="bottom"/>
          </w:tcPr>
          <w:p>
            <w:pPr>
              <w:spacing w:after="0"/>
              <w:rPr>
                <w:sz w:val="14"/>
                <w:szCs w:val="14"/>
                <w:color w:val="auto"/>
              </w:rPr>
            </w:pPr>
          </w:p>
        </w:tc>
      </w:tr>
      <w:tr>
        <w:trPr>
          <w:trHeight w:val="336"/>
        </w:trPr>
        <w:tc>
          <w:tcPr>
            <w:tcW w:w="228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Short-term</w:t>
            </w:r>
          </w:p>
        </w:tc>
        <w:tc>
          <w:tcPr>
            <w:tcW w:w="1400" w:type="dxa"/>
            <w:vAlign w:val="bottom"/>
          </w:tcPr>
          <w:p>
            <w:pPr>
              <w:ind w:left="520"/>
              <w:spacing w:after="0"/>
              <w:rPr>
                <w:sz w:val="20"/>
                <w:szCs w:val="20"/>
                <w:color w:val="auto"/>
              </w:rPr>
            </w:pPr>
            <w:r>
              <w:rPr>
                <w:rFonts w:ascii="Courier New" w:cs="Courier New" w:eastAsia="Courier New" w:hAnsi="Courier New"/>
                <w:sz w:val="15"/>
                <w:szCs w:val="15"/>
                <w:color w:val="auto"/>
              </w:rPr>
              <w:t>Long-term</w:t>
            </w: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Obligor</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Debt(1)</w:t>
            </w:r>
          </w:p>
        </w:tc>
        <w:tc>
          <w:tcPr>
            <w:tcW w:w="14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Debt(2)</w:t>
            </w:r>
          </w:p>
        </w:tc>
        <w:tc>
          <w:tcPr>
            <w:tcW w:w="184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Total Debt</w:t>
            </w:r>
          </w:p>
        </w:tc>
        <w:tc>
          <w:tcPr>
            <w:tcW w:w="210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Average Cost</w:t>
            </w:r>
          </w:p>
        </w:tc>
      </w:tr>
      <w:tr>
        <w:trPr>
          <w:trHeight w:val="168"/>
        </w:trPr>
        <w:tc>
          <w:tcPr>
            <w:tcW w:w="2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240" w:type="dxa"/>
            <w:vAlign w:val="bottom"/>
            <w:gridSpan w:val="3"/>
          </w:tcPr>
          <w:p>
            <w:pPr>
              <w:jc w:val="right"/>
              <w:ind w:right="187"/>
              <w:spacing w:after="0" w:line="168" w:lineRule="exact"/>
              <w:rPr>
                <w:sz w:val="20"/>
                <w:szCs w:val="20"/>
                <w:color w:val="auto"/>
              </w:rPr>
            </w:pPr>
            <w:r>
              <w:rPr>
                <w:rFonts w:ascii="Courier New" w:cs="Courier New" w:eastAsia="Courier New" w:hAnsi="Courier New"/>
                <w:sz w:val="15"/>
                <w:szCs w:val="15"/>
                <w:color w:val="auto"/>
              </w:rPr>
              <w:t>(in Millions of Constant Pesos)</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Pesos</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Dollars</w:t>
            </w:r>
          </w:p>
        </w:tc>
      </w:tr>
      <w:tr>
        <w:trPr>
          <w:trHeight w:val="336"/>
        </w:trPr>
        <w:tc>
          <w:tcPr>
            <w:tcW w:w="2280" w:type="dxa"/>
            <w:vAlign w:val="bottom"/>
          </w:tcPr>
          <w:p>
            <w:pPr>
              <w:spacing w:after="0"/>
              <w:rPr>
                <w:sz w:val="20"/>
                <w:szCs w:val="20"/>
                <w:color w:val="auto"/>
              </w:rPr>
            </w:pPr>
            <w:r>
              <w:rPr>
                <w:rFonts w:ascii="Courier New" w:cs="Courier New" w:eastAsia="Courier New" w:hAnsi="Courier New"/>
                <w:sz w:val="15"/>
                <w:szCs w:val="15"/>
                <w:color w:val="auto"/>
              </w:rPr>
              <w:t>FEMSA Holding</w:t>
            </w:r>
          </w:p>
        </w:tc>
        <w:tc>
          <w:tcPr>
            <w:tcW w:w="1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(Peso denominated debt)</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959</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2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959</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9.4%</w:t>
            </w:r>
          </w:p>
        </w:tc>
        <w:tc>
          <w:tcPr>
            <w:tcW w:w="880" w:type="dxa"/>
            <w:vAlign w:val="bottom"/>
          </w:tcPr>
          <w:p>
            <w:pPr>
              <w:spacing w:after="0"/>
              <w:rPr>
                <w:sz w:val="14"/>
                <w:szCs w:val="14"/>
                <w:color w:val="auto"/>
              </w:rPr>
            </w:pP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FEMSA Holding</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(Dollar denominated debt)</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628</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2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628</w:t>
            </w:r>
          </w:p>
        </w:tc>
        <w:tc>
          <w:tcPr>
            <w:tcW w:w="122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FEMSA Cerveza</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(Peso Denominated debt)</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41</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3,200</w:t>
            </w:r>
          </w:p>
        </w:tc>
        <w:tc>
          <w:tcPr>
            <w:tcW w:w="580" w:type="dxa"/>
            <w:vAlign w:val="bottom"/>
          </w:tcPr>
          <w:p>
            <w:pPr>
              <w:spacing w:after="0"/>
              <w:rPr>
                <w:sz w:val="14"/>
                <w:szCs w:val="14"/>
                <w:color w:val="auto"/>
              </w:rPr>
            </w:pPr>
          </w:p>
        </w:tc>
        <w:tc>
          <w:tcPr>
            <w:tcW w:w="12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3,241</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8.5%</w:t>
            </w:r>
          </w:p>
        </w:tc>
        <w:tc>
          <w:tcPr>
            <w:tcW w:w="880" w:type="dxa"/>
            <w:vAlign w:val="bottom"/>
          </w:tcPr>
          <w:p>
            <w:pPr>
              <w:spacing w:after="0"/>
              <w:rPr>
                <w:sz w:val="14"/>
                <w:szCs w:val="14"/>
                <w:color w:val="auto"/>
              </w:rPr>
            </w:pP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FEMSA Cerveza</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(Dollar denominated debt)</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2,684</w:t>
            </w:r>
          </w:p>
        </w:tc>
        <w:tc>
          <w:tcPr>
            <w:tcW w:w="580" w:type="dxa"/>
            <w:vAlign w:val="bottom"/>
          </w:tcPr>
          <w:p>
            <w:pPr>
              <w:spacing w:after="0"/>
              <w:rPr>
                <w:sz w:val="14"/>
                <w:szCs w:val="14"/>
                <w:color w:val="auto"/>
              </w:rPr>
            </w:pPr>
          </w:p>
        </w:tc>
        <w:tc>
          <w:tcPr>
            <w:tcW w:w="12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2,684</w:t>
            </w:r>
          </w:p>
        </w:tc>
        <w:tc>
          <w:tcPr>
            <w:tcW w:w="122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7.5%</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Coca-Cola FEMSA(3)</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3,179</w:t>
            </w:r>
          </w:p>
        </w:tc>
        <w:tc>
          <w:tcPr>
            <w:tcW w:w="580" w:type="dxa"/>
            <w:vAlign w:val="bottom"/>
          </w:tcPr>
          <w:p>
            <w:pPr>
              <w:spacing w:after="0"/>
              <w:rPr>
                <w:sz w:val="14"/>
                <w:szCs w:val="14"/>
                <w:color w:val="auto"/>
              </w:rPr>
            </w:pPr>
          </w:p>
        </w:tc>
        <w:tc>
          <w:tcPr>
            <w:tcW w:w="12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3,179</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9.1%</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FEMSA Comercio(4)</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471</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837</w:t>
            </w:r>
          </w:p>
        </w:tc>
        <w:tc>
          <w:tcPr>
            <w:tcW w:w="580" w:type="dxa"/>
            <w:vAlign w:val="bottom"/>
          </w:tcPr>
          <w:p>
            <w:pPr>
              <w:spacing w:after="0"/>
              <w:rPr>
                <w:sz w:val="14"/>
                <w:szCs w:val="14"/>
                <w:color w:val="auto"/>
              </w:rPr>
            </w:pPr>
          </w:p>
        </w:tc>
        <w:tc>
          <w:tcPr>
            <w:tcW w:w="12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1,308</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FEMSA Empaques(4)</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1,028</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703</w:t>
            </w:r>
          </w:p>
        </w:tc>
        <w:tc>
          <w:tcPr>
            <w:tcW w:w="580" w:type="dxa"/>
            <w:vAlign w:val="bottom"/>
          </w:tcPr>
          <w:p>
            <w:pPr>
              <w:spacing w:after="0"/>
              <w:rPr>
                <w:sz w:val="14"/>
                <w:szCs w:val="14"/>
                <w:color w:val="auto"/>
              </w:rPr>
            </w:pPr>
          </w:p>
        </w:tc>
        <w:tc>
          <w:tcPr>
            <w:tcW w:w="12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1,731</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FEMSA Logistica</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76</w:t>
            </w:r>
          </w:p>
        </w:tc>
        <w:tc>
          <w:tcPr>
            <w:tcW w:w="580" w:type="dxa"/>
            <w:vAlign w:val="bottom"/>
          </w:tcPr>
          <w:p>
            <w:pPr>
              <w:spacing w:after="0"/>
              <w:rPr>
                <w:sz w:val="14"/>
                <w:szCs w:val="14"/>
                <w:color w:val="auto"/>
              </w:rPr>
            </w:pPr>
          </w:p>
        </w:tc>
        <w:tc>
          <w:tcPr>
            <w:tcW w:w="12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76</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w:t>
            </w:r>
          </w:p>
        </w:tc>
      </w:tr>
      <w:tr>
        <w:trPr>
          <w:trHeight w:val="168"/>
        </w:trPr>
        <w:tc>
          <w:tcPr>
            <w:tcW w:w="2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Total</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Ps.  3,127</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Ps.  10,679</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Ps.</w:t>
            </w:r>
          </w:p>
        </w:tc>
        <w:tc>
          <w:tcPr>
            <w:tcW w:w="12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9"/>
              </w:rPr>
              <w:t>13,806</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8.7%</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w:t>
            </w:r>
          </w:p>
        </w:tc>
      </w:tr>
      <w:tr>
        <w:trPr>
          <w:trHeight w:val="168"/>
        </w:trPr>
        <w:tc>
          <w:tcPr>
            <w:tcW w:w="2280" w:type="dxa"/>
            <w:vAlign w:val="bottom"/>
          </w:tcPr>
          <w:p>
            <w:pPr>
              <w:spacing w:after="0"/>
              <w:rPr>
                <w:sz w:val="14"/>
                <w:szCs w:val="14"/>
                <w:color w:val="auto"/>
              </w:rPr>
            </w:pP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6"/>
              </w:rPr>
              <w:t>============</w:t>
            </w:r>
          </w:p>
        </w:tc>
        <w:tc>
          <w:tcPr>
            <w:tcW w:w="184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440" w:hanging="430"/>
        <w:spacing w:after="0"/>
        <w:tabs>
          <w:tab w:leader="none" w:pos="44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letters of credit, bank drafts and notes payable.</w:t>
      </w:r>
    </w:p>
    <w:p>
      <w:pPr>
        <w:ind w:left="440" w:hanging="430"/>
        <w:spacing w:after="0" w:line="237" w:lineRule="auto"/>
        <w:tabs>
          <w:tab w:leader="none" w:pos="44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the Ps. 876 million current portion of long-term debt.</w:t>
      </w:r>
    </w:p>
    <w:p>
      <w:pPr>
        <w:spacing w:after="0" w:line="5" w:lineRule="exact"/>
        <w:rPr>
          <w:rFonts w:ascii="Courier New" w:cs="Courier New" w:eastAsia="Courier New" w:hAnsi="Courier New"/>
          <w:sz w:val="15"/>
          <w:szCs w:val="15"/>
          <w:color w:val="auto"/>
        </w:rPr>
      </w:pPr>
    </w:p>
    <w:p>
      <w:pPr>
        <w:ind w:left="440" w:right="3399" w:hanging="430"/>
        <w:spacing w:after="0" w:line="235" w:lineRule="auto"/>
        <w:tabs>
          <w:tab w:leader="none" w:pos="44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Coca-Cola FEMSA incurred significant indebtedness in connection with the acquisition of Panamco in May 2003 "--Indebtedness Incurred in Connection with the Acquisition of Panamco."</w:t>
      </w:r>
    </w:p>
    <w:p>
      <w:pPr>
        <w:ind w:left="440" w:hanging="430"/>
        <w:spacing w:after="0" w:line="237" w:lineRule="auto"/>
        <w:tabs>
          <w:tab w:leader="none" w:pos="44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subordinated intercompany debt.</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Generally, the covenants contained in the credit facilities entered into by our subholding companies include limitations on the incurrence of any additional debt based on debt service coverage ratios or leverage tests. The credit agreements entered into by our subholding companies or their subsidiaries also generally include restrictive covenants applicable to our subholding companies and their subsidiaries. There are no cross-guarantees between subholding companies, and neither Emprex nor we have provided guarantees with respect to any of the debt obligations of our subholding companies.</w:t>
      </w:r>
    </w:p>
    <w:p>
      <w:pPr>
        <w:spacing w:after="0" w:line="1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following is a summary of our indebtedness by subholding company:</w:t>
      </w:r>
    </w:p>
    <w:p>
      <w:pPr>
        <w:spacing w:after="0" w:line="166" w:lineRule="exact"/>
        <w:rPr>
          <w:sz w:val="20"/>
          <w:szCs w:val="20"/>
          <w:color w:val="auto"/>
        </w:rPr>
      </w:pPr>
    </w:p>
    <w:p>
      <w:pPr>
        <w:ind w:left="180" w:hanging="170"/>
        <w:spacing w:after="0"/>
        <w:tabs>
          <w:tab w:leader="none" w:pos="18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FEMSA Cerveza. As of December 31, 2002, FEMSA Cerveza's total outstanding</w:t>
      </w:r>
    </w:p>
    <w:p>
      <w:pPr>
        <w:spacing w:after="0" w:line="4" w:lineRule="exact"/>
        <w:rPr>
          <w:rFonts w:ascii="Courier New" w:cs="Courier New" w:eastAsia="Courier New" w:hAnsi="Courier New"/>
          <w:sz w:val="15"/>
          <w:szCs w:val="15"/>
          <w:color w:val="auto"/>
        </w:rPr>
      </w:pPr>
    </w:p>
    <w:p>
      <w:pPr>
        <w:ind w:left="44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debt was Ps. 5,925 million, which included Ps. 41 million of outstanding short-term trade and working capital loans under three different facilities. As of December 31, 2002, FEMSA Cerveza had approximately Ps. 5,884 million of long-term debt outstanding that included a Ps. 272 million medium-term revolving loan, Ps. 3,625 million of equipment financing loans, and Ps. 1,987 million private placement secured notes, of which Ps. 418 million was paid in February 2003 and Ps. 1,569 million is payable in October 2004. As of December 31, 2002, FEMSA Cerveza had U.S. Dollar-denominated approved, uncommitted lines of credit totaling approximately Ps. 2,876 million, of which Ps. 2,835 million was available as of such date. FEMSA Cerveza's average cost of debt as of December 31, 2002 was 8.5% in Pesos and 7.5% in U.S. Dollars mainly due to the relative weight of a new peso-denominated loan whose interest rate is 8.8%, and to the increase in the Cetes rate.</w:t>
      </w:r>
    </w:p>
    <w:p>
      <w:pPr>
        <w:spacing w:after="0" w:line="33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99</w:t>
      </w:r>
    </w:p>
    <w:p>
      <w:pPr>
        <w:sectPr>
          <w:pgSz w:w="11900" w:h="16838" w:orient="portrait"/>
          <w:cols w:equalWidth="0" w:num="1">
            <w:col w:w="10239"/>
          </w:cols>
          <w:pgMar w:left="220" w:top="953" w:right="1440" w:bottom="1440" w:gutter="0" w:footer="0" w:header="0"/>
        </w:sectPr>
      </w:pPr>
    </w:p>
    <w:bookmarkStart w:id="106" w:name="page107"/>
    <w:bookmarkEnd w:id="106"/>
    <w:p>
      <w:pPr>
        <w:ind w:left="440" w:right="3239" w:hanging="430"/>
        <w:spacing w:after="0" w:line="236" w:lineRule="auto"/>
        <w:tabs>
          <w:tab w:leader="none" w:pos="178"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-Coca-Cola FEMSA. Coca-Cola FEMSA's current financing policy is to rely primarily on internally generated resources to fund existing operations and capital expenditures relating to these operations while relying on external resources to finance the acquisition of new bottling territories. Coca Cola FEMSA incurred significant new indebtedness in May 2003 in connection with the acquisition of Panamco. See "--Indebtedness Incurred in Connection with the Acquisition of Panamco." As of December 31, 2002, Coca-Cola FEMSA's total indebtedness amounted to Ps. 3,179 million of long-term debt. Coca-Cola FEMSA's long-term indebtedness as of December 31, 2002 is related to:</w:t>
      </w:r>
    </w:p>
    <w:p>
      <w:pPr>
        <w:spacing w:after="0" w:line="179" w:lineRule="exact"/>
        <w:rPr>
          <w:rFonts w:ascii="Courier New" w:cs="Courier New" w:eastAsia="Courier New" w:hAnsi="Courier New"/>
          <w:sz w:val="15"/>
          <w:szCs w:val="15"/>
          <w:color w:val="auto"/>
        </w:rPr>
      </w:pPr>
    </w:p>
    <w:p>
      <w:pPr>
        <w:ind w:left="880" w:right="3239" w:hanging="433"/>
        <w:spacing w:after="0" w:line="235" w:lineRule="auto"/>
        <w:tabs>
          <w:tab w:leader="none" w:pos="880" w:val="left"/>
        </w:tabs>
        <w:numPr>
          <w:ilvl w:val="1"/>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acquisition of a 51% interest in the Buenos Aires Territory from The Coca-Cola Company, for which Coca-Cola FEMSA borrowed approximately Ps. 1,046 million under a 10-year private placement that matures in 2004; and</w:t>
      </w:r>
    </w:p>
    <w:p>
      <w:pPr>
        <w:spacing w:after="0" w:line="175" w:lineRule="exact"/>
        <w:rPr>
          <w:rFonts w:ascii="Courier New" w:cs="Courier New" w:eastAsia="Courier New" w:hAnsi="Courier New"/>
          <w:sz w:val="15"/>
          <w:szCs w:val="15"/>
          <w:color w:val="auto"/>
        </w:rPr>
      </w:pPr>
    </w:p>
    <w:p>
      <w:pPr>
        <w:ind w:left="880" w:right="3239" w:hanging="433"/>
        <w:spacing w:after="0" w:line="255" w:lineRule="auto"/>
        <w:tabs>
          <w:tab w:leader="none" w:pos="880" w:val="left"/>
        </w:tabs>
        <w:numPr>
          <w:ilvl w:val="1"/>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Ps. 2,092 million 10-year Yankee bond issued in October 1996, the proceeds of which were primarily used to repay short-term indebtedness incurred to increase Coca-Cola FEMSA's interest in Coca-Cola FEMSA Buenos Aires to 75% and to fund the purchase of certain corporate assets of an Argentine Coca-Cola bottler, SIRSA, including inventory and the assignment of certain commercial contracts.</w:t>
      </w:r>
    </w:p>
    <w:p>
      <w:pPr>
        <w:spacing w:after="0" w:line="166" w:lineRule="exact"/>
        <w:rPr>
          <w:sz w:val="20"/>
          <w:szCs w:val="20"/>
          <w:color w:val="auto"/>
        </w:rPr>
      </w:pPr>
    </w:p>
    <w:p>
      <w:pPr>
        <w:jc w:val="both"/>
        <w:ind w:left="800" w:right="3319"/>
        <w:spacing w:after="0" w:line="236" w:lineRule="auto"/>
        <w:rPr>
          <w:sz w:val="20"/>
          <w:szCs w:val="20"/>
          <w:color w:val="auto"/>
        </w:rPr>
      </w:pPr>
      <w:r>
        <w:rPr>
          <w:rFonts w:ascii="Courier New" w:cs="Courier New" w:eastAsia="Courier New" w:hAnsi="Courier New"/>
          <w:sz w:val="15"/>
          <w:szCs w:val="15"/>
          <w:color w:val="auto"/>
        </w:rPr>
        <w:t>As of December 31, 2002, Coca-Cola FEMSA had U.S. Dollar-denominated, uncommitted approved lines of credit totaling approximately Ps. 3,220 million, all of which was available as of such date. Coca-Cola FEMSA's average cost of debt was 9.1% in U.S. Dollars as of December 31, 2002 and 2001.</w:t>
      </w:r>
    </w:p>
    <w:p>
      <w:pPr>
        <w:spacing w:after="0" w:line="174" w:lineRule="exact"/>
        <w:rPr>
          <w:sz w:val="20"/>
          <w:szCs w:val="20"/>
          <w:color w:val="auto"/>
        </w:rPr>
      </w:pPr>
    </w:p>
    <w:p>
      <w:pPr>
        <w:ind w:left="440" w:right="3059" w:hanging="430"/>
        <w:spacing w:after="0" w:line="236" w:lineRule="auto"/>
        <w:tabs>
          <w:tab w:leader="none" w:pos="178"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-FEMSA Comercio. As of December 31, 2002, FEMSA Comercio's total outstanding debt was Ps. 1,308 million which consisted of a Ps. 837 long-term syndicated loan denominated in U.S. Dollars that matures in August 2006, and Ps. 471 million of U.S. Dollar-denominated short-term debt maturing during 2003. As of December 31, 2002, FEMSA Comercio had U.S. Dollar-denominated approved, uncommitted lines of credit totaling Ps. 601 million of which Ps. 131 million was available as of such date. FEMSA Comercio's average cost of debt was 2.7% in U.S. Dollars as of December 31, 2002 compared to 4.8% as of December 31, 2001.</w:t>
      </w:r>
    </w:p>
    <w:p>
      <w:pPr>
        <w:spacing w:after="0" w:line="178" w:lineRule="exact"/>
        <w:rPr>
          <w:rFonts w:ascii="Courier New" w:cs="Courier New" w:eastAsia="Courier New" w:hAnsi="Courier New"/>
          <w:sz w:val="15"/>
          <w:szCs w:val="15"/>
          <w:color w:val="auto"/>
        </w:rPr>
      </w:pPr>
    </w:p>
    <w:p>
      <w:pPr>
        <w:ind w:left="440" w:right="3139" w:hanging="430"/>
        <w:spacing w:after="0" w:line="255" w:lineRule="auto"/>
        <w:tabs>
          <w:tab w:leader="none" w:pos="178"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FEMSA Empaques. As of December 31, 2002, FEMSA Empaques' total outstanding debt was Ps. 1,731 million, Ps. 1,028 million of which consisted of short-term trade and working capital loans and the remaining Ps. 703 million of long-term indebtedness. As of December 31, 2002, FEMSA Empaques' long-term debt obligations amounted to Ps. 75 million under long-term credit agreements incurred in connection with equipment financing transactions and/or government sponsored export-financing programs of the countries of origin of such equipment and Ps. 628 million of a long term syndicated loan maturing in December 2005. As of December 31, 2002, FEMSA Empaques had U.S. Dollar-denominated approved, uncommitted lines of credit totaling Ps. 1,349 million, of which Ps. 324 million was available as of such date. FEMSA Empaques' average cost of debt was 2.9% as of December 31, 2002 compared to 5.7% as of December 31, 2001; and</w:t>
      </w:r>
    </w:p>
    <w:p>
      <w:pPr>
        <w:spacing w:after="0" w:line="164" w:lineRule="exact"/>
        <w:rPr>
          <w:rFonts w:ascii="Courier New" w:cs="Courier New" w:eastAsia="Courier New" w:hAnsi="Courier New"/>
          <w:sz w:val="15"/>
          <w:szCs w:val="15"/>
          <w:color w:val="auto"/>
        </w:rPr>
      </w:pPr>
    </w:p>
    <w:p>
      <w:pPr>
        <w:jc w:val="both"/>
        <w:ind w:left="440" w:right="3399" w:hanging="430"/>
        <w:spacing w:after="0" w:line="256" w:lineRule="auto"/>
        <w:tabs>
          <w:tab w:leader="none" w:pos="178"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FEMSA Logistica. As of December 31, 2002, FEMSA Logistica had total obligations of Ps. 76 million in the form of a mortgage loan that matures in May 2006 and November 2007. FEMSA Logistica's cost of debt was 4.6% as of December 31, 2002 compared to 6.8% as of December 31, 2001.</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Indebtedness Incurred in Connection with the Acquisition of Panamco</w:t>
      </w:r>
    </w:p>
    <w:p>
      <w:pPr>
        <w:spacing w:after="0" w:line="173" w:lineRule="exact"/>
        <w:rPr>
          <w:sz w:val="20"/>
          <w:szCs w:val="20"/>
          <w:color w:val="auto"/>
        </w:rPr>
      </w:pPr>
    </w:p>
    <w:p>
      <w:pPr>
        <w:ind w:right="3499" w:firstLine="787"/>
        <w:spacing w:after="0" w:line="261" w:lineRule="auto"/>
        <w:rPr>
          <w:sz w:val="20"/>
          <w:szCs w:val="20"/>
          <w:color w:val="auto"/>
        </w:rPr>
      </w:pPr>
      <w:r>
        <w:rPr>
          <w:rFonts w:ascii="Courier New" w:cs="Courier New" w:eastAsia="Courier New" w:hAnsi="Courier New"/>
          <w:sz w:val="14"/>
          <w:szCs w:val="14"/>
          <w:color w:val="auto"/>
        </w:rPr>
        <w:t>Coca-Cola FEMSA has incurred the following new indebtedness in 2003, totaling US$1,978 million, in connection with the acquisition of Panamco:</w:t>
      </w:r>
    </w:p>
    <w:p>
      <w:pPr>
        <w:spacing w:after="0" w:line="160" w:lineRule="exact"/>
        <w:rPr>
          <w:sz w:val="20"/>
          <w:szCs w:val="20"/>
          <w:color w:val="auto"/>
        </w:rPr>
      </w:pPr>
    </w:p>
    <w:p>
      <w:pPr>
        <w:ind w:left="440" w:right="3139" w:hanging="430"/>
        <w:spacing w:after="0" w:line="234" w:lineRule="auto"/>
        <w:tabs>
          <w:tab w:leader="none" w:pos="178"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-Bridge Loans in the amount of Ps. 1,006.2 million and US$739 million, each of which matures April 28, 2004;</w:t>
      </w:r>
    </w:p>
    <w:p>
      <w:pPr>
        <w:spacing w:after="0" w:line="166"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Term Loans in the amount of Ps. 2,741.3 million (maturing in five years,</w:t>
      </w:r>
    </w:p>
    <w:p>
      <w:pPr>
        <w:spacing w:after="0" w:line="4" w:lineRule="exact"/>
        <w:rPr>
          <w:rFonts w:ascii="Courier New" w:cs="Courier New" w:eastAsia="Courier New" w:hAnsi="Courier New"/>
          <w:sz w:val="15"/>
          <w:szCs w:val="15"/>
          <w:color w:val="auto"/>
        </w:rPr>
      </w:pPr>
    </w:p>
    <w:p>
      <w:pPr>
        <w:jc w:val="both"/>
        <w:ind w:left="440" w:right="357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with semi-annual installments beginning in 30 months), US$286.5 million (maturing in three years) and US$208.5 million (maturing in five years, with semi-annual installments beginning in 30 months); and</w:t>
      </w:r>
    </w:p>
    <w:p>
      <w:pPr>
        <w:spacing w:after="0" w:line="161" w:lineRule="exact"/>
        <w:rPr>
          <w:rFonts w:ascii="Courier New" w:cs="Courier New" w:eastAsia="Courier New" w:hAnsi="Courier New"/>
          <w:sz w:val="15"/>
          <w:szCs w:val="15"/>
          <w:color w:val="auto"/>
        </w:rPr>
      </w:pPr>
    </w:p>
    <w:p>
      <w:pPr>
        <w:ind w:left="440" w:right="3499" w:hanging="430"/>
        <w:spacing w:after="0" w:line="235" w:lineRule="auto"/>
        <w:tabs>
          <w:tab w:leader="none" w:pos="178"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-Mexican Certificados Bursatiles in the amount of Ps. 2,000 million (maturing in four years), Ps. 1,250 million (maturing in five years) and Ps. 1,000 million (maturing in seven years).</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100</w:t>
      </w:r>
    </w:p>
    <w:p>
      <w:pPr>
        <w:sectPr>
          <w:pgSz w:w="11900" w:h="16838" w:orient="portrait"/>
          <w:cols w:equalWidth="0" w:num="1">
            <w:col w:w="10239"/>
          </w:cols>
          <w:pgMar w:left="220" w:top="792" w:right="1440" w:bottom="1440" w:gutter="0" w:footer="0" w:header="0"/>
        </w:sectPr>
      </w:pPr>
    </w:p>
    <w:bookmarkStart w:id="107" w:name="page108"/>
    <w:bookmarkEnd w:id="107"/>
    <w:p>
      <w:pPr>
        <w:ind w:right="3239" w:firstLine="437"/>
        <w:spacing w:after="0" w:line="255" w:lineRule="auto"/>
        <w:rPr>
          <w:sz w:val="20"/>
          <w:szCs w:val="20"/>
          <w:color w:val="auto"/>
        </w:rPr>
      </w:pPr>
      <w:r>
        <w:rPr>
          <w:rFonts w:ascii="Courier New" w:cs="Courier New" w:eastAsia="Courier New" w:hAnsi="Courier New"/>
          <w:sz w:val="14"/>
          <w:szCs w:val="14"/>
          <w:color w:val="auto"/>
        </w:rPr>
        <w:t>Coca-Cola FEMSA has also acquired approximately US$512.1 million of existing indebtedness of Panamco, which is denominated in U.S. Dollars, Mexican Pesos and Colombian Pesos. The Bridge Loans and, to the lesser extent the Term Loans and Certificados Bursatiles contain restrictions on the conduct of the business of Coca-Cola FEMSA. Specifically, the Bridge Loans significantly restrict the ability of Coca-Cola FEMSA and its subsidiaries to incur additional indebtedness, to make investments or acquisitions, to dispose of assets or to engage in certain other fundamental transactions and require Coca-Cola FEMSA to maintain certain financial ratios. Although in connection with the acquisition, Coca-Cola FEMSA paid off a significant portion of the debt of Panamco and its subsidiaries. Panamco and its subsidiaries continue to have other indebtedness.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 Expenditures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For the past four years, we have had significant capital expenditure programs, which for the most part were financed with cash from operations. Principal components of our capital expenditures have been for equipment, market-related investments, and production capacity and distribution network expansion at FEMSA Cerveza and at Coca-Cola FEMSA; the construction of new Oxxo stores at FEMSA Comercio; and plant improvements at FEMSA Empaques.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Expected Capital Expenditures for 2003</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Our capital expenditure budget for 2003 is expected to be approximately Ps. 11.1 billion. The following discussion is based on each of our subholding companies' internal 2003 budgets. The capital expenditure plan for 2003 is subject to change based on market and other conditions and the subsidiaries' results of operations and financial resources.</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FEMSA Cerveza's capital expenditure budget for 2003 is expected to be approximately Ps. 4.9 billion. FEMSA Cerveza expects to allocate part of this budget for investments in its manufacturing facilities, predominantly related to marginal capacity expansions of its breweries and equipment modernization. FEMSA Cerveza also expects to apply a portion of this budget towards the improvement of its distribution assets, including new and replacement vehicles, towards the maintenance of a secondary distribution fleet and towards its ERP and information technology systems. In addition, FEMSA Cerveza plans to invest in commercial and market-related activities such as the enhancement of its retail coverage, to acquire third-party distributors, to develop long-term sponsorships and to place refrigeration equipment nationwide.</w:t>
      </w:r>
    </w:p>
    <w:p>
      <w:pPr>
        <w:spacing w:after="0" w:line="16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Coca-Cola FEMSA's capital expenditure budget for 2003 is expected to be approximately Ps. 3.7 billion. Coca-Cola FEMSA plans to allocate a portion of this budget towards facilitating the integration of operations within the facilities acquired as a result of the Panamco acquisition. This integration includes standardizing its information systems and overhauling plant facilities and distribution centers. In addition, portions of its budget are expected to be allocated towards investments in returnable bottles and cases and market-related investments, primarily for the placement of refrigeration equipment</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Coca-Cola FEMSA estimates that approximately 80% of its capital expenditure budget for 2003 will be spent in its Mexican Territories. Coca-Cola FEMSA believes that internally generated funds and borrowing from third-party sources, if needed, will be sufficient to meet its capital expenditure and working capital requirements for 2003. Coca-Cola FEMSA's capital expenditure budget for 2003 is subject to change based on market and other conditions and its results of operations and financial resources. Coca-Cola FEMSA's ability to incur new indebtedness is limited.</w:t>
      </w:r>
    </w:p>
    <w:p>
      <w:pPr>
        <w:spacing w:after="0" w:line="177"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FEMSA Comercio's capital expenditure budget in 2003 is expected to total approximately Ps. 1.9 billion. The year 2003's budget will be allocated to the addition of new Oxxo stores and to a lesser extent to the opening of Bara stores and the refurbishing of the existing Oxxo stores. In addition, investments are planned in FEMSA Comercio's information technology and ERP software systems.</w:t>
      </w:r>
    </w:p>
    <w:p>
      <w:pPr>
        <w:spacing w:after="0" w:line="16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FEMSA Empaques' capital expenditure budget for 2003 is expected to be approximately Ps. 650 million to be allocated among its various product lines and facilities.</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101</w:t>
      </w:r>
    </w:p>
    <w:p>
      <w:pPr>
        <w:sectPr>
          <w:pgSz w:w="11900" w:h="16838" w:orient="portrait"/>
          <w:cols w:equalWidth="0" w:num="1">
            <w:col w:w="10239"/>
          </w:cols>
          <w:pgMar w:left="220" w:top="623" w:right="1440" w:bottom="1440" w:gutter="0" w:footer="0" w:header="0"/>
        </w:sectPr>
      </w:pPr>
    </w:p>
    <w:bookmarkStart w:id="108" w:name="page109"/>
    <w:bookmarkEnd w:id="108"/>
    <w:p>
      <w:pPr>
        <w:spacing w:after="0"/>
        <w:rPr>
          <w:sz w:val="20"/>
          <w:szCs w:val="20"/>
          <w:color w:val="auto"/>
        </w:rPr>
      </w:pPr>
      <w:r>
        <w:rPr>
          <w:rFonts w:ascii="Courier New" w:cs="Courier New" w:eastAsia="Courier New" w:hAnsi="Courier New"/>
          <w:sz w:val="15"/>
          <w:szCs w:val="15"/>
          <w:color w:val="auto"/>
        </w:rPr>
        <w:t>Hedging Activities</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Our business activities require the holding or issuing of derivative instruments to hedge our exposure to market risks related to changes in interest rates, foreign currency exchange rates, equity risk and commodity price risk. See "Item 11. Quantitative and Qualitative Disclosures about Market Risk."</w:t>
      </w:r>
    </w:p>
    <w:p>
      <w:pPr>
        <w:spacing w:after="0" w:line="164"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In connection with our trading activities we have entered into commodity contracts to hedge against price fluctuations and other market risks. FEMSA Cerveza has entered into derivative contracts to hedge interest rates and the prices of natural gas. See "Item 11. Quantitative and Qualitative Disclosures about Market Risk--Commodity Price Risk."</w:t>
      </w:r>
    </w:p>
    <w:p>
      <w:pPr>
        <w:spacing w:after="0" w:line="174" w:lineRule="exact"/>
        <w:rPr>
          <w:sz w:val="20"/>
          <w:szCs w:val="20"/>
          <w:color w:val="auto"/>
        </w:rPr>
      </w:pPr>
    </w:p>
    <w:p>
      <w:pPr>
        <w:ind w:right="3499" w:firstLine="437"/>
        <w:spacing w:after="0" w:line="258" w:lineRule="auto"/>
        <w:rPr>
          <w:sz w:val="20"/>
          <w:szCs w:val="20"/>
          <w:color w:val="auto"/>
        </w:rPr>
      </w:pPr>
      <w:r>
        <w:rPr>
          <w:rFonts w:ascii="Courier New" w:cs="Courier New" w:eastAsia="Courier New" w:hAnsi="Courier New"/>
          <w:sz w:val="14"/>
          <w:szCs w:val="14"/>
          <w:color w:val="auto"/>
        </w:rPr>
        <w:t>The following table provides a summary of the fair value of derivative instruments as of December 31, 2002. The fair market value is obtained mainly from external sources, which are our counterparties to the contracts.</w:t>
      </w:r>
    </w:p>
    <w:p>
      <w:pPr>
        <w:spacing w:after="0" w:line="200" w:lineRule="exact"/>
        <w:rPr>
          <w:sz w:val="20"/>
          <w:szCs w:val="20"/>
          <w:color w:val="auto"/>
        </w:rPr>
      </w:pPr>
    </w:p>
    <w:p>
      <w:pPr>
        <w:spacing w:after="0" w:line="291" w:lineRule="exact"/>
        <w:rPr>
          <w:sz w:val="20"/>
          <w:szCs w:val="20"/>
          <w:color w:val="auto"/>
        </w:rPr>
      </w:pPr>
    </w:p>
    <w:p>
      <w:pPr>
        <w:jc w:val="center"/>
        <w:ind w:left="3420"/>
        <w:spacing w:after="0"/>
        <w:rPr>
          <w:sz w:val="20"/>
          <w:szCs w:val="20"/>
          <w:color w:val="auto"/>
        </w:rPr>
      </w:pPr>
      <w:r>
        <w:rPr>
          <w:rFonts w:ascii="Courier New" w:cs="Courier New" w:eastAsia="Courier New" w:hAnsi="Courier New"/>
          <w:sz w:val="15"/>
          <w:szCs w:val="15"/>
          <w:color w:val="auto"/>
        </w:rPr>
        <w:t>Fair Value</w:t>
      </w:r>
    </w:p>
    <w:p>
      <w:pPr>
        <w:jc w:val="center"/>
        <w:ind w:left="3420"/>
        <w:spacing w:after="0" w:line="237" w:lineRule="auto"/>
        <w:rPr>
          <w:sz w:val="20"/>
          <w:szCs w:val="20"/>
          <w:color w:val="auto"/>
        </w:rPr>
      </w:pPr>
      <w:r>
        <w:rPr>
          <w:rFonts w:ascii="Courier New" w:cs="Courier New" w:eastAsia="Courier New" w:hAnsi="Courier New"/>
          <w:sz w:val="15"/>
          <w:szCs w:val="15"/>
          <w:color w:val="auto"/>
        </w:rPr>
        <w:t>At December 31, 2002</w:t>
      </w:r>
    </w:p>
    <w:p>
      <w:pPr>
        <w:spacing w:after="0" w:line="5" w:lineRule="exact"/>
        <w:rPr>
          <w:sz w:val="20"/>
          <w:szCs w:val="20"/>
          <w:color w:val="auto"/>
        </w:rPr>
      </w:pPr>
    </w:p>
    <w:p>
      <w:pPr>
        <w:jc w:val="center"/>
        <w:ind w:left="3420"/>
        <w:spacing w:after="0"/>
        <w:rPr>
          <w:sz w:val="20"/>
          <w:szCs w:val="20"/>
          <w:color w:val="auto"/>
        </w:rPr>
      </w:pPr>
      <w:r>
        <w:rPr>
          <w:rFonts w:ascii="Courier New" w:cs="Courier New" w:eastAsia="Courier New" w:hAnsi="Courier New"/>
          <w:sz w:val="14"/>
          <w:szCs w:val="14"/>
          <w:color w:val="auto"/>
        </w:rPr>
        <w:t>(Millions of Constant Pesos)</w:t>
      </w:r>
    </w:p>
    <w:p>
      <w:pPr>
        <w:sectPr>
          <w:pgSz w:w="11900" w:h="16838" w:orient="portrait"/>
          <w:cols w:equalWidth="0" w:num="1">
            <w:col w:w="10239"/>
          </w:cols>
          <w:pgMar w:left="220" w:top="617" w:right="1440" w:bottom="1440" w:gutter="0" w:footer="0" w:header="0"/>
        </w:sectPr>
      </w:pPr>
    </w:p>
    <w:p>
      <w:pPr>
        <w:spacing w:after="0" w:line="171" w:lineRule="exact"/>
        <w:rPr>
          <w:sz w:val="20"/>
          <w:szCs w:val="20"/>
          <w:color w:val="auto"/>
        </w:rPr>
      </w:pPr>
    </w:p>
    <w:p>
      <w:pPr>
        <w:ind w:left="4820"/>
        <w:spacing w:after="0"/>
        <w:rPr>
          <w:sz w:val="20"/>
          <w:szCs w:val="20"/>
          <w:color w:val="auto"/>
        </w:rPr>
      </w:pPr>
      <w:r>
        <w:rPr>
          <w:rFonts w:ascii="Courier New" w:cs="Courier New" w:eastAsia="Courier New" w:hAnsi="Courier New"/>
          <w:sz w:val="15"/>
          <w:szCs w:val="15"/>
          <w:color w:val="auto"/>
        </w:rPr>
        <w:t>Maturity</w:t>
      </w:r>
    </w:p>
    <w:p>
      <w:pPr>
        <w:spacing w:after="0" w:line="5" w:lineRule="exact"/>
        <w:rPr>
          <w:sz w:val="20"/>
          <w:szCs w:val="20"/>
          <w:color w:val="auto"/>
        </w:rPr>
      </w:pPr>
    </w:p>
    <w:p>
      <w:pPr>
        <w:ind w:left="4640"/>
        <w:spacing w:after="0"/>
        <w:rPr>
          <w:sz w:val="20"/>
          <w:szCs w:val="20"/>
          <w:color w:val="auto"/>
        </w:rPr>
      </w:pPr>
      <w:r>
        <w:rPr>
          <w:rFonts w:ascii="Courier New" w:cs="Courier New" w:eastAsia="Courier New" w:hAnsi="Courier New"/>
          <w:sz w:val="14"/>
          <w:szCs w:val="14"/>
          <w:color w:val="auto"/>
        </w:rPr>
        <w:t>less than 1</w:t>
      </w:r>
    </w:p>
    <w:p>
      <w:pPr>
        <w:spacing w:after="0" w:line="3" w:lineRule="exact"/>
        <w:rPr>
          <w:sz w:val="20"/>
          <w:szCs w:val="20"/>
          <w:color w:val="auto"/>
        </w:rPr>
      </w:pPr>
    </w:p>
    <w:p>
      <w:pPr>
        <w:ind w:left="5000"/>
        <w:spacing w:after="0"/>
        <w:rPr>
          <w:sz w:val="20"/>
          <w:szCs w:val="20"/>
          <w:color w:val="auto"/>
        </w:rPr>
      </w:pPr>
      <w:r>
        <w:rPr>
          <w:rFonts w:ascii="Courier New" w:cs="Courier New" w:eastAsia="Courier New" w:hAnsi="Courier New"/>
          <w:sz w:val="15"/>
          <w:szCs w:val="15"/>
          <w:color w:val="auto"/>
        </w:rPr>
        <w:t>year</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Maturity</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1 - 3</w:t>
      </w:r>
    </w:p>
    <w:p>
      <w:pPr>
        <w:ind w:left="180"/>
        <w:spacing w:after="0" w:line="237" w:lineRule="auto"/>
        <w:rPr>
          <w:sz w:val="20"/>
          <w:szCs w:val="20"/>
          <w:color w:val="auto"/>
        </w:rPr>
      </w:pPr>
      <w:r>
        <w:rPr>
          <w:rFonts w:ascii="Courier New" w:cs="Courier New" w:eastAsia="Courier New" w:hAnsi="Courier New"/>
          <w:sz w:val="15"/>
          <w:szCs w:val="15"/>
          <w:color w:val="auto"/>
        </w:rPr>
        <w:t>years</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ind w:firstLine="175"/>
        <w:spacing w:after="0" w:line="261" w:lineRule="auto"/>
        <w:rPr>
          <w:sz w:val="20"/>
          <w:szCs w:val="20"/>
          <w:color w:val="auto"/>
        </w:rPr>
      </w:pPr>
      <w:r>
        <w:rPr>
          <w:rFonts w:ascii="Courier New" w:cs="Courier New" w:eastAsia="Courier New" w:hAnsi="Courier New"/>
          <w:sz w:val="14"/>
          <w:szCs w:val="14"/>
          <w:color w:val="auto"/>
        </w:rPr>
        <w:t>Maturity 4 - 5 years</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jc w:val="center"/>
        <w:spacing w:after="0" w:line="235" w:lineRule="auto"/>
        <w:rPr>
          <w:sz w:val="20"/>
          <w:szCs w:val="20"/>
          <w:color w:val="auto"/>
        </w:rPr>
      </w:pPr>
      <w:r>
        <w:rPr>
          <w:rFonts w:ascii="Courier New" w:cs="Courier New" w:eastAsia="Courier New" w:hAnsi="Courier New"/>
          <w:sz w:val="15"/>
          <w:szCs w:val="15"/>
          <w:color w:val="auto"/>
        </w:rPr>
        <w:t>Maturity in excess of 5 years</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jc w:val="right"/>
        <w:ind w:right="79"/>
        <w:spacing w:after="0" w:line="258" w:lineRule="auto"/>
        <w:rPr>
          <w:sz w:val="20"/>
          <w:szCs w:val="20"/>
          <w:color w:val="auto"/>
        </w:rPr>
      </w:pPr>
      <w:r>
        <w:rPr>
          <w:rFonts w:ascii="Courier New" w:cs="Courier New" w:eastAsia="Courier New" w:hAnsi="Courier New"/>
          <w:sz w:val="14"/>
          <w:szCs w:val="14"/>
          <w:color w:val="auto"/>
        </w:rPr>
        <w:t>Total fair value</w:t>
      </w:r>
    </w:p>
    <w:p>
      <w:pPr>
        <w:spacing w:after="0" w:line="161" w:lineRule="exact"/>
        <w:rPr>
          <w:sz w:val="20"/>
          <w:szCs w:val="20"/>
          <w:color w:val="auto"/>
        </w:rPr>
      </w:pPr>
    </w:p>
    <w:p>
      <w:pPr>
        <w:sectPr>
          <w:pgSz w:w="11900" w:h="16838" w:orient="portrait"/>
          <w:cols w:equalWidth="0" w:num="5">
            <w:col w:w="5600" w:space="440"/>
            <w:col w:w="700" w:space="440"/>
            <w:col w:w="960" w:space="260"/>
            <w:col w:w="960" w:space="360"/>
            <w:col w:w="51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Prices quoted by external sources................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19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1</w:t>
      </w:r>
    </w:p>
    <w:p>
      <w:pPr>
        <w:spacing w:after="0" w:line="20" w:lineRule="exact"/>
        <w:rPr>
          <w:sz w:val="20"/>
          <w:szCs w:val="20"/>
          <w:color w:val="auto"/>
        </w:rPr>
      </w:pPr>
      <w:r>
        <w:rPr>
          <w:sz w:val="20"/>
          <w:szCs w:val="20"/>
          <w:color w:val="auto"/>
        </w:rPr>
        <w:br w:type="column"/>
      </w:r>
    </w:p>
    <w:p>
      <w:pPr>
        <w:jc w:val="center"/>
        <w:ind w:right="340"/>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jc w:val="center"/>
        <w:ind w:right="2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20</w:t>
      </w:r>
    </w:p>
    <w:p>
      <w:pPr>
        <w:spacing w:after="0" w:line="222" w:lineRule="exact"/>
        <w:rPr>
          <w:sz w:val="20"/>
          <w:szCs w:val="20"/>
          <w:color w:val="auto"/>
        </w:rPr>
      </w:pPr>
    </w:p>
    <w:p>
      <w:pPr>
        <w:sectPr>
          <w:pgSz w:w="11900" w:h="16838" w:orient="portrait"/>
          <w:cols w:equalWidth="0" w:num="6">
            <w:col w:w="4460" w:space="720"/>
            <w:col w:w="580" w:space="720"/>
            <w:col w:w="340" w:space="720"/>
            <w:col w:w="500" w:space="720"/>
            <w:col w:w="420" w:space="720"/>
            <w:col w:w="339"/>
          </w:cols>
          <w:pgMar w:left="220" w:top="617" w:right="1440" w:bottom="1440" w:gutter="0" w:footer="0" w:header="0"/>
          <w:type w:val="continuous"/>
        </w:sectPr>
      </w:pPr>
    </w:p>
    <w:p>
      <w:pPr>
        <w:spacing w:after="0" w:line="308"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Plan for the Disposal of Certain Fixed Assets</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We have identified certain fixed assets consisting of land, buildings and equipment for disposal, and we have an approved program for disposal of these fixed assets. These assets are not in use and have been valued at their estimated realizable value, according to independent appraisals. These assets are allocated as follows:</w:t>
      </w:r>
    </w:p>
    <w:p>
      <w:pPr>
        <w:spacing w:after="0" w:line="342" w:lineRule="exact"/>
        <w:rPr>
          <w:sz w:val="20"/>
          <w:szCs w:val="20"/>
          <w:color w:val="auto"/>
        </w:rPr>
      </w:pPr>
    </w:p>
    <w:p>
      <w:pPr>
        <w:ind w:left="7700"/>
        <w:spacing w:after="0"/>
        <w:rPr>
          <w:sz w:val="20"/>
          <w:szCs w:val="20"/>
          <w:color w:val="auto"/>
        </w:rPr>
      </w:pPr>
      <w:r>
        <w:rPr>
          <w:rFonts w:ascii="Courier New" w:cs="Courier New" w:eastAsia="Courier New" w:hAnsi="Courier New"/>
          <w:sz w:val="14"/>
          <w:szCs w:val="14"/>
          <w:color w:val="auto"/>
        </w:rPr>
        <w:t>December 31,</w:t>
      </w:r>
    </w:p>
    <w:p>
      <w:pPr>
        <w:sectPr>
          <w:pgSz w:w="11900" w:h="16838" w:orient="portrait"/>
          <w:cols w:equalWidth="0" w:num="1">
            <w:col w:w="10239"/>
          </w:cols>
          <w:pgMar w:left="220" w:top="617" w:right="1440"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 of Pesos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2002</w:t>
      </w:r>
    </w:p>
    <w:p>
      <w:pPr>
        <w:spacing w:after="0" w:line="20" w:lineRule="exact"/>
        <w:rPr>
          <w:sz w:val="20"/>
          <w:szCs w:val="20"/>
          <w:color w:val="auto"/>
        </w:rPr>
      </w:pPr>
      <w:r>
        <w:rPr>
          <w:sz w:val="20"/>
          <w:szCs w:val="20"/>
          <w:color w:val="auto"/>
        </w:rPr>
        <w:br w:type="column"/>
      </w:r>
    </w:p>
    <w:p>
      <w:pPr>
        <w:jc w:val="center"/>
        <w:ind w:right="1139"/>
        <w:spacing w:after="0"/>
        <w:rPr>
          <w:sz w:val="20"/>
          <w:szCs w:val="20"/>
          <w:color w:val="auto"/>
        </w:rPr>
      </w:pPr>
      <w:r>
        <w:rPr>
          <w:rFonts w:ascii="Courier New" w:cs="Courier New" w:eastAsia="Courier New" w:hAnsi="Courier New"/>
          <w:sz w:val="14"/>
          <w:szCs w:val="14"/>
          <w:color w:val="auto"/>
        </w:rPr>
        <w:t>2001</w:t>
      </w:r>
    </w:p>
    <w:p>
      <w:pPr>
        <w:spacing w:after="0" w:line="178" w:lineRule="exact"/>
        <w:rPr>
          <w:sz w:val="20"/>
          <w:szCs w:val="20"/>
          <w:color w:val="auto"/>
        </w:rPr>
      </w:pPr>
    </w:p>
    <w:p>
      <w:pPr>
        <w:sectPr>
          <w:pgSz w:w="11900" w:h="16838" w:orient="portrait"/>
          <w:cols w:equalWidth="0" w:num="3">
            <w:col w:w="6640" w:space="720"/>
            <w:col w:w="680" w:space="720"/>
            <w:col w:w="147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FEMSA Cerveza...............................................................</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Coca-Cola FEMSA.............................................................</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FEMSA Empaques..............................................................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FEMSA.......................................................................</w:t>
      </w:r>
    </w:p>
    <w:p>
      <w:pPr>
        <w:spacing w:after="0" w:line="17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Total...................................................................</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4"/>
          <w:szCs w:val="14"/>
          <w:color w:val="auto"/>
        </w:rPr>
        <w:t>Ps. 393</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ind w:left="440"/>
        <w:spacing w:after="0" w:line="237" w:lineRule="auto"/>
        <w:rPr>
          <w:sz w:val="20"/>
          <w:szCs w:val="20"/>
          <w:color w:val="auto"/>
        </w:rPr>
      </w:pPr>
      <w:r>
        <w:rPr>
          <w:rFonts w:ascii="Courier New" w:cs="Courier New" w:eastAsia="Courier New" w:hAnsi="Courier New"/>
          <w:sz w:val="15"/>
          <w:szCs w:val="15"/>
          <w:color w:val="auto"/>
        </w:rPr>
        <w:t>39</w:t>
      </w:r>
    </w:p>
    <w:p>
      <w:pPr>
        <w:ind w:left="360"/>
        <w:spacing w:after="0" w:line="238" w:lineRule="auto"/>
        <w:rPr>
          <w:sz w:val="20"/>
          <w:szCs w:val="20"/>
          <w:color w:val="auto"/>
        </w:rPr>
      </w:pPr>
      <w:r>
        <w:rPr>
          <w:rFonts w:ascii="Courier New" w:cs="Courier New" w:eastAsia="Courier New" w:hAnsi="Courier New"/>
          <w:sz w:val="15"/>
          <w:szCs w:val="15"/>
          <w:color w:val="auto"/>
        </w:rPr>
        <w:t>328</w:t>
      </w:r>
    </w:p>
    <w:p>
      <w:pPr>
        <w:ind w:left="360"/>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Ps. 760</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4"/>
          <w:szCs w:val="14"/>
          <w:color w:val="auto"/>
        </w:rPr>
        <w:t>Ps. 303</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26</w:t>
      </w:r>
    </w:p>
    <w:p>
      <w:pPr>
        <w:ind w:left="440"/>
        <w:spacing w:after="0" w:line="237" w:lineRule="auto"/>
        <w:rPr>
          <w:sz w:val="20"/>
          <w:szCs w:val="20"/>
          <w:color w:val="auto"/>
        </w:rPr>
      </w:pPr>
      <w:r>
        <w:rPr>
          <w:rFonts w:ascii="Courier New" w:cs="Courier New" w:eastAsia="Courier New" w:hAnsi="Courier New"/>
          <w:sz w:val="15"/>
          <w:szCs w:val="15"/>
          <w:color w:val="auto"/>
        </w:rPr>
        <w:t>33</w:t>
      </w:r>
    </w:p>
    <w:p>
      <w:pPr>
        <w:ind w:left="360"/>
        <w:spacing w:after="0" w:line="238" w:lineRule="auto"/>
        <w:rPr>
          <w:sz w:val="20"/>
          <w:szCs w:val="20"/>
          <w:color w:val="auto"/>
        </w:rPr>
      </w:pPr>
      <w:r>
        <w:rPr>
          <w:rFonts w:ascii="Courier New" w:cs="Courier New" w:eastAsia="Courier New" w:hAnsi="Courier New"/>
          <w:sz w:val="15"/>
          <w:szCs w:val="15"/>
          <w:color w:val="auto"/>
        </w:rPr>
        <w:t>352</w:t>
      </w:r>
    </w:p>
    <w:p>
      <w:pPr>
        <w:ind w:left="360"/>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Ps. 714</w:t>
      </w:r>
    </w:p>
    <w:p>
      <w:pPr>
        <w:spacing w:after="0" w:line="200" w:lineRule="exact"/>
        <w:rPr>
          <w:sz w:val="20"/>
          <w:szCs w:val="20"/>
          <w:color w:val="auto"/>
        </w:rPr>
      </w:pPr>
    </w:p>
    <w:p>
      <w:pPr>
        <w:sectPr>
          <w:pgSz w:w="11900" w:h="16838" w:orient="portrait"/>
          <w:cols w:equalWidth="0" w:num="3">
            <w:col w:w="6660" w:space="520"/>
            <w:col w:w="700" w:space="700"/>
            <w:col w:w="1659"/>
          </w:cols>
          <w:pgMar w:left="220" w:top="617" w:right="1440" w:bottom="1440" w:gutter="0" w:footer="0" w:header="0"/>
          <w:type w:val="continuous"/>
        </w:sectPr>
      </w:pPr>
    </w:p>
    <w:p>
      <w:pPr>
        <w:spacing w:after="0" w:line="141"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Fixed assets recorded at their estimated realizable value are considered monetary assets on which a loss on monetary position is computed and recorded in the results of operation.</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U.S. GAAP Reconciliation</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The principal differences between Mexican GAAP and U.S. GAAP that affect our net majority income and majority shareholders' equity relate to the accounting treatment of the following items:</w:t>
      </w:r>
    </w:p>
    <w:p>
      <w:pPr>
        <w:spacing w:after="0" w:line="167" w:lineRule="exact"/>
        <w:rPr>
          <w:sz w:val="20"/>
          <w:szCs w:val="20"/>
          <w:color w:val="auto"/>
        </w:rPr>
      </w:pPr>
    </w:p>
    <w:p>
      <w:pPr>
        <w:ind w:left="180" w:hanging="170"/>
        <w:spacing w:after="0"/>
        <w:tabs>
          <w:tab w:leader="none" w:pos="18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deferred income taxes and deferred employee profit sharing;</w:t>
      </w:r>
    </w:p>
    <w:p>
      <w:pPr>
        <w:ind w:left="180" w:hanging="170"/>
        <w:spacing w:after="0"/>
        <w:tabs>
          <w:tab w:leader="none" w:pos="18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goodwill amortization;</w:t>
      </w:r>
    </w:p>
    <w:p>
      <w:pPr>
        <w:ind w:left="180" w:hanging="170"/>
        <w:spacing w:after="0"/>
        <w:tabs>
          <w:tab w:leader="none" w:pos="18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capitalization of interest expense; and</w:t>
      </w:r>
    </w:p>
    <w:p>
      <w:pPr>
        <w:ind w:left="180" w:hanging="170"/>
        <w:spacing w:after="0"/>
        <w:tabs>
          <w:tab w:leader="none" w:pos="18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restatement of imported machinery and equipment.</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102</w:t>
      </w:r>
    </w:p>
    <w:p>
      <w:pPr>
        <w:sectPr>
          <w:pgSz w:w="11900" w:h="16838" w:orient="portrait"/>
          <w:cols w:equalWidth="0" w:num="1">
            <w:col w:w="10239"/>
          </w:cols>
          <w:pgMar w:left="220" w:top="617" w:right="1440" w:bottom="1440" w:gutter="0" w:footer="0" w:header="0"/>
          <w:type w:val="continuous"/>
        </w:sectPr>
      </w:pPr>
    </w:p>
    <w:bookmarkStart w:id="109" w:name="page110"/>
    <w:bookmarkEnd w:id="109"/>
    <w:p>
      <w:pPr>
        <w:ind w:right="3239"/>
        <w:spacing w:after="0" w:line="236" w:lineRule="auto"/>
        <w:rPr>
          <w:sz w:val="20"/>
          <w:szCs w:val="20"/>
          <w:color w:val="auto"/>
        </w:rPr>
      </w:pPr>
      <w:r>
        <w:rPr>
          <w:rFonts w:ascii="Courier New" w:cs="Courier New" w:eastAsia="Courier New" w:hAnsi="Courier New"/>
          <w:sz w:val="15"/>
          <w:szCs w:val="15"/>
          <w:color w:val="auto"/>
        </w:rPr>
        <w:t>For a more detailed description of the differences between Mexican GAAP and U.S. GAAP as they relate to us and a reconciliation of net majority income and majority shareholders' equity under Mexican GAAP to net income and shareholders' equity under U.S. GAAP, see Notes 24 and 25 to our consolidated financial statements.</w:t>
      </w:r>
    </w:p>
    <w:p>
      <w:pPr>
        <w:spacing w:after="0" w:line="174"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Pursuant to Mexican GAAP, our consolidated financial statements recognize certain effects of inflation in accordance with Bulletin B-10 and B-12. These effects were not reversed in the reconciliation to U.S. GAAP.</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Under U.S. GAAP, we had net income of Ps. 3,083 million and Ps. 3,178 million in 2002 and 2001, respectively. Under Mexican GAAP, we had net majority income of Ps. 2,837 million and Ps. 3,393 million in 2002 and 2001, respectively. In 2002, net income under U.S. GAAP was higher than net majority income under Mexican GAAP, mainly as a result of the effect of deferred income taxes and deferred employee profit sharing. In 2001, approximate net income under U.S. GAAP was lower than net majority income under Mexican GAAP, mainly as a result of the amortization of the goodwill, generated in the acquisition of the minority interest of Emprex through the 1998 exchange offer. (See Notes 4(m) and 24(i) and (l) to our consolidated financial statements.)</w:t>
      </w:r>
    </w:p>
    <w:p>
      <w:pPr>
        <w:spacing w:after="0" w:line="16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Shareholders' equity under U.S. GAAP as of December 31, 2002 and 2001 was Ps. 36,767 million and Ps. 35,196 million, respectively. Under Mexican GAAP, majority shareholders' equity as of December 31, 2002 and 2001 was Ps. 23,015 million and Ps. 21,173 million, respectively. The principal reasons for the difference between majority shareholders' equity under U.S. GAAP and Mexican GAAP were the effect of the goodwill generated by the minority interest acquisition and the restatement of imported machinery and equipment, partially offset by effects of deferred income taxes and deferred employee profit sharing.</w:t>
      </w:r>
    </w:p>
    <w:p>
      <w:pPr>
        <w:spacing w:after="0" w:line="200" w:lineRule="exact"/>
        <w:rPr>
          <w:sz w:val="20"/>
          <w:szCs w:val="20"/>
          <w:color w:val="auto"/>
        </w:rPr>
      </w:pPr>
    </w:p>
    <w:p>
      <w:pPr>
        <w:spacing w:after="0" w:line="29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103</w:t>
      </w:r>
    </w:p>
    <w:p>
      <w:pPr>
        <w:sectPr>
          <w:pgSz w:w="11900" w:h="16838" w:orient="portrait"/>
          <w:cols w:equalWidth="0" w:num="1">
            <w:col w:w="10239"/>
          </w:cols>
          <w:pgMar w:left="220" w:top="624" w:right="1440" w:bottom="1440" w:gutter="0" w:footer="0" w:header="0"/>
        </w:sectPr>
      </w:pPr>
    </w:p>
    <w:bookmarkStart w:id="110" w:name="page111"/>
    <w:bookmarkEnd w:id="110"/>
    <w:p>
      <w:pPr>
        <w:spacing w:after="0"/>
        <w:tabs>
          <w:tab w:leader="none" w:pos="78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DIRECTORS, SENIOR MANAGEMENT AND EMPLOYEES</w:t>
      </w:r>
    </w:p>
    <w:p>
      <w:pPr>
        <w:spacing w:after="0" w:line="166" w:lineRule="exact"/>
        <w:rPr>
          <w:sz w:val="20"/>
          <w:szCs w:val="20"/>
          <w:color w:val="auto"/>
        </w:rPr>
      </w:pPr>
    </w:p>
    <w:p>
      <w:pPr>
        <w:jc w:val="center"/>
        <w:ind w:right="4100"/>
        <w:spacing w:after="0"/>
        <w:rPr>
          <w:sz w:val="20"/>
          <w:szCs w:val="20"/>
          <w:color w:val="auto"/>
        </w:rPr>
      </w:pPr>
      <w:r>
        <w:rPr>
          <w:rFonts w:ascii="Courier New" w:cs="Courier New" w:eastAsia="Courier New" w:hAnsi="Courier New"/>
          <w:sz w:val="15"/>
          <w:szCs w:val="15"/>
          <w:color w:val="auto"/>
        </w:rPr>
        <w:t>Directors</w:t>
      </w:r>
    </w:p>
    <w:p>
      <w:pPr>
        <w:spacing w:after="0" w:line="173" w:lineRule="exact"/>
        <w:rPr>
          <w:sz w:val="20"/>
          <w:szCs w:val="20"/>
          <w:color w:val="auto"/>
        </w:rPr>
      </w:pPr>
    </w:p>
    <w:p>
      <w:pPr>
        <w:ind w:right="4200" w:firstLine="437"/>
        <w:spacing w:after="0" w:line="255" w:lineRule="auto"/>
        <w:rPr>
          <w:sz w:val="20"/>
          <w:szCs w:val="20"/>
          <w:color w:val="auto"/>
        </w:rPr>
      </w:pPr>
      <w:r>
        <w:rPr>
          <w:rFonts w:ascii="Courier New" w:cs="Courier New" w:eastAsia="Courier New" w:hAnsi="Courier New"/>
          <w:sz w:val="14"/>
          <w:szCs w:val="14"/>
          <w:color w:val="auto"/>
        </w:rPr>
        <w:t>Management of our business is vested in the board of directors (the "Board of Directors"). Our bylaws provide that the Board of Directors consists of the number of Directors and Designated Alternate Directors elected by our shareholders at the annual ordinary general shareholders meeting. Directors are elected for a term of one year, although they remain in office until successors are appointed. Alternate Directors are authorized to serve on the Board of Directors in place of Directors who are unable to attend meetings and may participate in the activities of the Board of Directors. Since May 11, 1998, our Board of Directors has consisted of eighteen members. Our bylaws provide that the holders of the Series B Shares elect at least eleven Directors and that the holders of the Series D Shares elect five Directors. The shareholders may designate Alternate Directors to cover the absences of a specific Director. Upon the issuance of Series L Shares or upon the conversion of the Series D-L Shares, the holders of the Series L Shares will be entitled to elect two Directors. See "Item 10. Additional Information--Bylaws."</w:t>
      </w:r>
    </w:p>
    <w:p>
      <w:pPr>
        <w:spacing w:after="0" w:line="332" w:lineRule="exact"/>
        <w:rPr>
          <w:sz w:val="20"/>
          <w:szCs w:val="20"/>
          <w:color w:val="auto"/>
        </w:rPr>
      </w:pPr>
    </w:p>
    <w:p>
      <w:pPr>
        <w:ind w:right="4200" w:firstLine="437"/>
        <w:spacing w:after="0" w:line="255" w:lineRule="auto"/>
        <w:rPr>
          <w:sz w:val="20"/>
          <w:szCs w:val="20"/>
          <w:color w:val="auto"/>
        </w:rPr>
      </w:pPr>
      <w:r>
        <w:rPr>
          <w:rFonts w:ascii="Courier New" w:cs="Courier New" w:eastAsia="Courier New" w:hAnsi="Courier New"/>
          <w:sz w:val="14"/>
          <w:szCs w:val="14"/>
          <w:color w:val="auto"/>
        </w:rPr>
        <w:t>The names and positions of the current members of the Board of Directors, their dates of birth and information on their principal business activities outside our company are outlined in the following table. In each case, the date presented as "First elected" corresponds to the earliest appointment to the Board of Directors of either FEMSA, Emprex or FEMSA's predecessor Valores Industriales, S.A. See "Item 4. Information on the Company--The Reorganization."</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20" w:type="dxa"/>
            <w:vAlign w:val="bottom"/>
            <w:gridSpan w:val="2"/>
          </w:tcPr>
          <w:p>
            <w:pPr>
              <w:ind w:left="2380"/>
              <w:spacing w:after="0"/>
              <w:rPr>
                <w:sz w:val="20"/>
                <w:szCs w:val="20"/>
                <w:color w:val="auto"/>
              </w:rPr>
            </w:pPr>
            <w:r>
              <w:rPr>
                <w:rFonts w:ascii="Courier New" w:cs="Courier New" w:eastAsia="Courier New" w:hAnsi="Courier New"/>
                <w:sz w:val="15"/>
                <w:szCs w:val="15"/>
                <w:color w:val="auto"/>
              </w:rPr>
              <w:t>Board of Directors of FEMSA</w:t>
            </w:r>
          </w:p>
        </w:tc>
        <w:tc>
          <w:tcPr>
            <w:tcW w:w="4980" w:type="dxa"/>
            <w:vAlign w:val="bottom"/>
          </w:tcPr>
          <w:p>
            <w:pPr>
              <w:spacing w:after="0"/>
              <w:rPr>
                <w:sz w:val="14"/>
                <w:szCs w:val="14"/>
                <w:color w:val="auto"/>
              </w:rPr>
            </w:pP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Series "B" Directors</w:t>
            </w:r>
          </w:p>
        </w:tc>
        <w:tc>
          <w:tcPr>
            <w:tcW w:w="3060" w:type="dxa"/>
            <w:vAlign w:val="bottom"/>
          </w:tcPr>
          <w:p>
            <w:pPr>
              <w:spacing w:after="0"/>
              <w:rPr>
                <w:sz w:val="24"/>
                <w:szCs w:val="24"/>
                <w:color w:val="auto"/>
              </w:rPr>
            </w:pPr>
          </w:p>
        </w:tc>
        <w:tc>
          <w:tcPr>
            <w:tcW w:w="4980" w:type="dxa"/>
            <w:vAlign w:val="bottom"/>
          </w:tcPr>
          <w:p>
            <w:pPr>
              <w:spacing w:after="0"/>
              <w:rPr>
                <w:sz w:val="24"/>
                <w:szCs w:val="24"/>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Eugenio Garza Laguera</w:t>
            </w:r>
          </w:p>
        </w:tc>
        <w:tc>
          <w:tcPr>
            <w:tcW w:w="306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Born:</w:t>
            </w:r>
          </w:p>
        </w:tc>
        <w:tc>
          <w:tcPr>
            <w:tcW w:w="49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December 1923</w:t>
            </w:r>
          </w:p>
        </w:tc>
      </w:tr>
      <w:tr>
        <w:trPr>
          <w:trHeight w:val="168"/>
        </w:trPr>
        <w:tc>
          <w:tcPr>
            <w:tcW w:w="3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Director and Honorary</w:t>
            </w:r>
          </w:p>
        </w:tc>
        <w:tc>
          <w:tcPr>
            <w:tcW w:w="306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First elected:</w:t>
            </w:r>
          </w:p>
        </w:tc>
        <w:tc>
          <w:tcPr>
            <w:tcW w:w="49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1960</w:t>
            </w:r>
          </w:p>
        </w:tc>
      </w:tr>
      <w:tr>
        <w:trPr>
          <w:trHeight w:val="168"/>
        </w:trPr>
        <w:tc>
          <w:tcPr>
            <w:tcW w:w="3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Life Chairman</w:t>
            </w:r>
          </w:p>
        </w:tc>
        <w:tc>
          <w:tcPr>
            <w:tcW w:w="306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Term expires:</w:t>
            </w:r>
          </w:p>
        </w:tc>
        <w:tc>
          <w:tcPr>
            <w:tcW w:w="49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2004</w:t>
            </w:r>
          </w:p>
        </w:tc>
      </w:tr>
      <w:tr>
        <w:trPr>
          <w:trHeight w:val="168"/>
        </w:trPr>
        <w:tc>
          <w:tcPr>
            <w:tcW w:w="3160" w:type="dxa"/>
            <w:vAlign w:val="bottom"/>
          </w:tcPr>
          <w:p>
            <w:pPr>
              <w:spacing w:after="0"/>
              <w:rPr>
                <w:sz w:val="14"/>
                <w:szCs w:val="14"/>
                <w:color w:val="auto"/>
              </w:rPr>
            </w:pPr>
          </w:p>
        </w:tc>
        <w:tc>
          <w:tcPr>
            <w:tcW w:w="306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Other directorships:</w:t>
            </w:r>
          </w:p>
        </w:tc>
        <w:tc>
          <w:tcPr>
            <w:tcW w:w="49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Honorary Life Chairman of Coca-Cola FEMSA,</w:t>
            </w:r>
          </w:p>
        </w:tc>
      </w:tr>
      <w:tr>
        <w:trPr>
          <w:trHeight w:val="168"/>
        </w:trPr>
        <w:tc>
          <w:tcPr>
            <w:tcW w:w="31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49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Instituto Tecnologico de Estudios Superiores</w:t>
            </w:r>
          </w:p>
        </w:tc>
      </w:tr>
      <w:tr>
        <w:trPr>
          <w:trHeight w:val="168"/>
        </w:trPr>
        <w:tc>
          <w:tcPr>
            <w:tcW w:w="31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49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de Monterrey ("ITESM") and BBVA Bancomer.</w:t>
            </w:r>
          </w:p>
        </w:tc>
      </w:tr>
      <w:tr>
        <w:trPr>
          <w:trHeight w:val="168"/>
        </w:trPr>
        <w:tc>
          <w:tcPr>
            <w:tcW w:w="3160" w:type="dxa"/>
            <w:vAlign w:val="bottom"/>
          </w:tcPr>
          <w:p>
            <w:pPr>
              <w:spacing w:after="0"/>
              <w:rPr>
                <w:sz w:val="14"/>
                <w:szCs w:val="14"/>
                <w:color w:val="auto"/>
              </w:rPr>
            </w:pPr>
          </w:p>
        </w:tc>
        <w:tc>
          <w:tcPr>
            <w:tcW w:w="306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Business experience:</w:t>
            </w:r>
          </w:p>
        </w:tc>
        <w:tc>
          <w:tcPr>
            <w:tcW w:w="49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Joined FEMSA in 1946 in the research</w:t>
            </w:r>
          </w:p>
        </w:tc>
      </w:tr>
      <w:tr>
        <w:trPr>
          <w:trHeight w:val="168"/>
        </w:trPr>
        <w:tc>
          <w:tcPr>
            <w:tcW w:w="31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49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department of Cerveceria Cuauhtemoc.</w:t>
            </w:r>
          </w:p>
        </w:tc>
      </w:tr>
      <w:tr>
        <w:trPr>
          <w:trHeight w:val="168"/>
        </w:trPr>
        <w:tc>
          <w:tcPr>
            <w:tcW w:w="3160" w:type="dxa"/>
            <w:vAlign w:val="bottom"/>
          </w:tcPr>
          <w:p>
            <w:pPr>
              <w:spacing w:after="0"/>
              <w:rPr>
                <w:sz w:val="14"/>
                <w:szCs w:val="14"/>
                <w:color w:val="auto"/>
              </w:rPr>
            </w:pPr>
          </w:p>
        </w:tc>
        <w:tc>
          <w:tcPr>
            <w:tcW w:w="306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Other experience:</w:t>
            </w:r>
          </w:p>
        </w:tc>
        <w:tc>
          <w:tcPr>
            <w:tcW w:w="49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Holds degrees in chemical engineering from the</w:t>
            </w:r>
          </w:p>
        </w:tc>
      </w:tr>
      <w:tr>
        <w:trPr>
          <w:trHeight w:val="168"/>
        </w:trPr>
        <w:tc>
          <w:tcPr>
            <w:tcW w:w="31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49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6"/>
              </w:rPr>
              <w:t>University of  Texas and in business administration from</w:t>
            </w:r>
          </w:p>
        </w:tc>
      </w:tr>
      <w:tr>
        <w:trPr>
          <w:trHeight w:val="168"/>
        </w:trPr>
        <w:tc>
          <w:tcPr>
            <w:tcW w:w="31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49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ITESM.</w:t>
            </w:r>
          </w:p>
        </w:tc>
      </w:tr>
      <w:tr>
        <w:trPr>
          <w:trHeight w:val="168"/>
        </w:trPr>
        <w:tc>
          <w:tcPr>
            <w:tcW w:w="3160" w:type="dxa"/>
            <w:vAlign w:val="bottom"/>
          </w:tcPr>
          <w:p>
            <w:pPr>
              <w:spacing w:after="0"/>
              <w:rPr>
                <w:sz w:val="14"/>
                <w:szCs w:val="14"/>
                <w:color w:val="auto"/>
              </w:rPr>
            </w:pPr>
          </w:p>
        </w:tc>
        <w:tc>
          <w:tcPr>
            <w:tcW w:w="306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Alternate director:</w:t>
            </w:r>
          </w:p>
        </w:tc>
        <w:tc>
          <w:tcPr>
            <w:tcW w:w="49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Mariana Garza de Trevino(3)(9)</w:t>
            </w: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Jose Antonio Fernandez(1)</w:t>
            </w:r>
          </w:p>
        </w:tc>
        <w:tc>
          <w:tcPr>
            <w:tcW w:w="3060" w:type="dxa"/>
            <w:vAlign w:val="bottom"/>
          </w:tcPr>
          <w:p>
            <w:pPr>
              <w:ind w:left="780"/>
              <w:spacing w:after="0"/>
              <w:rPr>
                <w:sz w:val="20"/>
                <w:szCs w:val="20"/>
                <w:color w:val="auto"/>
              </w:rPr>
            </w:pPr>
            <w:r>
              <w:rPr>
                <w:rFonts w:ascii="Courier New" w:cs="Courier New" w:eastAsia="Courier New" w:hAnsi="Courier New"/>
                <w:sz w:val="15"/>
                <w:szCs w:val="15"/>
                <w:color w:val="auto"/>
              </w:rPr>
              <w:t>Born:</w:t>
            </w:r>
          </w:p>
        </w:tc>
        <w:tc>
          <w:tcPr>
            <w:tcW w:w="4980" w:type="dxa"/>
            <w:vAlign w:val="bottom"/>
          </w:tcPr>
          <w:p>
            <w:pPr>
              <w:ind w:left="80"/>
              <w:spacing w:after="0"/>
              <w:rPr>
                <w:sz w:val="20"/>
                <w:szCs w:val="20"/>
                <w:color w:val="auto"/>
              </w:rPr>
            </w:pPr>
            <w:r>
              <w:rPr>
                <w:rFonts w:ascii="Courier New" w:cs="Courier New" w:eastAsia="Courier New" w:hAnsi="Courier New"/>
                <w:sz w:val="15"/>
                <w:szCs w:val="15"/>
                <w:color w:val="auto"/>
              </w:rPr>
              <w:t>February 1954</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 and Chairman of the Board</w:t>
            </w:r>
          </w:p>
        </w:tc>
        <w:tc>
          <w:tcPr>
            <w:tcW w:w="306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First elected (Chairman):</w:t>
            </w:r>
          </w:p>
        </w:tc>
        <w:tc>
          <w:tcPr>
            <w:tcW w:w="49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3160" w:type="dxa"/>
            <w:vAlign w:val="bottom"/>
          </w:tcPr>
          <w:p>
            <w:pPr>
              <w:spacing w:after="0"/>
              <w:rPr>
                <w:sz w:val="14"/>
                <w:szCs w:val="14"/>
                <w:color w:val="auto"/>
              </w:rPr>
            </w:pPr>
          </w:p>
        </w:tc>
        <w:tc>
          <w:tcPr>
            <w:tcW w:w="306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First elected (Director):</w:t>
            </w:r>
          </w:p>
        </w:tc>
        <w:tc>
          <w:tcPr>
            <w:tcW w:w="49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1984</w:t>
            </w:r>
          </w:p>
        </w:tc>
      </w:tr>
      <w:tr>
        <w:trPr>
          <w:trHeight w:val="168"/>
        </w:trPr>
        <w:tc>
          <w:tcPr>
            <w:tcW w:w="3160" w:type="dxa"/>
            <w:vAlign w:val="bottom"/>
          </w:tcPr>
          <w:p>
            <w:pPr>
              <w:spacing w:after="0"/>
              <w:rPr>
                <w:sz w:val="14"/>
                <w:szCs w:val="14"/>
                <w:color w:val="auto"/>
              </w:rPr>
            </w:pPr>
          </w:p>
        </w:tc>
        <w:tc>
          <w:tcPr>
            <w:tcW w:w="306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Term expires:</w:t>
            </w:r>
          </w:p>
        </w:tc>
        <w:tc>
          <w:tcPr>
            <w:tcW w:w="49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2004</w:t>
            </w:r>
          </w:p>
        </w:tc>
      </w:tr>
      <w:tr>
        <w:trPr>
          <w:trHeight w:val="168"/>
        </w:trPr>
        <w:tc>
          <w:tcPr>
            <w:tcW w:w="3160" w:type="dxa"/>
            <w:vAlign w:val="bottom"/>
          </w:tcPr>
          <w:p>
            <w:pPr>
              <w:spacing w:after="0"/>
              <w:rPr>
                <w:sz w:val="14"/>
                <w:szCs w:val="14"/>
                <w:color w:val="auto"/>
              </w:rPr>
            </w:pPr>
          </w:p>
        </w:tc>
        <w:tc>
          <w:tcPr>
            <w:tcW w:w="306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Principal occupation:</w:t>
            </w:r>
          </w:p>
        </w:tc>
        <w:tc>
          <w:tcPr>
            <w:tcW w:w="49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Chief Executive Officer of FEMSA</w:t>
            </w:r>
          </w:p>
        </w:tc>
      </w:tr>
      <w:tr>
        <w:trPr>
          <w:trHeight w:val="168"/>
        </w:trPr>
        <w:tc>
          <w:tcPr>
            <w:tcW w:w="3160" w:type="dxa"/>
            <w:vAlign w:val="bottom"/>
          </w:tcPr>
          <w:p>
            <w:pPr>
              <w:spacing w:after="0"/>
              <w:rPr>
                <w:sz w:val="14"/>
                <w:szCs w:val="14"/>
                <w:color w:val="auto"/>
              </w:rPr>
            </w:pPr>
          </w:p>
        </w:tc>
        <w:tc>
          <w:tcPr>
            <w:tcW w:w="306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Other directorships:</w:t>
            </w:r>
          </w:p>
        </w:tc>
        <w:tc>
          <w:tcPr>
            <w:tcW w:w="49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Chairman of the Board of Coca-Cola FEMSA,</w:t>
            </w:r>
          </w:p>
        </w:tc>
      </w:tr>
      <w:tr>
        <w:trPr>
          <w:trHeight w:val="168"/>
        </w:trPr>
        <w:tc>
          <w:tcPr>
            <w:tcW w:w="31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49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Vice-Chairman of the Board of ITESM and</w:t>
            </w:r>
          </w:p>
        </w:tc>
      </w:tr>
      <w:tr>
        <w:trPr>
          <w:trHeight w:val="168"/>
        </w:trPr>
        <w:tc>
          <w:tcPr>
            <w:tcW w:w="31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49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Member of the Boards of BBVA Bancomer, Grupo</w:t>
            </w:r>
          </w:p>
        </w:tc>
      </w:tr>
      <w:tr>
        <w:trPr>
          <w:trHeight w:val="168"/>
        </w:trPr>
        <w:tc>
          <w:tcPr>
            <w:tcW w:w="31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49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Industrial Saltillo, S.A. de C.V., Industrias</w:t>
            </w:r>
          </w:p>
        </w:tc>
      </w:tr>
      <w:tr>
        <w:trPr>
          <w:trHeight w:val="168"/>
        </w:trPr>
        <w:tc>
          <w:tcPr>
            <w:tcW w:w="31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49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Penoles, S.A. de C.V. and Grupo Industrial</w:t>
            </w:r>
          </w:p>
        </w:tc>
      </w:tr>
      <w:tr>
        <w:trPr>
          <w:trHeight w:val="168"/>
        </w:trPr>
        <w:tc>
          <w:tcPr>
            <w:tcW w:w="31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49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Bimbo, S.A. de C.V. ("Grupo Bimbo").</w:t>
            </w:r>
          </w:p>
        </w:tc>
      </w:tr>
      <w:tr>
        <w:trPr>
          <w:trHeight w:val="673"/>
        </w:trPr>
        <w:tc>
          <w:tcPr>
            <w:tcW w:w="3160" w:type="dxa"/>
            <w:vAlign w:val="bottom"/>
          </w:tcPr>
          <w:p>
            <w:pPr>
              <w:spacing w:after="0"/>
              <w:rPr>
                <w:sz w:val="24"/>
                <w:szCs w:val="24"/>
                <w:color w:val="auto"/>
              </w:rPr>
            </w:pPr>
          </w:p>
        </w:tc>
        <w:tc>
          <w:tcPr>
            <w:tcW w:w="3060" w:type="dxa"/>
            <w:vAlign w:val="bottom"/>
          </w:tcPr>
          <w:p>
            <w:pPr>
              <w:ind w:left="180"/>
              <w:spacing w:after="0"/>
              <w:rPr>
                <w:sz w:val="20"/>
                <w:szCs w:val="20"/>
                <w:color w:val="auto"/>
              </w:rPr>
            </w:pPr>
            <w:r>
              <w:rPr>
                <w:rFonts w:ascii="Courier New" w:cs="Courier New" w:eastAsia="Courier New" w:hAnsi="Courier New"/>
                <w:sz w:val="15"/>
                <w:szCs w:val="15"/>
                <w:color w:val="auto"/>
              </w:rPr>
              <w:t>104</w:t>
            </w:r>
          </w:p>
        </w:tc>
        <w:tc>
          <w:tcPr>
            <w:tcW w:w="4980" w:type="dxa"/>
            <w:vAlign w:val="bottom"/>
          </w:tcPr>
          <w:p>
            <w:pPr>
              <w:spacing w:after="0"/>
              <w:rPr>
                <w:sz w:val="24"/>
                <w:szCs w:val="24"/>
                <w:color w:val="auto"/>
              </w:rPr>
            </w:pPr>
          </w:p>
        </w:tc>
      </w:tr>
    </w:tbl>
    <w:p>
      <w:pPr>
        <w:sectPr>
          <w:pgSz w:w="11900" w:h="16838" w:orient="portrait"/>
          <w:cols w:equalWidth="0" w:num="1">
            <w:col w:w="11200"/>
          </w:cols>
          <w:pgMar w:left="220" w:top="953" w:right="479" w:bottom="1440" w:gutter="0" w:footer="0" w:header="0"/>
        </w:sectPr>
      </w:pPr>
    </w:p>
    <w:bookmarkStart w:id="111" w:name="page112"/>
    <w:bookmarkEnd w:id="1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80" w:type="dxa"/>
            <w:vAlign w:val="bottom"/>
          </w:tcPr>
          <w:p>
            <w:pPr>
              <w:spacing w:after="0"/>
              <w:rPr>
                <w:sz w:val="14"/>
                <w:szCs w:val="14"/>
                <w:color w:val="auto"/>
              </w:rPr>
            </w:pPr>
          </w:p>
        </w:tc>
        <w:tc>
          <w:tcPr>
            <w:tcW w:w="3280" w:type="dxa"/>
            <w:vAlign w:val="bottom"/>
          </w:tcPr>
          <w:p>
            <w:pPr>
              <w:ind w:left="960"/>
              <w:spacing w:after="0"/>
              <w:rPr>
                <w:sz w:val="20"/>
                <w:szCs w:val="20"/>
                <w:color w:val="auto"/>
              </w:rPr>
            </w:pPr>
            <w:r>
              <w:rPr>
                <w:rFonts w:ascii="Courier New" w:cs="Courier New" w:eastAsia="Courier New" w:hAnsi="Courier New"/>
                <w:sz w:val="15"/>
                <w:szCs w:val="15"/>
                <w:color w:val="auto"/>
              </w:rPr>
              <w:t>Business experience:</w:t>
            </w:r>
          </w:p>
        </w:tc>
        <w:tc>
          <w:tcPr>
            <w:tcW w:w="5200" w:type="dxa"/>
            <w:vAlign w:val="bottom"/>
          </w:tcPr>
          <w:p>
            <w:pPr>
              <w:ind w:left="40"/>
              <w:spacing w:after="0"/>
              <w:rPr>
                <w:sz w:val="20"/>
                <w:szCs w:val="20"/>
                <w:color w:val="auto"/>
              </w:rPr>
            </w:pPr>
            <w:r>
              <w:rPr>
                <w:rFonts w:ascii="Courier New" w:cs="Courier New" w:eastAsia="Courier New" w:hAnsi="Courier New"/>
                <w:sz w:val="15"/>
                <w:szCs w:val="15"/>
                <w:color w:val="auto"/>
              </w:rPr>
              <w:t>Joined FEMSA's strategic planning department</w:t>
            </w:r>
          </w:p>
        </w:tc>
      </w:tr>
      <w:tr>
        <w:trPr>
          <w:trHeight w:val="168"/>
        </w:trPr>
        <w:tc>
          <w:tcPr>
            <w:tcW w:w="29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5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 1987.  Held managerial positions at FEMSA</w:t>
            </w:r>
          </w:p>
        </w:tc>
      </w:tr>
      <w:tr>
        <w:trPr>
          <w:trHeight w:val="168"/>
        </w:trPr>
        <w:tc>
          <w:tcPr>
            <w:tcW w:w="29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5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Cerveza's Commercial Division and Oxxo.</w:t>
            </w:r>
          </w:p>
        </w:tc>
      </w:tr>
      <w:tr>
        <w:trPr>
          <w:trHeight w:val="168"/>
        </w:trPr>
        <w:tc>
          <w:tcPr>
            <w:tcW w:w="29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5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Appointed our Chief Executive Officer in</w:t>
            </w:r>
          </w:p>
        </w:tc>
      </w:tr>
      <w:tr>
        <w:trPr>
          <w:trHeight w:val="168"/>
        </w:trPr>
        <w:tc>
          <w:tcPr>
            <w:tcW w:w="29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5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1995.</w:t>
            </w:r>
          </w:p>
        </w:tc>
      </w:tr>
      <w:tr>
        <w:trPr>
          <w:trHeight w:val="168"/>
        </w:trPr>
        <w:tc>
          <w:tcPr>
            <w:tcW w:w="2980" w:type="dxa"/>
            <w:vAlign w:val="bottom"/>
          </w:tcPr>
          <w:p>
            <w:pPr>
              <w:spacing w:after="0"/>
              <w:rPr>
                <w:sz w:val="14"/>
                <w:szCs w:val="14"/>
                <w:color w:val="auto"/>
              </w:rPr>
            </w:pPr>
          </w:p>
        </w:tc>
        <w:tc>
          <w:tcPr>
            <w:tcW w:w="328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Other experience:</w:t>
            </w:r>
          </w:p>
        </w:tc>
        <w:tc>
          <w:tcPr>
            <w:tcW w:w="5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Holds a degree in industrial engineering and</w:t>
            </w:r>
          </w:p>
        </w:tc>
      </w:tr>
      <w:tr>
        <w:trPr>
          <w:trHeight w:val="168"/>
        </w:trPr>
        <w:tc>
          <w:tcPr>
            <w:tcW w:w="29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5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 MBA from ITESM.</w:t>
            </w:r>
          </w:p>
        </w:tc>
      </w:tr>
      <w:tr>
        <w:trPr>
          <w:trHeight w:val="168"/>
        </w:trPr>
        <w:tc>
          <w:tcPr>
            <w:tcW w:w="2980" w:type="dxa"/>
            <w:vAlign w:val="bottom"/>
          </w:tcPr>
          <w:p>
            <w:pPr>
              <w:spacing w:after="0"/>
              <w:rPr>
                <w:sz w:val="14"/>
                <w:szCs w:val="14"/>
                <w:color w:val="auto"/>
              </w:rPr>
            </w:pPr>
          </w:p>
        </w:tc>
        <w:tc>
          <w:tcPr>
            <w:tcW w:w="328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Alternate director:</w:t>
            </w:r>
          </w:p>
        </w:tc>
        <w:tc>
          <w:tcPr>
            <w:tcW w:w="5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Federico Reyes</w:t>
            </w: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Juan Carlos Braniff Hierro (1)</w:t>
            </w:r>
          </w:p>
        </w:tc>
        <w:tc>
          <w:tcPr>
            <w:tcW w:w="3280" w:type="dxa"/>
            <w:vAlign w:val="bottom"/>
          </w:tcPr>
          <w:p>
            <w:pPr>
              <w:ind w:left="960"/>
              <w:spacing w:after="0"/>
              <w:rPr>
                <w:sz w:val="20"/>
                <w:szCs w:val="20"/>
                <w:color w:val="auto"/>
              </w:rPr>
            </w:pPr>
            <w:r>
              <w:rPr>
                <w:rFonts w:ascii="Courier New" w:cs="Courier New" w:eastAsia="Courier New" w:hAnsi="Courier New"/>
                <w:sz w:val="15"/>
                <w:szCs w:val="15"/>
                <w:color w:val="auto"/>
              </w:rPr>
              <w:t>Born:</w:t>
            </w:r>
          </w:p>
        </w:tc>
        <w:tc>
          <w:tcPr>
            <w:tcW w:w="5200" w:type="dxa"/>
            <w:vAlign w:val="bottom"/>
          </w:tcPr>
          <w:p>
            <w:pPr>
              <w:ind w:left="40"/>
              <w:spacing w:after="0"/>
              <w:rPr>
                <w:sz w:val="20"/>
                <w:szCs w:val="20"/>
                <w:color w:val="auto"/>
              </w:rPr>
            </w:pPr>
            <w:r>
              <w:rPr>
                <w:rFonts w:ascii="Courier New" w:cs="Courier New" w:eastAsia="Courier New" w:hAnsi="Courier New"/>
                <w:sz w:val="15"/>
                <w:szCs w:val="15"/>
                <w:color w:val="auto"/>
              </w:rPr>
              <w:t>April 1957</w:t>
            </w:r>
          </w:p>
        </w:tc>
      </w:tr>
      <w:tr>
        <w:trPr>
          <w:trHeight w:val="168"/>
        </w:trPr>
        <w:tc>
          <w:tcPr>
            <w:tcW w:w="2980" w:type="dxa"/>
            <w:vAlign w:val="bottom"/>
          </w:tcPr>
          <w:p>
            <w:pPr>
              <w:jc w:val="right"/>
              <w:ind w:right="1767"/>
              <w:spacing w:after="0" w:line="168" w:lineRule="exact"/>
              <w:rPr>
                <w:sz w:val="20"/>
                <w:szCs w:val="20"/>
                <w:color w:val="auto"/>
              </w:rPr>
            </w:pPr>
            <w:r>
              <w:rPr>
                <w:rFonts w:ascii="Courier New" w:cs="Courier New" w:eastAsia="Courier New" w:hAnsi="Courier New"/>
                <w:sz w:val="15"/>
                <w:szCs w:val="15"/>
                <w:color w:val="auto"/>
              </w:rPr>
              <w:t>Director</w:t>
            </w:r>
          </w:p>
        </w:tc>
        <w:tc>
          <w:tcPr>
            <w:tcW w:w="328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First elected:</w:t>
            </w:r>
          </w:p>
        </w:tc>
        <w:tc>
          <w:tcPr>
            <w:tcW w:w="5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1987</w:t>
            </w:r>
          </w:p>
        </w:tc>
      </w:tr>
      <w:tr>
        <w:trPr>
          <w:trHeight w:val="168"/>
        </w:trPr>
        <w:tc>
          <w:tcPr>
            <w:tcW w:w="2980" w:type="dxa"/>
            <w:vAlign w:val="bottom"/>
          </w:tcPr>
          <w:p>
            <w:pPr>
              <w:spacing w:after="0"/>
              <w:rPr>
                <w:sz w:val="14"/>
                <w:szCs w:val="14"/>
                <w:color w:val="auto"/>
              </w:rPr>
            </w:pPr>
          </w:p>
        </w:tc>
        <w:tc>
          <w:tcPr>
            <w:tcW w:w="328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Term expires:</w:t>
            </w:r>
          </w:p>
        </w:tc>
        <w:tc>
          <w:tcPr>
            <w:tcW w:w="5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2004</w:t>
            </w:r>
          </w:p>
        </w:tc>
      </w:tr>
      <w:tr>
        <w:trPr>
          <w:trHeight w:val="168"/>
        </w:trPr>
        <w:tc>
          <w:tcPr>
            <w:tcW w:w="2980" w:type="dxa"/>
            <w:vAlign w:val="bottom"/>
          </w:tcPr>
          <w:p>
            <w:pPr>
              <w:spacing w:after="0"/>
              <w:rPr>
                <w:sz w:val="14"/>
                <w:szCs w:val="14"/>
                <w:color w:val="auto"/>
              </w:rPr>
            </w:pPr>
          </w:p>
        </w:tc>
        <w:tc>
          <w:tcPr>
            <w:tcW w:w="328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Principal occupation:</w:t>
            </w:r>
          </w:p>
        </w:tc>
        <w:tc>
          <w:tcPr>
            <w:tcW w:w="5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Vice Chairman of the Board of BBVA Bancomer</w:t>
            </w:r>
          </w:p>
        </w:tc>
      </w:tr>
      <w:tr>
        <w:trPr>
          <w:trHeight w:val="168"/>
        </w:trPr>
        <w:tc>
          <w:tcPr>
            <w:tcW w:w="2980" w:type="dxa"/>
            <w:vAlign w:val="bottom"/>
          </w:tcPr>
          <w:p>
            <w:pPr>
              <w:spacing w:after="0"/>
              <w:rPr>
                <w:sz w:val="14"/>
                <w:szCs w:val="14"/>
                <w:color w:val="auto"/>
              </w:rPr>
            </w:pPr>
          </w:p>
        </w:tc>
        <w:tc>
          <w:tcPr>
            <w:tcW w:w="328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Other directorships:</w:t>
            </w:r>
          </w:p>
        </w:tc>
        <w:tc>
          <w:tcPr>
            <w:tcW w:w="5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Member of the Boards of El Paso Energy Corp.,  Maizoro,</w:t>
            </w:r>
          </w:p>
        </w:tc>
      </w:tr>
      <w:tr>
        <w:trPr>
          <w:trHeight w:val="168"/>
        </w:trPr>
        <w:tc>
          <w:tcPr>
            <w:tcW w:w="29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5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S.A. de C.V. and</w:t>
            </w:r>
          </w:p>
        </w:tc>
      </w:tr>
      <w:tr>
        <w:trPr>
          <w:trHeight w:val="168"/>
        </w:trPr>
        <w:tc>
          <w:tcPr>
            <w:tcW w:w="2980" w:type="dxa"/>
            <w:vAlign w:val="bottom"/>
          </w:tcPr>
          <w:p>
            <w:pPr>
              <w:spacing w:after="0"/>
              <w:rPr>
                <w:sz w:val="14"/>
                <w:szCs w:val="14"/>
                <w:color w:val="auto"/>
              </w:rPr>
            </w:pPr>
          </w:p>
        </w:tc>
        <w:tc>
          <w:tcPr>
            <w:tcW w:w="328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Business experience:</w:t>
            </w:r>
          </w:p>
        </w:tc>
        <w:tc>
          <w:tcPr>
            <w:tcW w:w="5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Has experience in the financial services industry,</w:t>
            </w:r>
          </w:p>
        </w:tc>
      </w:tr>
      <w:tr>
        <w:trPr>
          <w:trHeight w:val="168"/>
        </w:trPr>
        <w:tc>
          <w:tcPr>
            <w:tcW w:w="29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5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specifically in capital and patrimonial investments,</w:t>
            </w:r>
          </w:p>
        </w:tc>
      </w:tr>
      <w:tr>
        <w:trPr>
          <w:trHeight w:val="168"/>
        </w:trPr>
        <w:tc>
          <w:tcPr>
            <w:tcW w:w="29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5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mortgage banking, commercial banking, international banking</w:t>
            </w:r>
          </w:p>
        </w:tc>
      </w:tr>
      <w:tr>
        <w:trPr>
          <w:trHeight w:val="168"/>
        </w:trPr>
        <w:tc>
          <w:tcPr>
            <w:tcW w:w="29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5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 e-banking.</w:t>
            </w:r>
          </w:p>
        </w:tc>
      </w:tr>
      <w:tr>
        <w:trPr>
          <w:trHeight w:val="168"/>
        </w:trPr>
        <w:tc>
          <w:tcPr>
            <w:tcW w:w="2980" w:type="dxa"/>
            <w:vAlign w:val="bottom"/>
          </w:tcPr>
          <w:p>
            <w:pPr>
              <w:spacing w:after="0"/>
              <w:rPr>
                <w:sz w:val="14"/>
                <w:szCs w:val="14"/>
                <w:color w:val="auto"/>
              </w:rPr>
            </w:pPr>
          </w:p>
        </w:tc>
        <w:tc>
          <w:tcPr>
            <w:tcW w:w="328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Other</w:t>
            </w:r>
          </w:p>
        </w:tc>
        <w:tc>
          <w:tcPr>
            <w:tcW w:w="5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experience: Holds a degree in industrial design from the</w:t>
            </w:r>
          </w:p>
        </w:tc>
      </w:tr>
      <w:tr>
        <w:trPr>
          <w:trHeight w:val="168"/>
        </w:trPr>
        <w:tc>
          <w:tcPr>
            <w:tcW w:w="29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5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Universidad Autonoma de Mexico, Atzcapotzalco.</w:t>
            </w:r>
          </w:p>
        </w:tc>
      </w:tr>
      <w:tr>
        <w:trPr>
          <w:trHeight w:val="168"/>
        </w:trPr>
        <w:tc>
          <w:tcPr>
            <w:tcW w:w="2980" w:type="dxa"/>
            <w:vAlign w:val="bottom"/>
          </w:tcPr>
          <w:p>
            <w:pPr>
              <w:spacing w:after="0"/>
              <w:rPr>
                <w:sz w:val="14"/>
                <w:szCs w:val="14"/>
                <w:color w:val="auto"/>
              </w:rPr>
            </w:pPr>
          </w:p>
        </w:tc>
        <w:tc>
          <w:tcPr>
            <w:tcW w:w="328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Alternate director:</w:t>
            </w:r>
          </w:p>
        </w:tc>
        <w:tc>
          <w:tcPr>
            <w:tcW w:w="5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Paulina Garza de Marroquin(3)(9)</w:t>
            </w:r>
          </w:p>
        </w:tc>
      </w:tr>
      <w:tr>
        <w:trPr>
          <w:trHeight w:val="336"/>
        </w:trPr>
        <w:tc>
          <w:tcPr>
            <w:tcW w:w="2980" w:type="dxa"/>
            <w:vAlign w:val="bottom"/>
          </w:tcPr>
          <w:p>
            <w:pPr>
              <w:jc w:val="right"/>
              <w:ind w:right="1767"/>
              <w:spacing w:after="0"/>
              <w:rPr>
                <w:sz w:val="20"/>
                <w:szCs w:val="20"/>
                <w:color w:val="auto"/>
              </w:rPr>
            </w:pPr>
            <w:r>
              <w:rPr>
                <w:rFonts w:ascii="Courier New" w:cs="Courier New" w:eastAsia="Courier New" w:hAnsi="Courier New"/>
                <w:sz w:val="15"/>
                <w:szCs w:val="15"/>
                <w:color w:val="auto"/>
                <w:w w:val="95"/>
              </w:rPr>
              <w:t>Jose Calderon</w:t>
            </w:r>
          </w:p>
        </w:tc>
        <w:tc>
          <w:tcPr>
            <w:tcW w:w="3280" w:type="dxa"/>
            <w:vAlign w:val="bottom"/>
          </w:tcPr>
          <w:p>
            <w:pPr>
              <w:ind w:left="960"/>
              <w:spacing w:after="0"/>
              <w:rPr>
                <w:sz w:val="20"/>
                <w:szCs w:val="20"/>
                <w:color w:val="auto"/>
              </w:rPr>
            </w:pPr>
            <w:r>
              <w:rPr>
                <w:rFonts w:ascii="Courier New" w:cs="Courier New" w:eastAsia="Courier New" w:hAnsi="Courier New"/>
                <w:sz w:val="15"/>
                <w:szCs w:val="15"/>
                <w:color w:val="auto"/>
              </w:rPr>
              <w:t>Born:</w:t>
            </w:r>
          </w:p>
        </w:tc>
        <w:tc>
          <w:tcPr>
            <w:tcW w:w="5200" w:type="dxa"/>
            <w:vAlign w:val="bottom"/>
          </w:tcPr>
          <w:p>
            <w:pPr>
              <w:ind w:left="40"/>
              <w:spacing w:after="0"/>
              <w:rPr>
                <w:sz w:val="20"/>
                <w:szCs w:val="20"/>
                <w:color w:val="auto"/>
              </w:rPr>
            </w:pPr>
            <w:r>
              <w:rPr>
                <w:rFonts w:ascii="Courier New" w:cs="Courier New" w:eastAsia="Courier New" w:hAnsi="Courier New"/>
                <w:sz w:val="15"/>
                <w:szCs w:val="15"/>
                <w:color w:val="auto"/>
              </w:rPr>
              <w:t>September 1931</w:t>
            </w:r>
          </w:p>
        </w:tc>
      </w:tr>
      <w:tr>
        <w:trPr>
          <w:trHeight w:val="168"/>
        </w:trPr>
        <w:tc>
          <w:tcPr>
            <w:tcW w:w="2980" w:type="dxa"/>
            <w:vAlign w:val="bottom"/>
          </w:tcPr>
          <w:p>
            <w:pPr>
              <w:jc w:val="right"/>
              <w:ind w:right="1767"/>
              <w:spacing w:after="0" w:line="168" w:lineRule="exact"/>
              <w:rPr>
                <w:sz w:val="20"/>
                <w:szCs w:val="20"/>
                <w:color w:val="auto"/>
              </w:rPr>
            </w:pPr>
            <w:r>
              <w:rPr>
                <w:rFonts w:ascii="Courier New" w:cs="Courier New" w:eastAsia="Courier New" w:hAnsi="Courier New"/>
                <w:sz w:val="15"/>
                <w:szCs w:val="15"/>
                <w:color w:val="auto"/>
              </w:rPr>
              <w:t>Director</w:t>
            </w:r>
          </w:p>
        </w:tc>
        <w:tc>
          <w:tcPr>
            <w:tcW w:w="328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First elected:</w:t>
            </w:r>
          </w:p>
        </w:tc>
        <w:tc>
          <w:tcPr>
            <w:tcW w:w="5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1955</w:t>
            </w:r>
          </w:p>
        </w:tc>
      </w:tr>
      <w:tr>
        <w:trPr>
          <w:trHeight w:val="168"/>
        </w:trPr>
        <w:tc>
          <w:tcPr>
            <w:tcW w:w="2980" w:type="dxa"/>
            <w:vAlign w:val="bottom"/>
          </w:tcPr>
          <w:p>
            <w:pPr>
              <w:spacing w:after="0"/>
              <w:rPr>
                <w:sz w:val="14"/>
                <w:szCs w:val="14"/>
                <w:color w:val="auto"/>
              </w:rPr>
            </w:pPr>
          </w:p>
        </w:tc>
        <w:tc>
          <w:tcPr>
            <w:tcW w:w="328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Term expires:</w:t>
            </w:r>
          </w:p>
        </w:tc>
        <w:tc>
          <w:tcPr>
            <w:tcW w:w="5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2004</w:t>
            </w:r>
          </w:p>
        </w:tc>
      </w:tr>
      <w:tr>
        <w:trPr>
          <w:trHeight w:val="168"/>
        </w:trPr>
        <w:tc>
          <w:tcPr>
            <w:tcW w:w="2980" w:type="dxa"/>
            <w:vAlign w:val="bottom"/>
          </w:tcPr>
          <w:p>
            <w:pPr>
              <w:spacing w:after="0"/>
              <w:rPr>
                <w:sz w:val="14"/>
                <w:szCs w:val="14"/>
                <w:color w:val="auto"/>
              </w:rPr>
            </w:pPr>
          </w:p>
        </w:tc>
        <w:tc>
          <w:tcPr>
            <w:tcW w:w="328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Principal occupation:</w:t>
            </w:r>
          </w:p>
        </w:tc>
        <w:tc>
          <w:tcPr>
            <w:tcW w:w="5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Chairman of Inversiones Franca, S.A. de C.V.</w:t>
            </w:r>
          </w:p>
        </w:tc>
      </w:tr>
      <w:tr>
        <w:trPr>
          <w:trHeight w:val="168"/>
        </w:trPr>
        <w:tc>
          <w:tcPr>
            <w:tcW w:w="2980" w:type="dxa"/>
            <w:vAlign w:val="bottom"/>
          </w:tcPr>
          <w:p>
            <w:pPr>
              <w:spacing w:after="0"/>
              <w:rPr>
                <w:sz w:val="14"/>
                <w:szCs w:val="14"/>
                <w:color w:val="auto"/>
              </w:rPr>
            </w:pPr>
          </w:p>
        </w:tc>
        <w:tc>
          <w:tcPr>
            <w:tcW w:w="328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Other directorships:</w:t>
            </w:r>
          </w:p>
        </w:tc>
        <w:tc>
          <w:tcPr>
            <w:tcW w:w="520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328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Member of the Boards of</w:t>
            </w:r>
          </w:p>
        </w:tc>
        <w:tc>
          <w:tcPr>
            <w:tcW w:w="520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328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BBVA Bancomer and Grupo</w:t>
            </w:r>
          </w:p>
        </w:tc>
        <w:tc>
          <w:tcPr>
            <w:tcW w:w="520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328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Industrial Alfa, S.A. de</w:t>
            </w:r>
          </w:p>
        </w:tc>
        <w:tc>
          <w:tcPr>
            <w:tcW w:w="520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328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C.V. ("Grupo Alfa") and</w:t>
            </w:r>
          </w:p>
        </w:tc>
        <w:tc>
          <w:tcPr>
            <w:tcW w:w="520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328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w w:val="98"/>
              </w:rPr>
              <w:t>Vice Chairman of the Board</w:t>
            </w:r>
          </w:p>
        </w:tc>
        <w:tc>
          <w:tcPr>
            <w:tcW w:w="520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328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of the Mexican Red Cross.</w:t>
            </w:r>
          </w:p>
        </w:tc>
        <w:tc>
          <w:tcPr>
            <w:tcW w:w="520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328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Other experience:</w:t>
            </w:r>
          </w:p>
        </w:tc>
        <w:tc>
          <w:tcPr>
            <w:tcW w:w="5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Holds a degree in business administration</w:t>
            </w:r>
          </w:p>
        </w:tc>
      </w:tr>
      <w:tr>
        <w:trPr>
          <w:trHeight w:val="168"/>
        </w:trPr>
        <w:tc>
          <w:tcPr>
            <w:tcW w:w="29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5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from ITESM.</w:t>
            </w:r>
          </w:p>
        </w:tc>
      </w:tr>
      <w:tr>
        <w:trPr>
          <w:trHeight w:val="168"/>
        </w:trPr>
        <w:tc>
          <w:tcPr>
            <w:tcW w:w="2980" w:type="dxa"/>
            <w:vAlign w:val="bottom"/>
          </w:tcPr>
          <w:p>
            <w:pPr>
              <w:spacing w:after="0"/>
              <w:rPr>
                <w:sz w:val="14"/>
                <w:szCs w:val="14"/>
                <w:color w:val="auto"/>
              </w:rPr>
            </w:pPr>
          </w:p>
        </w:tc>
        <w:tc>
          <w:tcPr>
            <w:tcW w:w="328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Alternate director:</w:t>
            </w:r>
          </w:p>
        </w:tc>
        <w:tc>
          <w:tcPr>
            <w:tcW w:w="5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Francisco J. Calderon(4)</w:t>
            </w: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Consuelo Garza de Garza(2)</w:t>
            </w:r>
          </w:p>
        </w:tc>
        <w:tc>
          <w:tcPr>
            <w:tcW w:w="3280" w:type="dxa"/>
            <w:vAlign w:val="bottom"/>
          </w:tcPr>
          <w:p>
            <w:pPr>
              <w:ind w:left="960"/>
              <w:spacing w:after="0"/>
              <w:rPr>
                <w:sz w:val="20"/>
                <w:szCs w:val="20"/>
                <w:color w:val="auto"/>
              </w:rPr>
            </w:pPr>
            <w:r>
              <w:rPr>
                <w:rFonts w:ascii="Courier New" w:cs="Courier New" w:eastAsia="Courier New" w:hAnsi="Courier New"/>
                <w:sz w:val="15"/>
                <w:szCs w:val="15"/>
                <w:color w:val="auto"/>
              </w:rPr>
              <w:t>Born:</w:t>
            </w:r>
          </w:p>
        </w:tc>
        <w:tc>
          <w:tcPr>
            <w:tcW w:w="5200" w:type="dxa"/>
            <w:vAlign w:val="bottom"/>
          </w:tcPr>
          <w:p>
            <w:pPr>
              <w:ind w:left="40"/>
              <w:spacing w:after="0"/>
              <w:rPr>
                <w:sz w:val="20"/>
                <w:szCs w:val="20"/>
                <w:color w:val="auto"/>
              </w:rPr>
            </w:pPr>
            <w:r>
              <w:rPr>
                <w:rFonts w:ascii="Courier New" w:cs="Courier New" w:eastAsia="Courier New" w:hAnsi="Courier New"/>
                <w:sz w:val="15"/>
                <w:szCs w:val="15"/>
                <w:color w:val="auto"/>
              </w:rPr>
              <w:t>October 1930</w:t>
            </w:r>
          </w:p>
        </w:tc>
      </w:tr>
      <w:tr>
        <w:trPr>
          <w:trHeight w:val="168"/>
        </w:trPr>
        <w:tc>
          <w:tcPr>
            <w:tcW w:w="2980" w:type="dxa"/>
            <w:vAlign w:val="bottom"/>
          </w:tcPr>
          <w:p>
            <w:pPr>
              <w:jc w:val="right"/>
              <w:ind w:right="1767"/>
              <w:spacing w:after="0" w:line="168" w:lineRule="exact"/>
              <w:rPr>
                <w:sz w:val="20"/>
                <w:szCs w:val="20"/>
                <w:color w:val="auto"/>
              </w:rPr>
            </w:pPr>
            <w:r>
              <w:rPr>
                <w:rFonts w:ascii="Courier New" w:cs="Courier New" w:eastAsia="Courier New" w:hAnsi="Courier New"/>
                <w:sz w:val="15"/>
                <w:szCs w:val="15"/>
                <w:color w:val="auto"/>
              </w:rPr>
              <w:t>Director</w:t>
            </w:r>
          </w:p>
        </w:tc>
        <w:tc>
          <w:tcPr>
            <w:tcW w:w="328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First elected:</w:t>
            </w:r>
          </w:p>
        </w:tc>
        <w:tc>
          <w:tcPr>
            <w:tcW w:w="5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1995</w:t>
            </w:r>
          </w:p>
        </w:tc>
      </w:tr>
      <w:tr>
        <w:trPr>
          <w:trHeight w:val="168"/>
        </w:trPr>
        <w:tc>
          <w:tcPr>
            <w:tcW w:w="2980" w:type="dxa"/>
            <w:vAlign w:val="bottom"/>
          </w:tcPr>
          <w:p>
            <w:pPr>
              <w:spacing w:after="0"/>
              <w:rPr>
                <w:sz w:val="14"/>
                <w:szCs w:val="14"/>
                <w:color w:val="auto"/>
              </w:rPr>
            </w:pPr>
          </w:p>
        </w:tc>
        <w:tc>
          <w:tcPr>
            <w:tcW w:w="328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Term expires:</w:t>
            </w:r>
          </w:p>
        </w:tc>
        <w:tc>
          <w:tcPr>
            <w:tcW w:w="5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2004</w:t>
            </w:r>
          </w:p>
        </w:tc>
      </w:tr>
      <w:tr>
        <w:trPr>
          <w:trHeight w:val="168"/>
        </w:trPr>
        <w:tc>
          <w:tcPr>
            <w:tcW w:w="2980" w:type="dxa"/>
            <w:vAlign w:val="bottom"/>
          </w:tcPr>
          <w:p>
            <w:pPr>
              <w:spacing w:after="0"/>
              <w:rPr>
                <w:sz w:val="14"/>
                <w:szCs w:val="14"/>
                <w:color w:val="auto"/>
              </w:rPr>
            </w:pPr>
          </w:p>
        </w:tc>
        <w:tc>
          <w:tcPr>
            <w:tcW w:w="328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Business experience:</w:t>
            </w:r>
          </w:p>
        </w:tc>
        <w:tc>
          <w:tcPr>
            <w:tcW w:w="5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Founder and Former President of Asociacion</w:t>
            </w:r>
          </w:p>
        </w:tc>
      </w:tr>
      <w:tr>
        <w:trPr>
          <w:trHeight w:val="168"/>
        </w:trPr>
        <w:tc>
          <w:tcPr>
            <w:tcW w:w="29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5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Nacional Pro-Superacion Personal (a</w:t>
            </w:r>
          </w:p>
        </w:tc>
      </w:tr>
      <w:tr>
        <w:trPr>
          <w:trHeight w:val="168"/>
        </w:trPr>
        <w:tc>
          <w:tcPr>
            <w:tcW w:w="29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5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non-profit organization)</w:t>
            </w:r>
          </w:p>
        </w:tc>
      </w:tr>
      <w:tr>
        <w:trPr>
          <w:trHeight w:val="168"/>
        </w:trPr>
        <w:tc>
          <w:tcPr>
            <w:tcW w:w="2980" w:type="dxa"/>
            <w:vAlign w:val="bottom"/>
          </w:tcPr>
          <w:p>
            <w:pPr>
              <w:spacing w:after="0"/>
              <w:rPr>
                <w:sz w:val="14"/>
                <w:szCs w:val="14"/>
                <w:color w:val="auto"/>
              </w:rPr>
            </w:pPr>
          </w:p>
        </w:tc>
        <w:tc>
          <w:tcPr>
            <w:tcW w:w="328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Alternate director:</w:t>
            </w:r>
          </w:p>
        </w:tc>
        <w:tc>
          <w:tcPr>
            <w:tcW w:w="5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Alfonso Garza Garza(6)</w:t>
            </w: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Max Michel Suberville</w:t>
            </w:r>
          </w:p>
        </w:tc>
        <w:tc>
          <w:tcPr>
            <w:tcW w:w="3280" w:type="dxa"/>
            <w:vAlign w:val="bottom"/>
          </w:tcPr>
          <w:p>
            <w:pPr>
              <w:ind w:left="960"/>
              <w:spacing w:after="0"/>
              <w:rPr>
                <w:sz w:val="20"/>
                <w:szCs w:val="20"/>
                <w:color w:val="auto"/>
              </w:rPr>
            </w:pPr>
            <w:r>
              <w:rPr>
                <w:rFonts w:ascii="Courier New" w:cs="Courier New" w:eastAsia="Courier New" w:hAnsi="Courier New"/>
                <w:sz w:val="15"/>
                <w:szCs w:val="15"/>
                <w:color w:val="auto"/>
              </w:rPr>
              <w:t>Born:</w:t>
            </w:r>
          </w:p>
        </w:tc>
        <w:tc>
          <w:tcPr>
            <w:tcW w:w="5200" w:type="dxa"/>
            <w:vAlign w:val="bottom"/>
          </w:tcPr>
          <w:p>
            <w:pPr>
              <w:ind w:left="40"/>
              <w:spacing w:after="0"/>
              <w:rPr>
                <w:sz w:val="20"/>
                <w:szCs w:val="20"/>
                <w:color w:val="auto"/>
              </w:rPr>
            </w:pPr>
            <w:r>
              <w:rPr>
                <w:rFonts w:ascii="Courier New" w:cs="Courier New" w:eastAsia="Courier New" w:hAnsi="Courier New"/>
                <w:sz w:val="15"/>
                <w:szCs w:val="15"/>
                <w:color w:val="auto"/>
              </w:rPr>
              <w:t>July 1932</w:t>
            </w:r>
          </w:p>
        </w:tc>
      </w:tr>
      <w:tr>
        <w:trPr>
          <w:trHeight w:val="168"/>
        </w:trPr>
        <w:tc>
          <w:tcPr>
            <w:tcW w:w="2980" w:type="dxa"/>
            <w:vAlign w:val="bottom"/>
          </w:tcPr>
          <w:p>
            <w:pPr>
              <w:jc w:val="right"/>
              <w:ind w:right="1767"/>
              <w:spacing w:after="0" w:line="168" w:lineRule="exact"/>
              <w:rPr>
                <w:sz w:val="20"/>
                <w:szCs w:val="20"/>
                <w:color w:val="auto"/>
              </w:rPr>
            </w:pPr>
            <w:r>
              <w:rPr>
                <w:rFonts w:ascii="Courier New" w:cs="Courier New" w:eastAsia="Courier New" w:hAnsi="Courier New"/>
                <w:sz w:val="15"/>
                <w:szCs w:val="15"/>
                <w:color w:val="auto"/>
              </w:rPr>
              <w:t>Director</w:t>
            </w:r>
          </w:p>
        </w:tc>
        <w:tc>
          <w:tcPr>
            <w:tcW w:w="328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First elected:</w:t>
            </w:r>
          </w:p>
        </w:tc>
        <w:tc>
          <w:tcPr>
            <w:tcW w:w="5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1985</w:t>
            </w:r>
          </w:p>
        </w:tc>
      </w:tr>
      <w:tr>
        <w:trPr>
          <w:trHeight w:val="168"/>
        </w:trPr>
        <w:tc>
          <w:tcPr>
            <w:tcW w:w="2980" w:type="dxa"/>
            <w:vAlign w:val="bottom"/>
          </w:tcPr>
          <w:p>
            <w:pPr>
              <w:spacing w:after="0"/>
              <w:rPr>
                <w:sz w:val="14"/>
                <w:szCs w:val="14"/>
                <w:color w:val="auto"/>
              </w:rPr>
            </w:pPr>
          </w:p>
        </w:tc>
        <w:tc>
          <w:tcPr>
            <w:tcW w:w="328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Term expires:</w:t>
            </w:r>
          </w:p>
        </w:tc>
        <w:tc>
          <w:tcPr>
            <w:tcW w:w="5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2004</w:t>
            </w:r>
          </w:p>
        </w:tc>
      </w:tr>
      <w:tr>
        <w:trPr>
          <w:trHeight w:val="168"/>
        </w:trPr>
        <w:tc>
          <w:tcPr>
            <w:tcW w:w="2980" w:type="dxa"/>
            <w:vAlign w:val="bottom"/>
          </w:tcPr>
          <w:p>
            <w:pPr>
              <w:spacing w:after="0"/>
              <w:rPr>
                <w:sz w:val="14"/>
                <w:szCs w:val="14"/>
                <w:color w:val="auto"/>
              </w:rPr>
            </w:pPr>
          </w:p>
        </w:tc>
        <w:tc>
          <w:tcPr>
            <w:tcW w:w="328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Principal occupation:</w:t>
            </w:r>
          </w:p>
        </w:tc>
        <w:tc>
          <w:tcPr>
            <w:tcW w:w="5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Chairman of the Board of El Puerto de</w:t>
            </w:r>
          </w:p>
        </w:tc>
      </w:tr>
      <w:tr>
        <w:trPr>
          <w:trHeight w:val="168"/>
        </w:trPr>
        <w:tc>
          <w:tcPr>
            <w:tcW w:w="29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5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Liverpool, S.A. de C.V.</w:t>
            </w:r>
          </w:p>
        </w:tc>
      </w:tr>
      <w:tr>
        <w:trPr>
          <w:trHeight w:val="168"/>
        </w:trPr>
        <w:tc>
          <w:tcPr>
            <w:tcW w:w="2980" w:type="dxa"/>
            <w:vAlign w:val="bottom"/>
          </w:tcPr>
          <w:p>
            <w:pPr>
              <w:spacing w:after="0"/>
              <w:rPr>
                <w:sz w:val="14"/>
                <w:szCs w:val="14"/>
                <w:color w:val="auto"/>
              </w:rPr>
            </w:pPr>
          </w:p>
        </w:tc>
        <w:tc>
          <w:tcPr>
            <w:tcW w:w="328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Other directorships:</w:t>
            </w:r>
          </w:p>
        </w:tc>
        <w:tc>
          <w:tcPr>
            <w:tcW w:w="5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Member of the Boards of Grupo Lamosa, S.A. de</w:t>
            </w:r>
          </w:p>
        </w:tc>
      </w:tr>
      <w:tr>
        <w:trPr>
          <w:trHeight w:val="168"/>
        </w:trPr>
        <w:tc>
          <w:tcPr>
            <w:tcW w:w="29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5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C.V., Industrias Penoles, S.A. de C.V., BBVA</w:t>
            </w:r>
          </w:p>
        </w:tc>
      </w:tr>
      <w:tr>
        <w:trPr>
          <w:trHeight w:val="168"/>
        </w:trPr>
        <w:tc>
          <w:tcPr>
            <w:tcW w:w="29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5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Bancomer and Grupo Nacional Provincial, S.A.</w:t>
            </w:r>
          </w:p>
        </w:tc>
      </w:tr>
      <w:tr>
        <w:trPr>
          <w:trHeight w:val="168"/>
        </w:trPr>
        <w:tc>
          <w:tcPr>
            <w:tcW w:w="2980" w:type="dxa"/>
            <w:vAlign w:val="bottom"/>
          </w:tcPr>
          <w:p>
            <w:pPr>
              <w:spacing w:after="0"/>
              <w:rPr>
                <w:sz w:val="14"/>
                <w:szCs w:val="14"/>
                <w:color w:val="auto"/>
              </w:rPr>
            </w:pPr>
          </w:p>
        </w:tc>
        <w:tc>
          <w:tcPr>
            <w:tcW w:w="328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Other</w:t>
            </w:r>
          </w:p>
        </w:tc>
        <w:tc>
          <w:tcPr>
            <w:tcW w:w="5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experience: Holds a graduate degree from The Massachusetts</w:t>
            </w:r>
          </w:p>
        </w:tc>
      </w:tr>
      <w:tr>
        <w:trPr>
          <w:trHeight w:val="168"/>
        </w:trPr>
        <w:tc>
          <w:tcPr>
            <w:tcW w:w="29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5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Institute of Technology and completed post-graduate studies</w:t>
            </w:r>
          </w:p>
        </w:tc>
      </w:tr>
      <w:tr>
        <w:trPr>
          <w:trHeight w:val="168"/>
        </w:trPr>
        <w:tc>
          <w:tcPr>
            <w:tcW w:w="29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5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at Harvard University.</w:t>
            </w:r>
          </w:p>
        </w:tc>
      </w:tr>
      <w:tr>
        <w:trPr>
          <w:trHeight w:val="168"/>
        </w:trPr>
        <w:tc>
          <w:tcPr>
            <w:tcW w:w="2980" w:type="dxa"/>
            <w:vAlign w:val="bottom"/>
          </w:tcPr>
          <w:p>
            <w:pPr>
              <w:spacing w:after="0"/>
              <w:rPr>
                <w:sz w:val="14"/>
                <w:szCs w:val="14"/>
                <w:color w:val="auto"/>
              </w:rPr>
            </w:pPr>
          </w:p>
        </w:tc>
        <w:tc>
          <w:tcPr>
            <w:tcW w:w="328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Alternate director:</w:t>
            </w:r>
          </w:p>
        </w:tc>
        <w:tc>
          <w:tcPr>
            <w:tcW w:w="5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Max Michel Gonzalez(7)</w:t>
            </w:r>
          </w:p>
        </w:tc>
      </w:tr>
      <w:tr>
        <w:trPr>
          <w:trHeight w:val="841"/>
        </w:trPr>
        <w:tc>
          <w:tcPr>
            <w:tcW w:w="2980" w:type="dxa"/>
            <w:vAlign w:val="bottom"/>
          </w:tcPr>
          <w:p>
            <w:pPr>
              <w:spacing w:after="0"/>
              <w:rPr>
                <w:sz w:val="24"/>
                <w:szCs w:val="24"/>
                <w:color w:val="auto"/>
              </w:rPr>
            </w:pPr>
          </w:p>
        </w:tc>
        <w:tc>
          <w:tcPr>
            <w:tcW w:w="3280" w:type="dxa"/>
            <w:vAlign w:val="bottom"/>
          </w:tcPr>
          <w:p>
            <w:pPr>
              <w:ind w:left="360"/>
              <w:spacing w:after="0"/>
              <w:rPr>
                <w:sz w:val="20"/>
                <w:szCs w:val="20"/>
                <w:color w:val="auto"/>
              </w:rPr>
            </w:pPr>
            <w:r>
              <w:rPr>
                <w:rFonts w:ascii="Courier New" w:cs="Courier New" w:eastAsia="Courier New" w:hAnsi="Courier New"/>
                <w:sz w:val="15"/>
                <w:szCs w:val="15"/>
                <w:color w:val="auto"/>
              </w:rPr>
              <w:t>105</w:t>
            </w:r>
          </w:p>
        </w:tc>
        <w:tc>
          <w:tcPr>
            <w:tcW w:w="5200" w:type="dxa"/>
            <w:vAlign w:val="bottom"/>
          </w:tcPr>
          <w:p>
            <w:pPr>
              <w:spacing w:after="0"/>
              <w:rPr>
                <w:sz w:val="24"/>
                <w:szCs w:val="24"/>
                <w:color w:val="auto"/>
              </w:rPr>
            </w:pPr>
          </w:p>
        </w:tc>
      </w:tr>
    </w:tbl>
    <w:p>
      <w:pPr>
        <w:sectPr>
          <w:pgSz w:w="11900" w:h="16838" w:orient="portrait"/>
          <w:cols w:equalWidth="0" w:num="1">
            <w:col w:w="11460"/>
          </w:cols>
          <w:pgMar w:left="220" w:top="953" w:right="219" w:bottom="1440" w:gutter="0" w:footer="0" w:header="0"/>
        </w:sectPr>
      </w:pPr>
    </w:p>
    <w:bookmarkStart w:id="112" w:name="page113"/>
    <w:bookmarkEnd w:id="1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Alberto Bailleres</w:t>
            </w:r>
          </w:p>
        </w:tc>
        <w:tc>
          <w:tcPr>
            <w:tcW w:w="3360" w:type="dxa"/>
            <w:vAlign w:val="bottom"/>
          </w:tcPr>
          <w:p>
            <w:pPr>
              <w:ind w:left="1260"/>
              <w:spacing w:after="0"/>
              <w:rPr>
                <w:sz w:val="20"/>
                <w:szCs w:val="20"/>
                <w:color w:val="auto"/>
              </w:rPr>
            </w:pPr>
            <w:r>
              <w:rPr>
                <w:rFonts w:ascii="Courier New" w:cs="Courier New" w:eastAsia="Courier New" w:hAnsi="Courier New"/>
                <w:sz w:val="15"/>
                <w:szCs w:val="15"/>
                <w:color w:val="auto"/>
              </w:rPr>
              <w:t>Born:</w:t>
            </w:r>
          </w:p>
        </w:tc>
        <w:tc>
          <w:tcPr>
            <w:tcW w:w="5500" w:type="dxa"/>
            <w:vAlign w:val="bottom"/>
          </w:tcPr>
          <w:p>
            <w:pPr>
              <w:ind w:left="260"/>
              <w:spacing w:after="0"/>
              <w:rPr>
                <w:sz w:val="20"/>
                <w:szCs w:val="20"/>
                <w:color w:val="auto"/>
              </w:rPr>
            </w:pPr>
            <w:r>
              <w:rPr>
                <w:rFonts w:ascii="Courier New" w:cs="Courier New" w:eastAsia="Courier New" w:hAnsi="Courier New"/>
                <w:sz w:val="15"/>
                <w:szCs w:val="15"/>
                <w:color w:val="auto"/>
              </w:rPr>
              <w:t>August 1931</w:t>
            </w:r>
          </w:p>
        </w:tc>
      </w:tr>
      <w:tr>
        <w:trPr>
          <w:trHeight w:val="168"/>
        </w:trPr>
        <w:tc>
          <w:tcPr>
            <w:tcW w:w="2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Director</w:t>
            </w:r>
          </w:p>
        </w:tc>
        <w:tc>
          <w:tcPr>
            <w:tcW w:w="336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First elected:</w:t>
            </w: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1995</w:t>
            </w:r>
          </w:p>
        </w:tc>
      </w:tr>
      <w:tr>
        <w:trPr>
          <w:trHeight w:val="168"/>
        </w:trPr>
        <w:tc>
          <w:tcPr>
            <w:tcW w:w="2680" w:type="dxa"/>
            <w:vAlign w:val="bottom"/>
          </w:tcPr>
          <w:p>
            <w:pPr>
              <w:spacing w:after="0"/>
              <w:rPr>
                <w:sz w:val="14"/>
                <w:szCs w:val="14"/>
                <w:color w:val="auto"/>
              </w:rPr>
            </w:pPr>
          </w:p>
        </w:tc>
        <w:tc>
          <w:tcPr>
            <w:tcW w:w="336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Term expires:</w:t>
            </w: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2004</w:t>
            </w:r>
          </w:p>
        </w:tc>
      </w:tr>
      <w:tr>
        <w:trPr>
          <w:trHeight w:val="168"/>
        </w:trPr>
        <w:tc>
          <w:tcPr>
            <w:tcW w:w="2680" w:type="dxa"/>
            <w:vAlign w:val="bottom"/>
          </w:tcPr>
          <w:p>
            <w:pPr>
              <w:spacing w:after="0"/>
              <w:rPr>
                <w:sz w:val="14"/>
                <w:szCs w:val="14"/>
                <w:color w:val="auto"/>
              </w:rPr>
            </w:pPr>
          </w:p>
        </w:tc>
        <w:tc>
          <w:tcPr>
            <w:tcW w:w="336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Principal occupation:</w:t>
            </w: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Executive President of Industrias Penoles,</w:t>
            </w:r>
          </w:p>
        </w:tc>
      </w:tr>
      <w:tr>
        <w:trPr>
          <w:trHeight w:val="168"/>
        </w:trPr>
        <w:tc>
          <w:tcPr>
            <w:tcW w:w="26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S.A. de C.V., Grupo Nacional Provincial,</w:t>
            </w:r>
          </w:p>
        </w:tc>
      </w:tr>
      <w:tr>
        <w:trPr>
          <w:trHeight w:val="168"/>
        </w:trPr>
        <w:tc>
          <w:tcPr>
            <w:tcW w:w="26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S.A., and Grupo BAL, S.A. de C.V.</w:t>
            </w:r>
          </w:p>
        </w:tc>
      </w:tr>
      <w:tr>
        <w:trPr>
          <w:trHeight w:val="168"/>
        </w:trPr>
        <w:tc>
          <w:tcPr>
            <w:tcW w:w="2680" w:type="dxa"/>
            <w:vAlign w:val="bottom"/>
          </w:tcPr>
          <w:p>
            <w:pPr>
              <w:spacing w:after="0"/>
              <w:rPr>
                <w:sz w:val="14"/>
                <w:szCs w:val="14"/>
                <w:color w:val="auto"/>
              </w:rPr>
            </w:pPr>
          </w:p>
        </w:tc>
        <w:tc>
          <w:tcPr>
            <w:tcW w:w="336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Other directorships:</w:t>
            </w: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9"/>
              </w:rPr>
              <w:t>Chairman of the Board of Industrias Penoles, S.A. de C.V.,</w:t>
            </w:r>
          </w:p>
        </w:tc>
      </w:tr>
      <w:tr>
        <w:trPr>
          <w:trHeight w:val="168"/>
        </w:trPr>
        <w:tc>
          <w:tcPr>
            <w:tcW w:w="26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8"/>
              </w:rPr>
              <w:t>Grupo Nacional Provincial, S.A. and Grupo Palacio de Hierro</w:t>
            </w:r>
          </w:p>
        </w:tc>
      </w:tr>
      <w:tr>
        <w:trPr>
          <w:trHeight w:val="168"/>
        </w:trPr>
        <w:tc>
          <w:tcPr>
            <w:tcW w:w="26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S.A. de C.V. Member of the Boards of BBVA Bancomer and</w:t>
            </w:r>
          </w:p>
        </w:tc>
      </w:tr>
      <w:tr>
        <w:trPr>
          <w:trHeight w:val="168"/>
        </w:trPr>
        <w:tc>
          <w:tcPr>
            <w:tcW w:w="26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Valores Mexicanos Casa de Bolsa,</w:t>
            </w:r>
          </w:p>
        </w:tc>
      </w:tr>
      <w:tr>
        <w:trPr>
          <w:trHeight w:val="168"/>
        </w:trPr>
        <w:tc>
          <w:tcPr>
            <w:tcW w:w="2680" w:type="dxa"/>
            <w:vAlign w:val="bottom"/>
          </w:tcPr>
          <w:p>
            <w:pPr>
              <w:spacing w:after="0"/>
              <w:rPr>
                <w:sz w:val="14"/>
                <w:szCs w:val="14"/>
                <w:color w:val="auto"/>
              </w:rPr>
            </w:pPr>
          </w:p>
        </w:tc>
        <w:tc>
          <w:tcPr>
            <w:tcW w:w="336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Other experience:</w:t>
            </w: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Holds an economics degree from Instituto Tecnologico</w:t>
            </w:r>
          </w:p>
        </w:tc>
      </w:tr>
      <w:tr>
        <w:trPr>
          <w:trHeight w:val="168"/>
        </w:trPr>
        <w:tc>
          <w:tcPr>
            <w:tcW w:w="2680" w:type="dxa"/>
            <w:vAlign w:val="bottom"/>
          </w:tcPr>
          <w:p>
            <w:pPr>
              <w:spacing w:after="0"/>
              <w:rPr>
                <w:sz w:val="14"/>
                <w:szCs w:val="14"/>
                <w:color w:val="auto"/>
              </w:rPr>
            </w:pPr>
          </w:p>
        </w:tc>
        <w:tc>
          <w:tcPr>
            <w:tcW w:w="336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Alternate director:</w:t>
            </w:r>
          </w:p>
        </w:tc>
        <w:tc>
          <w:tcPr>
            <w:tcW w:w="5500" w:type="dxa"/>
            <w:vAlign w:val="bottom"/>
          </w:tcPr>
          <w:p>
            <w:pPr>
              <w:spacing w:after="0"/>
              <w:rPr>
                <w:sz w:val="14"/>
                <w:szCs w:val="14"/>
                <w:color w:val="auto"/>
              </w:rPr>
            </w:pPr>
          </w:p>
        </w:tc>
      </w:tr>
      <w:tr>
        <w:trPr>
          <w:trHeight w:val="336"/>
        </w:trPr>
        <w:tc>
          <w:tcPr>
            <w:tcW w:w="2680" w:type="dxa"/>
            <w:vAlign w:val="bottom"/>
          </w:tcPr>
          <w:p>
            <w:pPr>
              <w:spacing w:after="0"/>
              <w:rPr>
                <w:sz w:val="20"/>
                <w:szCs w:val="20"/>
                <w:color w:val="auto"/>
              </w:rPr>
            </w:pPr>
            <w:r>
              <w:rPr>
                <w:rFonts w:ascii="Courier New" w:cs="Courier New" w:eastAsia="Courier New" w:hAnsi="Courier New"/>
                <w:sz w:val="15"/>
                <w:szCs w:val="15"/>
                <w:color w:val="auto"/>
              </w:rPr>
              <w:t>Eduardo A. Elizondo</w:t>
            </w:r>
          </w:p>
        </w:tc>
        <w:tc>
          <w:tcPr>
            <w:tcW w:w="3360" w:type="dxa"/>
            <w:vAlign w:val="bottom"/>
          </w:tcPr>
          <w:p>
            <w:pPr>
              <w:ind w:left="1260"/>
              <w:spacing w:after="0"/>
              <w:rPr>
                <w:sz w:val="20"/>
                <w:szCs w:val="20"/>
                <w:color w:val="auto"/>
              </w:rPr>
            </w:pPr>
            <w:r>
              <w:rPr>
                <w:rFonts w:ascii="Courier New" w:cs="Courier New" w:eastAsia="Courier New" w:hAnsi="Courier New"/>
                <w:sz w:val="15"/>
                <w:szCs w:val="15"/>
                <w:color w:val="auto"/>
              </w:rPr>
              <w:t>Born:</w:t>
            </w:r>
          </w:p>
        </w:tc>
        <w:tc>
          <w:tcPr>
            <w:tcW w:w="5500" w:type="dxa"/>
            <w:vAlign w:val="bottom"/>
          </w:tcPr>
          <w:p>
            <w:pPr>
              <w:ind w:left="260"/>
              <w:spacing w:after="0"/>
              <w:rPr>
                <w:sz w:val="20"/>
                <w:szCs w:val="20"/>
                <w:color w:val="auto"/>
              </w:rPr>
            </w:pPr>
            <w:r>
              <w:rPr>
                <w:rFonts w:ascii="Courier New" w:cs="Courier New" w:eastAsia="Courier New" w:hAnsi="Courier New"/>
                <w:sz w:val="15"/>
                <w:szCs w:val="15"/>
                <w:color w:val="auto"/>
              </w:rPr>
              <w:t>December 1922</w:t>
            </w:r>
          </w:p>
        </w:tc>
      </w:tr>
      <w:tr>
        <w:trPr>
          <w:trHeight w:val="168"/>
        </w:trPr>
        <w:tc>
          <w:tcPr>
            <w:tcW w:w="2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Director</w:t>
            </w:r>
          </w:p>
        </w:tc>
        <w:tc>
          <w:tcPr>
            <w:tcW w:w="336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First elected:</w:t>
            </w: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1995</w:t>
            </w:r>
          </w:p>
        </w:tc>
      </w:tr>
      <w:tr>
        <w:trPr>
          <w:trHeight w:val="168"/>
        </w:trPr>
        <w:tc>
          <w:tcPr>
            <w:tcW w:w="2680" w:type="dxa"/>
            <w:vAlign w:val="bottom"/>
          </w:tcPr>
          <w:p>
            <w:pPr>
              <w:spacing w:after="0"/>
              <w:rPr>
                <w:sz w:val="14"/>
                <w:szCs w:val="14"/>
                <w:color w:val="auto"/>
              </w:rPr>
            </w:pPr>
          </w:p>
        </w:tc>
        <w:tc>
          <w:tcPr>
            <w:tcW w:w="336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Term expires:</w:t>
            </w: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2004</w:t>
            </w:r>
          </w:p>
        </w:tc>
      </w:tr>
      <w:tr>
        <w:trPr>
          <w:trHeight w:val="168"/>
        </w:trPr>
        <w:tc>
          <w:tcPr>
            <w:tcW w:w="2680" w:type="dxa"/>
            <w:vAlign w:val="bottom"/>
          </w:tcPr>
          <w:p>
            <w:pPr>
              <w:spacing w:after="0"/>
              <w:rPr>
                <w:sz w:val="14"/>
                <w:szCs w:val="14"/>
                <w:color w:val="auto"/>
              </w:rPr>
            </w:pPr>
          </w:p>
        </w:tc>
        <w:tc>
          <w:tcPr>
            <w:tcW w:w="336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Principal occupation:</w:t>
            </w: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Attorney at law</w:t>
            </w:r>
          </w:p>
        </w:tc>
      </w:tr>
      <w:tr>
        <w:trPr>
          <w:trHeight w:val="168"/>
        </w:trPr>
        <w:tc>
          <w:tcPr>
            <w:tcW w:w="2680" w:type="dxa"/>
            <w:vAlign w:val="bottom"/>
          </w:tcPr>
          <w:p>
            <w:pPr>
              <w:spacing w:after="0"/>
              <w:rPr>
                <w:sz w:val="14"/>
                <w:szCs w:val="14"/>
                <w:color w:val="auto"/>
              </w:rPr>
            </w:pPr>
          </w:p>
        </w:tc>
        <w:tc>
          <w:tcPr>
            <w:tcW w:w="336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Other directorships:</w:t>
            </w: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Member of the Board of BBVA Bancomer,</w:t>
            </w:r>
          </w:p>
        </w:tc>
      </w:tr>
      <w:tr>
        <w:trPr>
          <w:trHeight w:val="168"/>
        </w:trPr>
        <w:tc>
          <w:tcPr>
            <w:tcW w:w="26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Chairman of the Regional Board of Advisors of</w:t>
            </w:r>
          </w:p>
        </w:tc>
      </w:tr>
      <w:tr>
        <w:trPr>
          <w:trHeight w:val="168"/>
        </w:trPr>
        <w:tc>
          <w:tcPr>
            <w:tcW w:w="26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Bancomer, S.A., and Grupo Industrial Ramirez,</w:t>
            </w:r>
          </w:p>
        </w:tc>
      </w:tr>
      <w:tr>
        <w:trPr>
          <w:trHeight w:val="168"/>
        </w:trPr>
        <w:tc>
          <w:tcPr>
            <w:tcW w:w="26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S.A.</w:t>
            </w:r>
          </w:p>
        </w:tc>
      </w:tr>
      <w:tr>
        <w:trPr>
          <w:trHeight w:val="168"/>
        </w:trPr>
        <w:tc>
          <w:tcPr>
            <w:tcW w:w="2680" w:type="dxa"/>
            <w:vAlign w:val="bottom"/>
          </w:tcPr>
          <w:p>
            <w:pPr>
              <w:spacing w:after="0"/>
              <w:rPr>
                <w:sz w:val="14"/>
                <w:szCs w:val="14"/>
                <w:color w:val="auto"/>
              </w:rPr>
            </w:pPr>
          </w:p>
        </w:tc>
        <w:tc>
          <w:tcPr>
            <w:tcW w:w="336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Business experience:</w:t>
            </w: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Served as Treasurer General from 1961 to 1967</w:t>
            </w:r>
          </w:p>
        </w:tc>
      </w:tr>
      <w:tr>
        <w:trPr>
          <w:trHeight w:val="168"/>
        </w:trPr>
        <w:tc>
          <w:tcPr>
            <w:tcW w:w="26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and Constitutional Governor from 1967 to 1971</w:t>
            </w:r>
          </w:p>
        </w:tc>
      </w:tr>
      <w:tr>
        <w:trPr>
          <w:trHeight w:val="168"/>
        </w:trPr>
        <w:tc>
          <w:tcPr>
            <w:tcW w:w="26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for the State of Nuevo Leon.  Acted as</w:t>
            </w:r>
          </w:p>
        </w:tc>
      </w:tr>
      <w:tr>
        <w:trPr>
          <w:trHeight w:val="168"/>
        </w:trPr>
        <w:tc>
          <w:tcPr>
            <w:tcW w:w="26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Chairman of the Board of Valores of</w:t>
            </w:r>
          </w:p>
        </w:tc>
      </w:tr>
      <w:tr>
        <w:trPr>
          <w:trHeight w:val="168"/>
        </w:trPr>
        <w:tc>
          <w:tcPr>
            <w:tcW w:w="26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Monterrey, S.A. de C.V.</w:t>
            </w:r>
          </w:p>
        </w:tc>
      </w:tr>
      <w:tr>
        <w:trPr>
          <w:trHeight w:val="168"/>
        </w:trPr>
        <w:tc>
          <w:tcPr>
            <w:tcW w:w="2680" w:type="dxa"/>
            <w:vAlign w:val="bottom"/>
          </w:tcPr>
          <w:p>
            <w:pPr>
              <w:spacing w:after="0"/>
              <w:rPr>
                <w:sz w:val="14"/>
                <w:szCs w:val="14"/>
                <w:color w:val="auto"/>
              </w:rPr>
            </w:pPr>
          </w:p>
        </w:tc>
        <w:tc>
          <w:tcPr>
            <w:tcW w:w="336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Other experience:</w:t>
            </w: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Mr. Elizondo holds a law degree from the</w:t>
            </w:r>
          </w:p>
        </w:tc>
      </w:tr>
      <w:tr>
        <w:trPr>
          <w:trHeight w:val="168"/>
        </w:trPr>
        <w:tc>
          <w:tcPr>
            <w:tcW w:w="26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Universidad Autonoma de Nuevo Leon ("UANL").</w:t>
            </w:r>
          </w:p>
        </w:tc>
      </w:tr>
      <w:tr>
        <w:trPr>
          <w:trHeight w:val="168"/>
        </w:trPr>
        <w:tc>
          <w:tcPr>
            <w:tcW w:w="2680" w:type="dxa"/>
            <w:vAlign w:val="bottom"/>
          </w:tcPr>
          <w:p>
            <w:pPr>
              <w:spacing w:after="0"/>
              <w:rPr>
                <w:sz w:val="14"/>
                <w:szCs w:val="14"/>
                <w:color w:val="auto"/>
              </w:rPr>
            </w:pPr>
          </w:p>
        </w:tc>
        <w:tc>
          <w:tcPr>
            <w:tcW w:w="336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Alternate director:</w:t>
            </w: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Juan Guichard Michel(10)</w:t>
            </w:r>
          </w:p>
        </w:tc>
      </w:tr>
      <w:tr>
        <w:trPr>
          <w:trHeight w:val="336"/>
        </w:trPr>
        <w:tc>
          <w:tcPr>
            <w:tcW w:w="2680" w:type="dxa"/>
            <w:vAlign w:val="bottom"/>
          </w:tcPr>
          <w:p>
            <w:pPr>
              <w:spacing w:after="0"/>
              <w:rPr>
                <w:sz w:val="20"/>
                <w:szCs w:val="20"/>
                <w:color w:val="auto"/>
              </w:rPr>
            </w:pPr>
            <w:r>
              <w:rPr>
                <w:rFonts w:ascii="Courier New" w:cs="Courier New" w:eastAsia="Courier New" w:hAnsi="Courier New"/>
                <w:sz w:val="15"/>
                <w:szCs w:val="15"/>
                <w:color w:val="auto"/>
              </w:rPr>
              <w:t>Ricardo Guajardo Touche</w:t>
            </w:r>
          </w:p>
        </w:tc>
        <w:tc>
          <w:tcPr>
            <w:tcW w:w="3360" w:type="dxa"/>
            <w:vAlign w:val="bottom"/>
          </w:tcPr>
          <w:p>
            <w:pPr>
              <w:ind w:left="1260"/>
              <w:spacing w:after="0"/>
              <w:rPr>
                <w:sz w:val="20"/>
                <w:szCs w:val="20"/>
                <w:color w:val="auto"/>
              </w:rPr>
            </w:pPr>
            <w:r>
              <w:rPr>
                <w:rFonts w:ascii="Courier New" w:cs="Courier New" w:eastAsia="Courier New" w:hAnsi="Courier New"/>
                <w:sz w:val="15"/>
                <w:szCs w:val="15"/>
                <w:color w:val="auto"/>
              </w:rPr>
              <w:t>Born:</w:t>
            </w:r>
          </w:p>
        </w:tc>
        <w:tc>
          <w:tcPr>
            <w:tcW w:w="5500" w:type="dxa"/>
            <w:vAlign w:val="bottom"/>
          </w:tcPr>
          <w:p>
            <w:pPr>
              <w:ind w:left="260"/>
              <w:spacing w:after="0"/>
              <w:rPr>
                <w:sz w:val="20"/>
                <w:szCs w:val="20"/>
                <w:color w:val="auto"/>
              </w:rPr>
            </w:pPr>
            <w:r>
              <w:rPr>
                <w:rFonts w:ascii="Courier New" w:cs="Courier New" w:eastAsia="Courier New" w:hAnsi="Courier New"/>
                <w:sz w:val="15"/>
                <w:szCs w:val="15"/>
                <w:color w:val="auto"/>
              </w:rPr>
              <w:t>May 1948</w:t>
            </w:r>
          </w:p>
        </w:tc>
      </w:tr>
      <w:tr>
        <w:trPr>
          <w:trHeight w:val="168"/>
        </w:trPr>
        <w:tc>
          <w:tcPr>
            <w:tcW w:w="2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Director</w:t>
            </w:r>
          </w:p>
        </w:tc>
        <w:tc>
          <w:tcPr>
            <w:tcW w:w="336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First elected:</w:t>
            </w: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1988</w:t>
            </w:r>
          </w:p>
        </w:tc>
      </w:tr>
      <w:tr>
        <w:trPr>
          <w:trHeight w:val="168"/>
        </w:trPr>
        <w:tc>
          <w:tcPr>
            <w:tcW w:w="2680" w:type="dxa"/>
            <w:vAlign w:val="bottom"/>
          </w:tcPr>
          <w:p>
            <w:pPr>
              <w:spacing w:after="0"/>
              <w:rPr>
                <w:sz w:val="14"/>
                <w:szCs w:val="14"/>
                <w:color w:val="auto"/>
              </w:rPr>
            </w:pPr>
          </w:p>
        </w:tc>
        <w:tc>
          <w:tcPr>
            <w:tcW w:w="336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Term expires:</w:t>
            </w: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2004</w:t>
            </w:r>
          </w:p>
        </w:tc>
      </w:tr>
      <w:tr>
        <w:trPr>
          <w:trHeight w:val="168"/>
        </w:trPr>
        <w:tc>
          <w:tcPr>
            <w:tcW w:w="2680" w:type="dxa"/>
            <w:vAlign w:val="bottom"/>
          </w:tcPr>
          <w:p>
            <w:pPr>
              <w:spacing w:after="0"/>
              <w:rPr>
                <w:sz w:val="14"/>
                <w:szCs w:val="14"/>
                <w:color w:val="auto"/>
              </w:rPr>
            </w:pPr>
          </w:p>
        </w:tc>
        <w:tc>
          <w:tcPr>
            <w:tcW w:w="336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Principal occupation:</w:t>
            </w: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Chairman of the Board of BBVA Bancomer</w:t>
            </w:r>
          </w:p>
        </w:tc>
      </w:tr>
      <w:tr>
        <w:trPr>
          <w:trHeight w:val="168"/>
        </w:trPr>
        <w:tc>
          <w:tcPr>
            <w:tcW w:w="2680" w:type="dxa"/>
            <w:vAlign w:val="bottom"/>
          </w:tcPr>
          <w:p>
            <w:pPr>
              <w:spacing w:after="0"/>
              <w:rPr>
                <w:sz w:val="14"/>
                <w:szCs w:val="14"/>
                <w:color w:val="auto"/>
              </w:rPr>
            </w:pPr>
          </w:p>
        </w:tc>
        <w:tc>
          <w:tcPr>
            <w:tcW w:w="336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Other directorships:</w:t>
            </w: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6"/>
              </w:rPr>
              <w:t>Member of the Board of El Puerto de Liverpool, S.A. de C.V.,</w:t>
            </w:r>
          </w:p>
        </w:tc>
      </w:tr>
      <w:tr>
        <w:trPr>
          <w:trHeight w:val="168"/>
        </w:trPr>
        <w:tc>
          <w:tcPr>
            <w:tcW w:w="26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8"/>
              </w:rPr>
              <w:t>Grupo Alfa, BBVA Bancomer, Grupo Aeroportuario del Sureste,</w:t>
            </w:r>
          </w:p>
        </w:tc>
      </w:tr>
      <w:tr>
        <w:trPr>
          <w:trHeight w:val="168"/>
        </w:trPr>
        <w:tc>
          <w:tcPr>
            <w:tcW w:w="2680" w:type="dxa"/>
            <w:vAlign w:val="bottom"/>
          </w:tcPr>
          <w:p>
            <w:pPr>
              <w:spacing w:after="0"/>
              <w:rPr>
                <w:sz w:val="14"/>
                <w:szCs w:val="14"/>
                <w:color w:val="auto"/>
              </w:rPr>
            </w:pPr>
          </w:p>
        </w:tc>
        <w:tc>
          <w:tcPr>
            <w:tcW w:w="336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Business experience:</w:t>
            </w: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Has held senior executive positions in our company, Grupo</w:t>
            </w:r>
          </w:p>
        </w:tc>
      </w:tr>
      <w:tr>
        <w:trPr>
          <w:trHeight w:val="168"/>
        </w:trPr>
        <w:tc>
          <w:tcPr>
            <w:tcW w:w="26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AXA, S.A. de C.V. and Valores de Monterrey, S.A. de C.V.</w:t>
            </w:r>
          </w:p>
        </w:tc>
      </w:tr>
      <w:tr>
        <w:trPr>
          <w:trHeight w:val="168"/>
        </w:trPr>
        <w:tc>
          <w:tcPr>
            <w:tcW w:w="2680" w:type="dxa"/>
            <w:vAlign w:val="bottom"/>
          </w:tcPr>
          <w:p>
            <w:pPr>
              <w:spacing w:after="0"/>
              <w:rPr>
                <w:sz w:val="14"/>
                <w:szCs w:val="14"/>
                <w:color w:val="auto"/>
              </w:rPr>
            </w:pPr>
          </w:p>
        </w:tc>
        <w:tc>
          <w:tcPr>
            <w:tcW w:w="336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Other experience:</w:t>
            </w: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9"/>
              </w:rPr>
              <w:t>Holds degrees in electrical engineering from ITESM and the</w:t>
            </w:r>
          </w:p>
        </w:tc>
      </w:tr>
      <w:tr>
        <w:trPr>
          <w:trHeight w:val="168"/>
        </w:trPr>
        <w:tc>
          <w:tcPr>
            <w:tcW w:w="26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University of Wisconsin and a Masters degree from the</w:t>
            </w:r>
          </w:p>
        </w:tc>
      </w:tr>
      <w:tr>
        <w:trPr>
          <w:trHeight w:val="168"/>
        </w:trPr>
        <w:tc>
          <w:tcPr>
            <w:tcW w:w="26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University of California at Berkeley.</w:t>
            </w:r>
          </w:p>
        </w:tc>
      </w:tr>
      <w:tr>
        <w:trPr>
          <w:trHeight w:val="336"/>
        </w:trPr>
        <w:tc>
          <w:tcPr>
            <w:tcW w:w="2680" w:type="dxa"/>
            <w:vAlign w:val="bottom"/>
          </w:tcPr>
          <w:p>
            <w:pPr>
              <w:spacing w:after="0"/>
              <w:rPr>
                <w:sz w:val="24"/>
                <w:szCs w:val="24"/>
                <w:color w:val="auto"/>
              </w:rPr>
            </w:pPr>
          </w:p>
        </w:tc>
        <w:tc>
          <w:tcPr>
            <w:tcW w:w="3360" w:type="dxa"/>
            <w:vAlign w:val="bottom"/>
          </w:tcPr>
          <w:p>
            <w:pPr>
              <w:ind w:left="1260"/>
              <w:spacing w:after="0"/>
              <w:rPr>
                <w:sz w:val="20"/>
                <w:szCs w:val="20"/>
                <w:color w:val="auto"/>
              </w:rPr>
            </w:pPr>
            <w:r>
              <w:rPr>
                <w:rFonts w:ascii="Courier New" w:cs="Courier New" w:eastAsia="Courier New" w:hAnsi="Courier New"/>
                <w:sz w:val="15"/>
                <w:szCs w:val="15"/>
                <w:color w:val="auto"/>
              </w:rPr>
              <w:t>Alternate director:</w:t>
            </w:r>
          </w:p>
        </w:tc>
        <w:tc>
          <w:tcPr>
            <w:tcW w:w="5500" w:type="dxa"/>
            <w:vAlign w:val="bottom"/>
          </w:tcPr>
          <w:p>
            <w:pPr>
              <w:ind w:left="260"/>
              <w:spacing w:after="0"/>
              <w:rPr>
                <w:sz w:val="20"/>
                <w:szCs w:val="20"/>
                <w:color w:val="auto"/>
              </w:rPr>
            </w:pPr>
            <w:r>
              <w:rPr>
                <w:rFonts w:ascii="Courier New" w:cs="Courier New" w:eastAsia="Courier New" w:hAnsi="Courier New"/>
                <w:sz w:val="15"/>
                <w:szCs w:val="15"/>
                <w:color w:val="auto"/>
              </w:rPr>
              <w:t>Eva Garza de Fernandez(3)(9)</w:t>
            </w:r>
          </w:p>
        </w:tc>
      </w:tr>
      <w:tr>
        <w:trPr>
          <w:trHeight w:val="505"/>
        </w:trPr>
        <w:tc>
          <w:tcPr>
            <w:tcW w:w="2680" w:type="dxa"/>
            <w:vAlign w:val="bottom"/>
          </w:tcPr>
          <w:p>
            <w:pPr>
              <w:spacing w:after="0"/>
              <w:rPr>
                <w:sz w:val="24"/>
                <w:szCs w:val="24"/>
                <w:color w:val="auto"/>
              </w:rPr>
            </w:pPr>
          </w:p>
        </w:tc>
        <w:tc>
          <w:tcPr>
            <w:tcW w:w="3360" w:type="dxa"/>
            <w:vAlign w:val="bottom"/>
          </w:tcPr>
          <w:p>
            <w:pPr>
              <w:ind w:left="660"/>
              <w:spacing w:after="0"/>
              <w:rPr>
                <w:sz w:val="20"/>
                <w:szCs w:val="20"/>
                <w:color w:val="auto"/>
              </w:rPr>
            </w:pPr>
            <w:r>
              <w:rPr>
                <w:rFonts w:ascii="Courier New" w:cs="Courier New" w:eastAsia="Courier New" w:hAnsi="Courier New"/>
                <w:sz w:val="15"/>
                <w:szCs w:val="15"/>
                <w:color w:val="auto"/>
              </w:rPr>
              <w:t>106</w:t>
            </w:r>
          </w:p>
        </w:tc>
        <w:tc>
          <w:tcPr>
            <w:tcW w:w="5500" w:type="dxa"/>
            <w:vAlign w:val="bottom"/>
          </w:tcPr>
          <w:p>
            <w:pPr>
              <w:spacing w:after="0"/>
              <w:rPr>
                <w:sz w:val="24"/>
                <w:szCs w:val="24"/>
                <w:color w:val="auto"/>
              </w:rPr>
            </w:pPr>
          </w:p>
        </w:tc>
      </w:tr>
    </w:tbl>
    <w:p>
      <w:pPr>
        <w:sectPr>
          <w:pgSz w:w="11900" w:h="16838" w:orient="portrait"/>
          <w:cols w:equalWidth="0" w:num="1">
            <w:col w:w="11540"/>
          </w:cols>
          <w:pgMar w:left="220" w:top="953" w:right="139" w:bottom="1440" w:gutter="0" w:footer="0" w:header="0"/>
        </w:sectPr>
      </w:pPr>
    </w:p>
    <w:bookmarkStart w:id="113" w:name="page114"/>
    <w:bookmarkEnd w:id="1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Alfredo Livas</w:t>
            </w:r>
          </w:p>
        </w:tc>
        <w:tc>
          <w:tcPr>
            <w:tcW w:w="3180" w:type="dxa"/>
            <w:vAlign w:val="bottom"/>
          </w:tcPr>
          <w:p>
            <w:pPr>
              <w:ind w:left="1080"/>
              <w:spacing w:after="0"/>
              <w:rPr>
                <w:sz w:val="20"/>
                <w:szCs w:val="20"/>
                <w:color w:val="auto"/>
              </w:rPr>
            </w:pPr>
            <w:r>
              <w:rPr>
                <w:rFonts w:ascii="Courier New" w:cs="Courier New" w:eastAsia="Courier New" w:hAnsi="Courier New"/>
                <w:sz w:val="15"/>
                <w:szCs w:val="15"/>
                <w:color w:val="auto"/>
              </w:rPr>
              <w:t>Born:</w:t>
            </w:r>
          </w:p>
        </w:tc>
        <w:tc>
          <w:tcPr>
            <w:tcW w:w="5500" w:type="dxa"/>
            <w:vAlign w:val="bottom"/>
          </w:tcPr>
          <w:p>
            <w:pPr>
              <w:ind w:left="260"/>
              <w:spacing w:after="0"/>
              <w:rPr>
                <w:sz w:val="20"/>
                <w:szCs w:val="20"/>
                <w:color w:val="auto"/>
              </w:rPr>
            </w:pPr>
            <w:r>
              <w:rPr>
                <w:rFonts w:ascii="Courier New" w:cs="Courier New" w:eastAsia="Courier New" w:hAnsi="Courier New"/>
                <w:sz w:val="15"/>
                <w:szCs w:val="15"/>
                <w:color w:val="auto"/>
              </w:rPr>
              <w:t>July 1951</w:t>
            </w:r>
          </w:p>
        </w:tc>
      </w:tr>
      <w:tr>
        <w:trPr>
          <w:trHeight w:val="168"/>
        </w:trPr>
        <w:tc>
          <w:tcPr>
            <w:tcW w:w="2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Director and Secretary</w:t>
            </w:r>
          </w:p>
        </w:tc>
        <w:tc>
          <w:tcPr>
            <w:tcW w:w="318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First elected:</w:t>
            </w: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1995</w:t>
            </w:r>
          </w:p>
        </w:tc>
      </w:tr>
      <w:tr>
        <w:trPr>
          <w:trHeight w:val="168"/>
        </w:trPr>
        <w:tc>
          <w:tcPr>
            <w:tcW w:w="2860" w:type="dxa"/>
            <w:vAlign w:val="bottom"/>
          </w:tcPr>
          <w:p>
            <w:pPr>
              <w:spacing w:after="0"/>
              <w:rPr>
                <w:sz w:val="14"/>
                <w:szCs w:val="14"/>
                <w:color w:val="auto"/>
              </w:rPr>
            </w:pPr>
          </w:p>
        </w:tc>
        <w:tc>
          <w:tcPr>
            <w:tcW w:w="318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Term expires:</w:t>
            </w: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2004</w:t>
            </w:r>
          </w:p>
        </w:tc>
      </w:tr>
      <w:tr>
        <w:trPr>
          <w:trHeight w:val="168"/>
        </w:trPr>
        <w:tc>
          <w:tcPr>
            <w:tcW w:w="2860" w:type="dxa"/>
            <w:vAlign w:val="bottom"/>
          </w:tcPr>
          <w:p>
            <w:pPr>
              <w:spacing w:after="0"/>
              <w:rPr>
                <w:sz w:val="14"/>
                <w:szCs w:val="14"/>
                <w:color w:val="auto"/>
              </w:rPr>
            </w:pPr>
          </w:p>
        </w:tc>
        <w:tc>
          <w:tcPr>
            <w:tcW w:w="318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Principal occupation:</w:t>
            </w: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President of Praxis Financiera, S.C.</w:t>
            </w:r>
          </w:p>
        </w:tc>
      </w:tr>
      <w:tr>
        <w:trPr>
          <w:trHeight w:val="168"/>
        </w:trPr>
        <w:tc>
          <w:tcPr>
            <w:tcW w:w="2860" w:type="dxa"/>
            <w:vAlign w:val="bottom"/>
          </w:tcPr>
          <w:p>
            <w:pPr>
              <w:spacing w:after="0"/>
              <w:rPr>
                <w:sz w:val="14"/>
                <w:szCs w:val="14"/>
                <w:color w:val="auto"/>
              </w:rPr>
            </w:pPr>
          </w:p>
        </w:tc>
        <w:tc>
          <w:tcPr>
            <w:tcW w:w="318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Other directorships:</w:t>
            </w: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Member of the Boards of Grupo Jomar, S.A. de</w:t>
            </w:r>
          </w:p>
        </w:tc>
      </w:tr>
      <w:tr>
        <w:trPr>
          <w:trHeight w:val="168"/>
        </w:trPr>
        <w:tc>
          <w:tcPr>
            <w:tcW w:w="28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C.V. and British American Tobacco (Mexican Board).</w:t>
            </w:r>
          </w:p>
        </w:tc>
      </w:tr>
      <w:tr>
        <w:trPr>
          <w:trHeight w:val="168"/>
        </w:trPr>
        <w:tc>
          <w:tcPr>
            <w:tcW w:w="2860" w:type="dxa"/>
            <w:vAlign w:val="bottom"/>
          </w:tcPr>
          <w:p>
            <w:pPr>
              <w:spacing w:after="0"/>
              <w:rPr>
                <w:sz w:val="14"/>
                <w:szCs w:val="14"/>
                <w:color w:val="auto"/>
              </w:rPr>
            </w:pPr>
          </w:p>
        </w:tc>
        <w:tc>
          <w:tcPr>
            <w:tcW w:w="318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Business experience:</w:t>
            </w: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6"/>
              </w:rPr>
              <w:t>Joined FEMSA in 1978 and held several positions in the areas</w:t>
            </w:r>
          </w:p>
        </w:tc>
      </w:tr>
      <w:tr>
        <w:trPr>
          <w:trHeight w:val="168"/>
        </w:trPr>
        <w:tc>
          <w:tcPr>
            <w:tcW w:w="28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of financial planning and treasury and served as Chief</w:t>
            </w:r>
          </w:p>
        </w:tc>
      </w:tr>
      <w:tr>
        <w:trPr>
          <w:trHeight w:val="168"/>
        </w:trPr>
        <w:tc>
          <w:tcPr>
            <w:tcW w:w="28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Financial Officer from 1989 to 1999.</w:t>
            </w:r>
          </w:p>
        </w:tc>
      </w:tr>
      <w:tr>
        <w:trPr>
          <w:trHeight w:val="168"/>
        </w:trPr>
        <w:tc>
          <w:tcPr>
            <w:tcW w:w="2860" w:type="dxa"/>
            <w:vAlign w:val="bottom"/>
          </w:tcPr>
          <w:p>
            <w:pPr>
              <w:spacing w:after="0"/>
              <w:rPr>
                <w:sz w:val="14"/>
                <w:szCs w:val="14"/>
                <w:color w:val="auto"/>
              </w:rPr>
            </w:pPr>
          </w:p>
        </w:tc>
        <w:tc>
          <w:tcPr>
            <w:tcW w:w="318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Other experience:</w:t>
            </w: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Holds an economics degree from the UANL and an MBA and</w:t>
            </w:r>
          </w:p>
        </w:tc>
      </w:tr>
      <w:tr>
        <w:trPr>
          <w:trHeight w:val="168"/>
        </w:trPr>
        <w:tc>
          <w:tcPr>
            <w:tcW w:w="28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Masters degree in economics from the University of Texas.</w:t>
            </w:r>
          </w:p>
        </w:tc>
      </w:tr>
      <w:tr>
        <w:trPr>
          <w:trHeight w:val="168"/>
        </w:trPr>
        <w:tc>
          <w:tcPr>
            <w:tcW w:w="2860" w:type="dxa"/>
            <w:vAlign w:val="bottom"/>
          </w:tcPr>
          <w:p>
            <w:pPr>
              <w:spacing w:after="0"/>
              <w:rPr>
                <w:sz w:val="14"/>
                <w:szCs w:val="14"/>
                <w:color w:val="auto"/>
              </w:rPr>
            </w:pPr>
          </w:p>
        </w:tc>
        <w:tc>
          <w:tcPr>
            <w:tcW w:w="318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Alternate Director:</w:t>
            </w: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Jose Gonzalez Ornelas</w:t>
            </w:r>
          </w:p>
        </w:tc>
      </w:tr>
      <w:tr>
        <w:trPr>
          <w:trHeight w:val="336"/>
        </w:trPr>
        <w:tc>
          <w:tcPr>
            <w:tcW w:w="2860" w:type="dxa"/>
            <w:vAlign w:val="bottom"/>
          </w:tcPr>
          <w:p>
            <w:pPr>
              <w:spacing w:after="0"/>
              <w:rPr>
                <w:sz w:val="20"/>
                <w:szCs w:val="20"/>
                <w:color w:val="auto"/>
              </w:rPr>
            </w:pPr>
            <w:r>
              <w:rPr>
                <w:rFonts w:ascii="Courier New" w:cs="Courier New" w:eastAsia="Courier New" w:hAnsi="Courier New"/>
                <w:sz w:val="15"/>
                <w:szCs w:val="15"/>
                <w:color w:val="auto"/>
              </w:rPr>
              <w:t>Roberto Servitje</w:t>
            </w:r>
          </w:p>
        </w:tc>
        <w:tc>
          <w:tcPr>
            <w:tcW w:w="3180" w:type="dxa"/>
            <w:vAlign w:val="bottom"/>
          </w:tcPr>
          <w:p>
            <w:pPr>
              <w:ind w:left="1080"/>
              <w:spacing w:after="0"/>
              <w:rPr>
                <w:sz w:val="20"/>
                <w:szCs w:val="20"/>
                <w:color w:val="auto"/>
              </w:rPr>
            </w:pPr>
            <w:r>
              <w:rPr>
                <w:rFonts w:ascii="Courier New" w:cs="Courier New" w:eastAsia="Courier New" w:hAnsi="Courier New"/>
                <w:sz w:val="15"/>
                <w:szCs w:val="15"/>
                <w:color w:val="auto"/>
              </w:rPr>
              <w:t>Born:</w:t>
            </w:r>
          </w:p>
        </w:tc>
        <w:tc>
          <w:tcPr>
            <w:tcW w:w="5500" w:type="dxa"/>
            <w:vAlign w:val="bottom"/>
          </w:tcPr>
          <w:p>
            <w:pPr>
              <w:ind w:left="260"/>
              <w:spacing w:after="0"/>
              <w:rPr>
                <w:sz w:val="20"/>
                <w:szCs w:val="20"/>
                <w:color w:val="auto"/>
              </w:rPr>
            </w:pPr>
            <w:r>
              <w:rPr>
                <w:rFonts w:ascii="Courier New" w:cs="Courier New" w:eastAsia="Courier New" w:hAnsi="Courier New"/>
                <w:sz w:val="15"/>
                <w:szCs w:val="15"/>
                <w:color w:val="auto"/>
              </w:rPr>
              <w:t>January 1928</w:t>
            </w:r>
          </w:p>
        </w:tc>
      </w:tr>
      <w:tr>
        <w:trPr>
          <w:trHeight w:val="168"/>
        </w:trPr>
        <w:tc>
          <w:tcPr>
            <w:tcW w:w="2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Director</w:t>
            </w:r>
          </w:p>
        </w:tc>
        <w:tc>
          <w:tcPr>
            <w:tcW w:w="318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First elected:</w:t>
            </w: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1995</w:t>
            </w:r>
          </w:p>
        </w:tc>
      </w:tr>
      <w:tr>
        <w:trPr>
          <w:trHeight w:val="168"/>
        </w:trPr>
        <w:tc>
          <w:tcPr>
            <w:tcW w:w="2860" w:type="dxa"/>
            <w:vAlign w:val="bottom"/>
          </w:tcPr>
          <w:p>
            <w:pPr>
              <w:spacing w:after="0"/>
              <w:rPr>
                <w:sz w:val="14"/>
                <w:szCs w:val="14"/>
                <w:color w:val="auto"/>
              </w:rPr>
            </w:pPr>
          </w:p>
        </w:tc>
        <w:tc>
          <w:tcPr>
            <w:tcW w:w="318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Term expires:</w:t>
            </w: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2004</w:t>
            </w:r>
          </w:p>
        </w:tc>
      </w:tr>
      <w:tr>
        <w:trPr>
          <w:trHeight w:val="168"/>
        </w:trPr>
        <w:tc>
          <w:tcPr>
            <w:tcW w:w="2860" w:type="dxa"/>
            <w:vAlign w:val="bottom"/>
          </w:tcPr>
          <w:p>
            <w:pPr>
              <w:spacing w:after="0"/>
              <w:rPr>
                <w:sz w:val="14"/>
                <w:szCs w:val="14"/>
                <w:color w:val="auto"/>
              </w:rPr>
            </w:pPr>
          </w:p>
        </w:tc>
        <w:tc>
          <w:tcPr>
            <w:tcW w:w="318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Principal occupation:</w:t>
            </w: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Chairman of the Board of Grupo Bimbo</w:t>
            </w:r>
          </w:p>
        </w:tc>
      </w:tr>
      <w:tr>
        <w:trPr>
          <w:trHeight w:val="168"/>
        </w:trPr>
        <w:tc>
          <w:tcPr>
            <w:tcW w:w="2860" w:type="dxa"/>
            <w:vAlign w:val="bottom"/>
          </w:tcPr>
          <w:p>
            <w:pPr>
              <w:spacing w:after="0"/>
              <w:rPr>
                <w:sz w:val="14"/>
                <w:szCs w:val="14"/>
                <w:color w:val="auto"/>
              </w:rPr>
            </w:pPr>
          </w:p>
        </w:tc>
        <w:tc>
          <w:tcPr>
            <w:tcW w:w="318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Other directorships:</w:t>
            </w: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Member of the Board of DaimlerChrysler de</w:t>
            </w:r>
          </w:p>
        </w:tc>
      </w:tr>
      <w:tr>
        <w:trPr>
          <w:trHeight w:val="168"/>
        </w:trPr>
        <w:tc>
          <w:tcPr>
            <w:tcW w:w="28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Mexico, S.A.</w:t>
            </w:r>
          </w:p>
        </w:tc>
      </w:tr>
      <w:tr>
        <w:trPr>
          <w:trHeight w:val="168"/>
        </w:trPr>
        <w:tc>
          <w:tcPr>
            <w:tcW w:w="2860" w:type="dxa"/>
            <w:vAlign w:val="bottom"/>
          </w:tcPr>
          <w:p>
            <w:pPr>
              <w:spacing w:after="0"/>
              <w:rPr>
                <w:sz w:val="14"/>
                <w:szCs w:val="14"/>
                <w:color w:val="auto"/>
              </w:rPr>
            </w:pPr>
          </w:p>
        </w:tc>
        <w:tc>
          <w:tcPr>
            <w:tcW w:w="318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Business experience:</w:t>
            </w: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Founding Member and active Chairman of Grupo</w:t>
            </w:r>
          </w:p>
        </w:tc>
      </w:tr>
      <w:tr>
        <w:trPr>
          <w:trHeight w:val="168"/>
        </w:trPr>
        <w:tc>
          <w:tcPr>
            <w:tcW w:w="28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Bimbo.</w:t>
            </w:r>
          </w:p>
        </w:tc>
      </w:tr>
      <w:tr>
        <w:trPr>
          <w:trHeight w:val="168"/>
        </w:trPr>
        <w:tc>
          <w:tcPr>
            <w:tcW w:w="2860" w:type="dxa"/>
            <w:vAlign w:val="bottom"/>
          </w:tcPr>
          <w:p>
            <w:pPr>
              <w:spacing w:after="0"/>
              <w:rPr>
                <w:sz w:val="14"/>
                <w:szCs w:val="14"/>
                <w:color w:val="auto"/>
              </w:rPr>
            </w:pPr>
          </w:p>
        </w:tc>
        <w:tc>
          <w:tcPr>
            <w:tcW w:w="318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Other experience:</w:t>
            </w: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Holds a PMD degree from Harvard University</w:t>
            </w:r>
          </w:p>
        </w:tc>
      </w:tr>
      <w:tr>
        <w:trPr>
          <w:trHeight w:val="168"/>
        </w:trPr>
        <w:tc>
          <w:tcPr>
            <w:tcW w:w="2860" w:type="dxa"/>
            <w:vAlign w:val="bottom"/>
          </w:tcPr>
          <w:p>
            <w:pPr>
              <w:spacing w:after="0"/>
              <w:rPr>
                <w:sz w:val="14"/>
                <w:szCs w:val="14"/>
                <w:color w:val="auto"/>
              </w:rPr>
            </w:pPr>
          </w:p>
        </w:tc>
        <w:tc>
          <w:tcPr>
            <w:tcW w:w="318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Alternate director</w:t>
            </w: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Alfredo Martinez Urdal</w:t>
            </w:r>
          </w:p>
        </w:tc>
      </w:tr>
      <w:tr>
        <w:trPr>
          <w:trHeight w:val="336"/>
        </w:trPr>
        <w:tc>
          <w:tcPr>
            <w:tcW w:w="2860" w:type="dxa"/>
            <w:vAlign w:val="bottom"/>
          </w:tcPr>
          <w:p>
            <w:pPr>
              <w:spacing w:after="0"/>
              <w:rPr>
                <w:sz w:val="20"/>
                <w:szCs w:val="20"/>
                <w:color w:val="auto"/>
              </w:rPr>
            </w:pPr>
            <w:r>
              <w:rPr>
                <w:rFonts w:ascii="Courier New" w:cs="Courier New" w:eastAsia="Courier New" w:hAnsi="Courier New"/>
                <w:sz w:val="15"/>
                <w:szCs w:val="15"/>
                <w:color w:val="auto"/>
              </w:rPr>
              <w:t>Carlos Salguero</w:t>
            </w:r>
          </w:p>
        </w:tc>
        <w:tc>
          <w:tcPr>
            <w:tcW w:w="3180" w:type="dxa"/>
            <w:vAlign w:val="bottom"/>
          </w:tcPr>
          <w:p>
            <w:pPr>
              <w:ind w:left="1080"/>
              <w:spacing w:after="0"/>
              <w:rPr>
                <w:sz w:val="20"/>
                <w:szCs w:val="20"/>
                <w:color w:val="auto"/>
              </w:rPr>
            </w:pPr>
            <w:r>
              <w:rPr>
                <w:rFonts w:ascii="Courier New" w:cs="Courier New" w:eastAsia="Courier New" w:hAnsi="Courier New"/>
                <w:sz w:val="15"/>
                <w:szCs w:val="15"/>
                <w:color w:val="auto"/>
              </w:rPr>
              <w:t>Born:</w:t>
            </w:r>
          </w:p>
        </w:tc>
        <w:tc>
          <w:tcPr>
            <w:tcW w:w="5500" w:type="dxa"/>
            <w:vAlign w:val="bottom"/>
          </w:tcPr>
          <w:p>
            <w:pPr>
              <w:ind w:left="260"/>
              <w:spacing w:after="0"/>
              <w:rPr>
                <w:sz w:val="20"/>
                <w:szCs w:val="20"/>
                <w:color w:val="auto"/>
              </w:rPr>
            </w:pPr>
            <w:r>
              <w:rPr>
                <w:rFonts w:ascii="Courier New" w:cs="Courier New" w:eastAsia="Courier New" w:hAnsi="Courier New"/>
                <w:sz w:val="15"/>
                <w:szCs w:val="15"/>
                <w:color w:val="auto"/>
              </w:rPr>
              <w:t>October 1929</w:t>
            </w:r>
          </w:p>
        </w:tc>
      </w:tr>
      <w:tr>
        <w:trPr>
          <w:trHeight w:val="168"/>
        </w:trPr>
        <w:tc>
          <w:tcPr>
            <w:tcW w:w="2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Director</w:t>
            </w:r>
          </w:p>
        </w:tc>
        <w:tc>
          <w:tcPr>
            <w:tcW w:w="318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First elected:</w:t>
            </w: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1995</w:t>
            </w:r>
          </w:p>
        </w:tc>
      </w:tr>
      <w:tr>
        <w:trPr>
          <w:trHeight w:val="168"/>
        </w:trPr>
        <w:tc>
          <w:tcPr>
            <w:tcW w:w="2860" w:type="dxa"/>
            <w:vAlign w:val="bottom"/>
          </w:tcPr>
          <w:p>
            <w:pPr>
              <w:spacing w:after="0"/>
              <w:rPr>
                <w:sz w:val="14"/>
                <w:szCs w:val="14"/>
                <w:color w:val="auto"/>
              </w:rPr>
            </w:pPr>
          </w:p>
        </w:tc>
        <w:tc>
          <w:tcPr>
            <w:tcW w:w="318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Term expires:</w:t>
            </w: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2004</w:t>
            </w:r>
          </w:p>
        </w:tc>
      </w:tr>
      <w:tr>
        <w:trPr>
          <w:trHeight w:val="168"/>
        </w:trPr>
        <w:tc>
          <w:tcPr>
            <w:tcW w:w="2860" w:type="dxa"/>
            <w:vAlign w:val="bottom"/>
          </w:tcPr>
          <w:p>
            <w:pPr>
              <w:spacing w:after="0"/>
              <w:rPr>
                <w:sz w:val="14"/>
                <w:szCs w:val="14"/>
                <w:color w:val="auto"/>
              </w:rPr>
            </w:pPr>
          </w:p>
        </w:tc>
        <w:tc>
          <w:tcPr>
            <w:tcW w:w="318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Business experience:</w:t>
            </w: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Former Executive Vice President of Phillip</w:t>
            </w:r>
          </w:p>
        </w:tc>
      </w:tr>
      <w:tr>
        <w:trPr>
          <w:trHeight w:val="168"/>
        </w:trPr>
        <w:tc>
          <w:tcPr>
            <w:tcW w:w="28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Morris International.</w:t>
            </w:r>
          </w:p>
        </w:tc>
      </w:tr>
      <w:tr>
        <w:trPr>
          <w:trHeight w:val="168"/>
        </w:trPr>
        <w:tc>
          <w:tcPr>
            <w:tcW w:w="2860" w:type="dxa"/>
            <w:vAlign w:val="bottom"/>
          </w:tcPr>
          <w:p>
            <w:pPr>
              <w:spacing w:after="0"/>
              <w:rPr>
                <w:sz w:val="14"/>
                <w:szCs w:val="14"/>
                <w:color w:val="auto"/>
              </w:rPr>
            </w:pPr>
          </w:p>
        </w:tc>
        <w:tc>
          <w:tcPr>
            <w:tcW w:w="318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Other directorships:</w:t>
            </w: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Former Member of the Boards of Tabacalera</w:t>
            </w:r>
          </w:p>
        </w:tc>
      </w:tr>
      <w:tr>
        <w:trPr>
          <w:trHeight w:val="168"/>
        </w:trPr>
        <w:tc>
          <w:tcPr>
            <w:tcW w:w="28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Mexicana, S.A. de C.V., Tabacalera</w:t>
            </w:r>
          </w:p>
        </w:tc>
      </w:tr>
      <w:tr>
        <w:trPr>
          <w:trHeight w:val="168"/>
        </w:trPr>
        <w:tc>
          <w:tcPr>
            <w:tcW w:w="28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Costarricense, S.A., Tabacalera</w:t>
            </w:r>
          </w:p>
        </w:tc>
      </w:tr>
      <w:tr>
        <w:trPr>
          <w:trHeight w:val="168"/>
        </w:trPr>
        <w:tc>
          <w:tcPr>
            <w:tcW w:w="28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Centroamericana, S.A. and other Latin</w:t>
            </w:r>
          </w:p>
        </w:tc>
      </w:tr>
      <w:tr>
        <w:trPr>
          <w:trHeight w:val="168"/>
        </w:trPr>
        <w:tc>
          <w:tcPr>
            <w:tcW w:w="28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American companies.</w:t>
            </w:r>
          </w:p>
        </w:tc>
      </w:tr>
      <w:tr>
        <w:trPr>
          <w:trHeight w:val="168"/>
        </w:trPr>
        <w:tc>
          <w:tcPr>
            <w:tcW w:w="2860" w:type="dxa"/>
            <w:vAlign w:val="bottom"/>
          </w:tcPr>
          <w:p>
            <w:pPr>
              <w:spacing w:after="0"/>
              <w:rPr>
                <w:sz w:val="14"/>
                <w:szCs w:val="14"/>
                <w:color w:val="auto"/>
              </w:rPr>
            </w:pPr>
          </w:p>
        </w:tc>
        <w:tc>
          <w:tcPr>
            <w:tcW w:w="318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Other experience:</w:t>
            </w: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Holds a business degree from the Colombian</w:t>
            </w:r>
          </w:p>
        </w:tc>
      </w:tr>
      <w:tr>
        <w:trPr>
          <w:trHeight w:val="168"/>
        </w:trPr>
        <w:tc>
          <w:tcPr>
            <w:tcW w:w="28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Faculty of Economic Sciences, postgraduate</w:t>
            </w:r>
          </w:p>
        </w:tc>
      </w:tr>
      <w:tr>
        <w:trPr>
          <w:trHeight w:val="168"/>
        </w:trPr>
        <w:tc>
          <w:tcPr>
            <w:tcW w:w="28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studies in economics and management from</w:t>
            </w:r>
          </w:p>
        </w:tc>
      </w:tr>
      <w:tr>
        <w:trPr>
          <w:trHeight w:val="168"/>
        </w:trPr>
        <w:tc>
          <w:tcPr>
            <w:tcW w:w="28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Albany Business College and University</w:t>
            </w:r>
          </w:p>
        </w:tc>
      </w:tr>
      <w:tr>
        <w:trPr>
          <w:trHeight w:val="168"/>
        </w:trPr>
        <w:tc>
          <w:tcPr>
            <w:tcW w:w="28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College (Syracuse).  Received an Honor for</w:t>
            </w:r>
          </w:p>
        </w:tc>
      </w:tr>
      <w:tr>
        <w:trPr>
          <w:trHeight w:val="168"/>
        </w:trPr>
        <w:tc>
          <w:tcPr>
            <w:tcW w:w="28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Civil Merit by H.M. the King of Spain in 1995.</w:t>
            </w:r>
          </w:p>
        </w:tc>
      </w:tr>
      <w:tr>
        <w:trPr>
          <w:trHeight w:val="168"/>
        </w:trPr>
        <w:tc>
          <w:tcPr>
            <w:tcW w:w="2860" w:type="dxa"/>
            <w:vAlign w:val="bottom"/>
          </w:tcPr>
          <w:p>
            <w:pPr>
              <w:spacing w:after="0"/>
              <w:rPr>
                <w:sz w:val="14"/>
                <w:szCs w:val="14"/>
                <w:color w:val="auto"/>
              </w:rPr>
            </w:pPr>
          </w:p>
        </w:tc>
        <w:tc>
          <w:tcPr>
            <w:tcW w:w="318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Alternate director:</w:t>
            </w: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Eduardo Padilla Silva</w:t>
            </w:r>
          </w:p>
        </w:tc>
      </w:tr>
      <w:tr>
        <w:trPr>
          <w:trHeight w:val="505"/>
        </w:trPr>
        <w:tc>
          <w:tcPr>
            <w:tcW w:w="2860" w:type="dxa"/>
            <w:vAlign w:val="bottom"/>
          </w:tcPr>
          <w:p>
            <w:pPr>
              <w:spacing w:after="0"/>
              <w:rPr>
                <w:sz w:val="24"/>
                <w:szCs w:val="24"/>
                <w:color w:val="auto"/>
              </w:rPr>
            </w:pPr>
          </w:p>
        </w:tc>
        <w:tc>
          <w:tcPr>
            <w:tcW w:w="3180" w:type="dxa"/>
            <w:vAlign w:val="bottom"/>
          </w:tcPr>
          <w:p>
            <w:pPr>
              <w:ind w:left="480"/>
              <w:spacing w:after="0"/>
              <w:rPr>
                <w:sz w:val="20"/>
                <w:szCs w:val="20"/>
                <w:color w:val="auto"/>
              </w:rPr>
            </w:pPr>
            <w:r>
              <w:rPr>
                <w:rFonts w:ascii="Courier New" w:cs="Courier New" w:eastAsia="Courier New" w:hAnsi="Courier New"/>
                <w:sz w:val="15"/>
                <w:szCs w:val="15"/>
                <w:color w:val="auto"/>
              </w:rPr>
              <w:t>107</w:t>
            </w:r>
          </w:p>
        </w:tc>
        <w:tc>
          <w:tcPr>
            <w:tcW w:w="5500" w:type="dxa"/>
            <w:vAlign w:val="bottom"/>
          </w:tcPr>
          <w:p>
            <w:pPr>
              <w:spacing w:after="0"/>
              <w:rPr>
                <w:sz w:val="24"/>
                <w:szCs w:val="24"/>
                <w:color w:val="auto"/>
              </w:rPr>
            </w:pPr>
          </w:p>
        </w:tc>
      </w:tr>
    </w:tbl>
    <w:p>
      <w:pPr>
        <w:sectPr>
          <w:pgSz w:w="11900" w:h="16838" w:orient="portrait"/>
          <w:cols w:equalWidth="0" w:num="1">
            <w:col w:w="11540"/>
          </w:cols>
          <w:pgMar w:left="220" w:top="1290" w:right="139" w:bottom="1440" w:gutter="0" w:footer="0" w:header="0"/>
        </w:sectPr>
      </w:pPr>
    </w:p>
    <w:bookmarkStart w:id="114" w:name="page115"/>
    <w:bookmarkEnd w:id="1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80" w:type="dxa"/>
            <w:vAlign w:val="bottom"/>
          </w:tcPr>
          <w:p>
            <w:pPr>
              <w:spacing w:after="0"/>
              <w:rPr>
                <w:sz w:val="20"/>
                <w:szCs w:val="20"/>
                <w:color w:val="auto"/>
              </w:rPr>
            </w:pPr>
            <w:r>
              <w:rPr>
                <w:rFonts w:ascii="Courier New" w:cs="Courier New" w:eastAsia="Courier New" w:hAnsi="Courier New"/>
                <w:sz w:val="15"/>
                <w:szCs w:val="15"/>
                <w:color w:val="auto"/>
              </w:rPr>
              <w:t>Jose Manuel Canal Hernando</w:t>
            </w:r>
          </w:p>
        </w:tc>
        <w:tc>
          <w:tcPr>
            <w:tcW w:w="2760" w:type="dxa"/>
            <w:vAlign w:val="bottom"/>
          </w:tcPr>
          <w:p>
            <w:pPr>
              <w:ind w:left="660"/>
              <w:spacing w:after="0"/>
              <w:rPr>
                <w:sz w:val="20"/>
                <w:szCs w:val="20"/>
                <w:color w:val="auto"/>
              </w:rPr>
            </w:pPr>
            <w:r>
              <w:rPr>
                <w:rFonts w:ascii="Courier New" w:cs="Courier New" w:eastAsia="Courier New" w:hAnsi="Courier New"/>
                <w:sz w:val="15"/>
                <w:szCs w:val="15"/>
                <w:color w:val="auto"/>
              </w:rPr>
              <w:t>Born:</w:t>
            </w:r>
          </w:p>
        </w:tc>
        <w:tc>
          <w:tcPr>
            <w:tcW w:w="55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February 1940</w:t>
            </w:r>
          </w:p>
        </w:tc>
      </w:tr>
      <w:tr>
        <w:trPr>
          <w:trHeight w:val="168"/>
        </w:trPr>
        <w:tc>
          <w:tcPr>
            <w:tcW w:w="3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Director</w:t>
            </w:r>
          </w:p>
        </w:tc>
        <w:tc>
          <w:tcPr>
            <w:tcW w:w="276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First elected:</w:t>
            </w:r>
          </w:p>
        </w:tc>
        <w:tc>
          <w:tcPr>
            <w:tcW w:w="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2003</w:t>
            </w:r>
          </w:p>
        </w:tc>
        <w:tc>
          <w:tcPr>
            <w:tcW w:w="4840" w:type="dxa"/>
            <w:vAlign w:val="bottom"/>
          </w:tcPr>
          <w:p>
            <w:pPr>
              <w:spacing w:after="0"/>
              <w:rPr>
                <w:sz w:val="14"/>
                <w:szCs w:val="14"/>
                <w:color w:val="auto"/>
              </w:rPr>
            </w:pPr>
          </w:p>
        </w:tc>
      </w:tr>
      <w:tr>
        <w:trPr>
          <w:trHeight w:val="168"/>
        </w:trPr>
        <w:tc>
          <w:tcPr>
            <w:tcW w:w="3280" w:type="dxa"/>
            <w:vAlign w:val="bottom"/>
          </w:tcPr>
          <w:p>
            <w:pPr>
              <w:spacing w:after="0"/>
              <w:rPr>
                <w:sz w:val="14"/>
                <w:szCs w:val="14"/>
                <w:color w:val="auto"/>
              </w:rPr>
            </w:pPr>
          </w:p>
        </w:tc>
        <w:tc>
          <w:tcPr>
            <w:tcW w:w="276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Term expires:</w:t>
            </w:r>
          </w:p>
        </w:tc>
        <w:tc>
          <w:tcPr>
            <w:tcW w:w="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2004</w:t>
            </w:r>
          </w:p>
        </w:tc>
        <w:tc>
          <w:tcPr>
            <w:tcW w:w="4840" w:type="dxa"/>
            <w:vAlign w:val="bottom"/>
          </w:tcPr>
          <w:p>
            <w:pPr>
              <w:spacing w:after="0"/>
              <w:rPr>
                <w:sz w:val="14"/>
                <w:szCs w:val="14"/>
                <w:color w:val="auto"/>
              </w:rPr>
            </w:pPr>
          </w:p>
        </w:tc>
      </w:tr>
      <w:tr>
        <w:trPr>
          <w:trHeight w:val="168"/>
        </w:trPr>
        <w:tc>
          <w:tcPr>
            <w:tcW w:w="3280" w:type="dxa"/>
            <w:vAlign w:val="bottom"/>
          </w:tcPr>
          <w:p>
            <w:pPr>
              <w:spacing w:after="0"/>
              <w:rPr>
                <w:sz w:val="14"/>
                <w:szCs w:val="14"/>
                <w:color w:val="auto"/>
              </w:rPr>
            </w:pPr>
          </w:p>
        </w:tc>
        <w:tc>
          <w:tcPr>
            <w:tcW w:w="276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Principal occupation:</w:t>
            </w:r>
          </w:p>
        </w:tc>
        <w:tc>
          <w:tcPr>
            <w:tcW w:w="550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Private consultant</w:t>
            </w:r>
          </w:p>
        </w:tc>
      </w:tr>
      <w:tr>
        <w:trPr>
          <w:trHeight w:val="168"/>
        </w:trPr>
        <w:tc>
          <w:tcPr>
            <w:tcW w:w="3280" w:type="dxa"/>
            <w:vAlign w:val="bottom"/>
          </w:tcPr>
          <w:p>
            <w:pPr>
              <w:spacing w:after="0"/>
              <w:rPr>
                <w:sz w:val="14"/>
                <w:szCs w:val="14"/>
                <w:color w:val="auto"/>
              </w:rPr>
            </w:pPr>
          </w:p>
        </w:tc>
        <w:tc>
          <w:tcPr>
            <w:tcW w:w="276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Other directorships:</w:t>
            </w:r>
          </w:p>
        </w:tc>
        <w:tc>
          <w:tcPr>
            <w:tcW w:w="550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Member of the Board of Coca-Cola FEMSA.</w:t>
            </w:r>
          </w:p>
        </w:tc>
      </w:tr>
      <w:tr>
        <w:trPr>
          <w:trHeight w:val="168"/>
        </w:trPr>
        <w:tc>
          <w:tcPr>
            <w:tcW w:w="3280" w:type="dxa"/>
            <w:vAlign w:val="bottom"/>
          </w:tcPr>
          <w:p>
            <w:pPr>
              <w:spacing w:after="0"/>
              <w:rPr>
                <w:sz w:val="14"/>
                <w:szCs w:val="14"/>
                <w:color w:val="auto"/>
              </w:rPr>
            </w:pPr>
          </w:p>
        </w:tc>
        <w:tc>
          <w:tcPr>
            <w:tcW w:w="276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Business experience:</w:t>
            </w:r>
          </w:p>
        </w:tc>
        <w:tc>
          <w:tcPr>
            <w:tcW w:w="550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w w:val="99"/>
              </w:rPr>
              <w:t>Former managing partner at Ruiz, Urquiza y Cia, S.C., from</w:t>
            </w:r>
          </w:p>
        </w:tc>
      </w:tr>
      <w:tr>
        <w:trPr>
          <w:trHeight w:val="168"/>
        </w:trPr>
        <w:tc>
          <w:tcPr>
            <w:tcW w:w="32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1981</w:t>
            </w:r>
          </w:p>
        </w:tc>
        <w:tc>
          <w:tcPr>
            <w:tcW w:w="4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to 1999. Acted as statutory auditor of the Company from</w:t>
            </w:r>
          </w:p>
        </w:tc>
      </w:tr>
      <w:tr>
        <w:trPr>
          <w:trHeight w:val="168"/>
        </w:trPr>
        <w:tc>
          <w:tcPr>
            <w:tcW w:w="32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1984</w:t>
            </w:r>
          </w:p>
        </w:tc>
        <w:tc>
          <w:tcPr>
            <w:tcW w:w="4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to 2002. Presided in the Committee of Surveillance of</w:t>
            </w:r>
          </w:p>
        </w:tc>
      </w:tr>
      <w:tr>
        <w:trPr>
          <w:trHeight w:val="168"/>
        </w:trPr>
        <w:tc>
          <w:tcPr>
            <w:tcW w:w="32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550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the Mexican Institute of Finance Executives and has</w:t>
            </w:r>
          </w:p>
        </w:tc>
      </w:tr>
      <w:tr>
        <w:trPr>
          <w:trHeight w:val="168"/>
        </w:trPr>
        <w:tc>
          <w:tcPr>
            <w:tcW w:w="32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550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participated in several commissions at the Mexican</w:t>
            </w:r>
          </w:p>
        </w:tc>
      </w:tr>
      <w:tr>
        <w:trPr>
          <w:trHeight w:val="168"/>
        </w:trPr>
        <w:tc>
          <w:tcPr>
            <w:tcW w:w="32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550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w w:val="98"/>
              </w:rPr>
              <w:t>Association of Public Accountants. Has extensive experience</w:t>
            </w:r>
          </w:p>
        </w:tc>
      </w:tr>
      <w:tr>
        <w:trPr>
          <w:trHeight w:val="168"/>
        </w:trPr>
        <w:tc>
          <w:tcPr>
            <w:tcW w:w="32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550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in financial auditing for holding companies, banks and</w:t>
            </w:r>
          </w:p>
        </w:tc>
      </w:tr>
      <w:tr>
        <w:trPr>
          <w:trHeight w:val="168"/>
        </w:trPr>
        <w:tc>
          <w:tcPr>
            <w:tcW w:w="32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550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financial brokers.</w:t>
            </w:r>
          </w:p>
        </w:tc>
      </w:tr>
      <w:tr>
        <w:trPr>
          <w:trHeight w:val="168"/>
        </w:trPr>
        <w:tc>
          <w:tcPr>
            <w:tcW w:w="3280" w:type="dxa"/>
            <w:vAlign w:val="bottom"/>
          </w:tcPr>
          <w:p>
            <w:pPr>
              <w:spacing w:after="0"/>
              <w:rPr>
                <w:sz w:val="14"/>
                <w:szCs w:val="14"/>
                <w:color w:val="auto"/>
              </w:rPr>
            </w:pPr>
          </w:p>
        </w:tc>
        <w:tc>
          <w:tcPr>
            <w:tcW w:w="276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Other experience:</w:t>
            </w:r>
          </w:p>
        </w:tc>
        <w:tc>
          <w:tcPr>
            <w:tcW w:w="550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Holds a CPA degree from the Universidad</w:t>
            </w:r>
          </w:p>
        </w:tc>
      </w:tr>
      <w:tr>
        <w:trPr>
          <w:trHeight w:val="168"/>
        </w:trPr>
        <w:tc>
          <w:tcPr>
            <w:tcW w:w="32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550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Autonoma de Mexico.</w:t>
            </w:r>
          </w:p>
        </w:tc>
      </w:tr>
      <w:tr>
        <w:trPr>
          <w:trHeight w:val="168"/>
        </w:trPr>
        <w:tc>
          <w:tcPr>
            <w:tcW w:w="3280" w:type="dxa"/>
            <w:vAlign w:val="bottom"/>
          </w:tcPr>
          <w:p>
            <w:pPr>
              <w:spacing w:after="0"/>
              <w:rPr>
                <w:sz w:val="14"/>
                <w:szCs w:val="14"/>
                <w:color w:val="auto"/>
              </w:rPr>
            </w:pPr>
          </w:p>
        </w:tc>
        <w:tc>
          <w:tcPr>
            <w:tcW w:w="276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Alternate director:</w:t>
            </w:r>
          </w:p>
        </w:tc>
        <w:tc>
          <w:tcPr>
            <w:tcW w:w="550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Othon Paez Garza(5)</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w w:val="97"/>
              </w:rPr>
              <w:t>Barbara Garza Gonda de Braniff(3)(11)</w:t>
            </w:r>
          </w:p>
        </w:tc>
        <w:tc>
          <w:tcPr>
            <w:tcW w:w="2760" w:type="dxa"/>
            <w:vAlign w:val="bottom"/>
          </w:tcPr>
          <w:p>
            <w:pPr>
              <w:ind w:left="660"/>
              <w:spacing w:after="0"/>
              <w:rPr>
                <w:sz w:val="20"/>
                <w:szCs w:val="20"/>
                <w:color w:val="auto"/>
              </w:rPr>
            </w:pPr>
            <w:r>
              <w:rPr>
                <w:rFonts w:ascii="Courier New" w:cs="Courier New" w:eastAsia="Courier New" w:hAnsi="Courier New"/>
                <w:sz w:val="15"/>
                <w:szCs w:val="15"/>
                <w:color w:val="auto"/>
              </w:rPr>
              <w:t>Born:</w:t>
            </w:r>
          </w:p>
        </w:tc>
        <w:tc>
          <w:tcPr>
            <w:tcW w:w="55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December 1959</w:t>
            </w:r>
          </w:p>
        </w:tc>
      </w:tr>
      <w:tr>
        <w:trPr>
          <w:trHeight w:val="168"/>
        </w:trPr>
        <w:tc>
          <w:tcPr>
            <w:tcW w:w="3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Director</w:t>
            </w:r>
          </w:p>
        </w:tc>
        <w:tc>
          <w:tcPr>
            <w:tcW w:w="276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First elected:</w:t>
            </w:r>
          </w:p>
        </w:tc>
        <w:tc>
          <w:tcPr>
            <w:tcW w:w="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2002</w:t>
            </w:r>
          </w:p>
        </w:tc>
        <w:tc>
          <w:tcPr>
            <w:tcW w:w="4840" w:type="dxa"/>
            <w:vAlign w:val="bottom"/>
          </w:tcPr>
          <w:p>
            <w:pPr>
              <w:spacing w:after="0"/>
              <w:rPr>
                <w:sz w:val="14"/>
                <w:szCs w:val="14"/>
                <w:color w:val="auto"/>
              </w:rPr>
            </w:pPr>
          </w:p>
        </w:tc>
      </w:tr>
      <w:tr>
        <w:trPr>
          <w:trHeight w:val="168"/>
        </w:trPr>
        <w:tc>
          <w:tcPr>
            <w:tcW w:w="3280" w:type="dxa"/>
            <w:vAlign w:val="bottom"/>
          </w:tcPr>
          <w:p>
            <w:pPr>
              <w:spacing w:after="0"/>
              <w:rPr>
                <w:sz w:val="14"/>
                <w:szCs w:val="14"/>
                <w:color w:val="auto"/>
              </w:rPr>
            </w:pPr>
          </w:p>
        </w:tc>
        <w:tc>
          <w:tcPr>
            <w:tcW w:w="276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Term expires:</w:t>
            </w:r>
          </w:p>
        </w:tc>
        <w:tc>
          <w:tcPr>
            <w:tcW w:w="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2004</w:t>
            </w:r>
          </w:p>
        </w:tc>
        <w:tc>
          <w:tcPr>
            <w:tcW w:w="4840" w:type="dxa"/>
            <w:vAlign w:val="bottom"/>
          </w:tcPr>
          <w:p>
            <w:pPr>
              <w:spacing w:after="0"/>
              <w:rPr>
                <w:sz w:val="14"/>
                <w:szCs w:val="14"/>
                <w:color w:val="auto"/>
              </w:rPr>
            </w:pPr>
          </w:p>
        </w:tc>
      </w:tr>
      <w:tr>
        <w:trPr>
          <w:trHeight w:val="168"/>
        </w:trPr>
        <w:tc>
          <w:tcPr>
            <w:tcW w:w="3280" w:type="dxa"/>
            <w:vAlign w:val="bottom"/>
          </w:tcPr>
          <w:p>
            <w:pPr>
              <w:spacing w:after="0"/>
              <w:rPr>
                <w:sz w:val="14"/>
                <w:szCs w:val="14"/>
                <w:color w:val="auto"/>
              </w:rPr>
            </w:pPr>
          </w:p>
        </w:tc>
        <w:tc>
          <w:tcPr>
            <w:tcW w:w="276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Principal occupation:</w:t>
            </w:r>
          </w:p>
        </w:tc>
        <w:tc>
          <w:tcPr>
            <w:tcW w:w="550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Vice President of Fundacion Cultural Bancomer</w:t>
            </w:r>
          </w:p>
        </w:tc>
      </w:tr>
      <w:tr>
        <w:trPr>
          <w:trHeight w:val="168"/>
        </w:trPr>
        <w:tc>
          <w:tcPr>
            <w:tcW w:w="3280" w:type="dxa"/>
            <w:vAlign w:val="bottom"/>
          </w:tcPr>
          <w:p>
            <w:pPr>
              <w:spacing w:after="0"/>
              <w:rPr>
                <w:sz w:val="14"/>
                <w:szCs w:val="14"/>
                <w:color w:val="auto"/>
              </w:rPr>
            </w:pPr>
          </w:p>
        </w:tc>
        <w:tc>
          <w:tcPr>
            <w:tcW w:w="276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Other directorships:</w:t>
            </w:r>
          </w:p>
        </w:tc>
        <w:tc>
          <w:tcPr>
            <w:tcW w:w="550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Alternate Director of Coca-Cola FEMSA.</w:t>
            </w:r>
          </w:p>
        </w:tc>
      </w:tr>
      <w:tr>
        <w:trPr>
          <w:trHeight w:val="168"/>
        </w:trPr>
        <w:tc>
          <w:tcPr>
            <w:tcW w:w="3280" w:type="dxa"/>
            <w:vAlign w:val="bottom"/>
          </w:tcPr>
          <w:p>
            <w:pPr>
              <w:spacing w:after="0"/>
              <w:rPr>
                <w:sz w:val="14"/>
                <w:szCs w:val="14"/>
                <w:color w:val="auto"/>
              </w:rPr>
            </w:pPr>
          </w:p>
        </w:tc>
        <w:tc>
          <w:tcPr>
            <w:tcW w:w="276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Business experience:</w:t>
            </w:r>
          </w:p>
        </w:tc>
        <w:tc>
          <w:tcPr>
            <w:tcW w:w="550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Has worked in Bancomer, Citibank and Banca</w:t>
            </w:r>
          </w:p>
        </w:tc>
      </w:tr>
      <w:tr>
        <w:trPr>
          <w:trHeight w:val="168"/>
        </w:trPr>
        <w:tc>
          <w:tcPr>
            <w:tcW w:w="32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550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Serfin.</w:t>
            </w:r>
          </w:p>
        </w:tc>
      </w:tr>
      <w:tr>
        <w:trPr>
          <w:trHeight w:val="168"/>
        </w:trPr>
        <w:tc>
          <w:tcPr>
            <w:tcW w:w="3280" w:type="dxa"/>
            <w:vAlign w:val="bottom"/>
          </w:tcPr>
          <w:p>
            <w:pPr>
              <w:spacing w:after="0"/>
              <w:rPr>
                <w:sz w:val="14"/>
                <w:szCs w:val="14"/>
                <w:color w:val="auto"/>
              </w:rPr>
            </w:pPr>
          </w:p>
        </w:tc>
        <w:tc>
          <w:tcPr>
            <w:tcW w:w="276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Other experience:</w:t>
            </w:r>
          </w:p>
        </w:tc>
        <w:tc>
          <w:tcPr>
            <w:tcW w:w="550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Holds a degree in business administration and</w:t>
            </w:r>
          </w:p>
        </w:tc>
      </w:tr>
      <w:tr>
        <w:trPr>
          <w:trHeight w:val="168"/>
        </w:trPr>
        <w:tc>
          <w:tcPr>
            <w:tcW w:w="32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550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an MBA from ITESM.</w:t>
            </w:r>
          </w:p>
        </w:tc>
      </w:tr>
      <w:tr>
        <w:trPr>
          <w:trHeight w:val="168"/>
        </w:trPr>
        <w:tc>
          <w:tcPr>
            <w:tcW w:w="3280" w:type="dxa"/>
            <w:vAlign w:val="bottom"/>
          </w:tcPr>
          <w:p>
            <w:pPr>
              <w:spacing w:after="0"/>
              <w:rPr>
                <w:sz w:val="14"/>
                <w:szCs w:val="14"/>
                <w:color w:val="auto"/>
              </w:rPr>
            </w:pPr>
          </w:p>
        </w:tc>
        <w:tc>
          <w:tcPr>
            <w:tcW w:w="276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Alternate director:</w:t>
            </w:r>
          </w:p>
        </w:tc>
        <w:tc>
          <w:tcPr>
            <w:tcW w:w="550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Carlos Salazar Lomelin</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Series "D" Directors</w:t>
            </w:r>
          </w:p>
        </w:tc>
        <w:tc>
          <w:tcPr>
            <w:tcW w:w="2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40" w:type="dxa"/>
            <w:vAlign w:val="bottom"/>
          </w:tcPr>
          <w:p>
            <w:pPr>
              <w:spacing w:after="0"/>
              <w:rPr>
                <w:sz w:val="24"/>
                <w:szCs w:val="24"/>
                <w:color w:val="auto"/>
              </w:rPr>
            </w:pP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Alexis E. Rovzar</w:t>
            </w:r>
          </w:p>
        </w:tc>
        <w:tc>
          <w:tcPr>
            <w:tcW w:w="276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Born:</w:t>
            </w:r>
          </w:p>
        </w:tc>
        <w:tc>
          <w:tcPr>
            <w:tcW w:w="550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July 1951</w:t>
            </w:r>
          </w:p>
        </w:tc>
      </w:tr>
      <w:tr>
        <w:trPr>
          <w:trHeight w:val="168"/>
        </w:trPr>
        <w:tc>
          <w:tcPr>
            <w:tcW w:w="3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Director</w:t>
            </w:r>
          </w:p>
        </w:tc>
        <w:tc>
          <w:tcPr>
            <w:tcW w:w="276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First elected:</w:t>
            </w:r>
          </w:p>
        </w:tc>
        <w:tc>
          <w:tcPr>
            <w:tcW w:w="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1989</w:t>
            </w:r>
          </w:p>
        </w:tc>
        <w:tc>
          <w:tcPr>
            <w:tcW w:w="4840" w:type="dxa"/>
            <w:vAlign w:val="bottom"/>
          </w:tcPr>
          <w:p>
            <w:pPr>
              <w:spacing w:after="0"/>
              <w:rPr>
                <w:sz w:val="14"/>
                <w:szCs w:val="14"/>
                <w:color w:val="auto"/>
              </w:rPr>
            </w:pPr>
          </w:p>
        </w:tc>
      </w:tr>
      <w:tr>
        <w:trPr>
          <w:trHeight w:val="168"/>
        </w:trPr>
        <w:tc>
          <w:tcPr>
            <w:tcW w:w="3280" w:type="dxa"/>
            <w:vAlign w:val="bottom"/>
          </w:tcPr>
          <w:p>
            <w:pPr>
              <w:spacing w:after="0"/>
              <w:rPr>
                <w:sz w:val="14"/>
                <w:szCs w:val="14"/>
                <w:color w:val="auto"/>
              </w:rPr>
            </w:pPr>
          </w:p>
        </w:tc>
        <w:tc>
          <w:tcPr>
            <w:tcW w:w="276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Term expires:</w:t>
            </w:r>
          </w:p>
        </w:tc>
        <w:tc>
          <w:tcPr>
            <w:tcW w:w="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2004</w:t>
            </w:r>
          </w:p>
        </w:tc>
        <w:tc>
          <w:tcPr>
            <w:tcW w:w="4840" w:type="dxa"/>
            <w:vAlign w:val="bottom"/>
          </w:tcPr>
          <w:p>
            <w:pPr>
              <w:spacing w:after="0"/>
              <w:rPr>
                <w:sz w:val="14"/>
                <w:szCs w:val="14"/>
                <w:color w:val="auto"/>
              </w:rPr>
            </w:pPr>
          </w:p>
        </w:tc>
      </w:tr>
      <w:tr>
        <w:trPr>
          <w:trHeight w:val="168"/>
        </w:trPr>
        <w:tc>
          <w:tcPr>
            <w:tcW w:w="3280" w:type="dxa"/>
            <w:vAlign w:val="bottom"/>
          </w:tcPr>
          <w:p>
            <w:pPr>
              <w:spacing w:after="0"/>
              <w:rPr>
                <w:sz w:val="14"/>
                <w:szCs w:val="14"/>
                <w:color w:val="auto"/>
              </w:rPr>
            </w:pPr>
          </w:p>
        </w:tc>
        <w:tc>
          <w:tcPr>
            <w:tcW w:w="276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Principal occupation:</w:t>
            </w:r>
          </w:p>
        </w:tc>
        <w:tc>
          <w:tcPr>
            <w:tcW w:w="550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Executive Partner at White &amp; Case S.C. law</w:t>
            </w:r>
          </w:p>
        </w:tc>
      </w:tr>
      <w:tr>
        <w:trPr>
          <w:trHeight w:val="168"/>
        </w:trPr>
        <w:tc>
          <w:tcPr>
            <w:tcW w:w="32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firm</w:t>
            </w:r>
          </w:p>
        </w:tc>
        <w:tc>
          <w:tcPr>
            <w:tcW w:w="4840" w:type="dxa"/>
            <w:vAlign w:val="bottom"/>
          </w:tcPr>
          <w:p>
            <w:pPr>
              <w:spacing w:after="0"/>
              <w:rPr>
                <w:sz w:val="14"/>
                <w:szCs w:val="14"/>
                <w:color w:val="auto"/>
              </w:rPr>
            </w:pPr>
          </w:p>
        </w:tc>
      </w:tr>
      <w:tr>
        <w:trPr>
          <w:trHeight w:val="168"/>
        </w:trPr>
        <w:tc>
          <w:tcPr>
            <w:tcW w:w="3280" w:type="dxa"/>
            <w:vAlign w:val="bottom"/>
          </w:tcPr>
          <w:p>
            <w:pPr>
              <w:spacing w:after="0"/>
              <w:rPr>
                <w:sz w:val="14"/>
                <w:szCs w:val="14"/>
                <w:color w:val="auto"/>
              </w:rPr>
            </w:pPr>
          </w:p>
        </w:tc>
        <w:tc>
          <w:tcPr>
            <w:tcW w:w="276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Other directorships:</w:t>
            </w:r>
          </w:p>
        </w:tc>
        <w:tc>
          <w:tcPr>
            <w:tcW w:w="550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Member of the Boards of Coca-Cola FEMSA,</w:t>
            </w:r>
          </w:p>
        </w:tc>
      </w:tr>
      <w:tr>
        <w:trPr>
          <w:trHeight w:val="168"/>
        </w:trPr>
        <w:tc>
          <w:tcPr>
            <w:tcW w:w="32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550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Grupo Bimbo, Deutsche Bank (Mexico), Grupo</w:t>
            </w:r>
          </w:p>
        </w:tc>
      </w:tr>
      <w:tr>
        <w:trPr>
          <w:trHeight w:val="168"/>
        </w:trPr>
        <w:tc>
          <w:tcPr>
            <w:tcW w:w="32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550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ACIR, S.A. de C.V. and COMEX, S.A. de C.V.</w:t>
            </w:r>
          </w:p>
        </w:tc>
      </w:tr>
      <w:tr>
        <w:trPr>
          <w:trHeight w:val="168"/>
        </w:trPr>
        <w:tc>
          <w:tcPr>
            <w:tcW w:w="3280" w:type="dxa"/>
            <w:vAlign w:val="bottom"/>
          </w:tcPr>
          <w:p>
            <w:pPr>
              <w:spacing w:after="0"/>
              <w:rPr>
                <w:sz w:val="14"/>
                <w:szCs w:val="14"/>
                <w:color w:val="auto"/>
              </w:rPr>
            </w:pPr>
          </w:p>
        </w:tc>
        <w:tc>
          <w:tcPr>
            <w:tcW w:w="276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Business experience:</w:t>
            </w:r>
          </w:p>
        </w:tc>
        <w:tc>
          <w:tcPr>
            <w:tcW w:w="550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w w:val="96"/>
              </w:rPr>
              <w:t>Has expertise in private and public mergers and acquisitions</w:t>
            </w:r>
          </w:p>
        </w:tc>
      </w:tr>
      <w:tr>
        <w:trPr>
          <w:trHeight w:val="168"/>
        </w:trPr>
        <w:tc>
          <w:tcPr>
            <w:tcW w:w="32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550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as well as other aspects of financial law and has been</w:t>
            </w:r>
          </w:p>
        </w:tc>
      </w:tr>
      <w:tr>
        <w:trPr>
          <w:trHeight w:val="168"/>
        </w:trPr>
        <w:tc>
          <w:tcPr>
            <w:tcW w:w="32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550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advisor to many companies on international business and</w:t>
            </w:r>
          </w:p>
        </w:tc>
      </w:tr>
      <w:tr>
        <w:trPr>
          <w:trHeight w:val="168"/>
        </w:trPr>
        <w:tc>
          <w:tcPr>
            <w:tcW w:w="32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550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joint venture transactions.</w:t>
            </w:r>
          </w:p>
        </w:tc>
      </w:tr>
      <w:tr>
        <w:trPr>
          <w:trHeight w:val="168"/>
        </w:trPr>
        <w:tc>
          <w:tcPr>
            <w:tcW w:w="3280" w:type="dxa"/>
            <w:vAlign w:val="bottom"/>
          </w:tcPr>
          <w:p>
            <w:pPr>
              <w:spacing w:after="0"/>
              <w:rPr>
                <w:sz w:val="14"/>
                <w:szCs w:val="14"/>
                <w:color w:val="auto"/>
              </w:rPr>
            </w:pPr>
          </w:p>
        </w:tc>
        <w:tc>
          <w:tcPr>
            <w:tcW w:w="276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Other experience:</w:t>
            </w:r>
          </w:p>
        </w:tc>
        <w:tc>
          <w:tcPr>
            <w:tcW w:w="550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Holds a law degree from the Universidad Nacional Autonoma</w:t>
            </w:r>
          </w:p>
        </w:tc>
      </w:tr>
      <w:tr>
        <w:trPr>
          <w:trHeight w:val="168"/>
        </w:trPr>
        <w:tc>
          <w:tcPr>
            <w:tcW w:w="32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550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de Mexico.</w:t>
            </w:r>
          </w:p>
        </w:tc>
      </w:tr>
      <w:tr>
        <w:trPr>
          <w:trHeight w:val="168"/>
        </w:trPr>
        <w:tc>
          <w:tcPr>
            <w:tcW w:w="3280" w:type="dxa"/>
            <w:vAlign w:val="bottom"/>
          </w:tcPr>
          <w:p>
            <w:pPr>
              <w:spacing w:after="0"/>
              <w:rPr>
                <w:sz w:val="14"/>
                <w:szCs w:val="14"/>
                <w:color w:val="auto"/>
              </w:rPr>
            </w:pPr>
          </w:p>
        </w:tc>
        <w:tc>
          <w:tcPr>
            <w:tcW w:w="276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Alternate director:</w:t>
            </w:r>
          </w:p>
        </w:tc>
        <w:tc>
          <w:tcPr>
            <w:tcW w:w="550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Lorenzo Garza Hinojosa</w:t>
            </w:r>
          </w:p>
        </w:tc>
      </w:tr>
      <w:tr>
        <w:trPr>
          <w:trHeight w:val="505"/>
        </w:trPr>
        <w:tc>
          <w:tcPr>
            <w:tcW w:w="3280" w:type="dxa"/>
            <w:vAlign w:val="bottom"/>
          </w:tcPr>
          <w:p>
            <w:pPr>
              <w:spacing w:after="0"/>
              <w:rPr>
                <w:sz w:val="24"/>
                <w:szCs w:val="24"/>
                <w:color w:val="auto"/>
              </w:rPr>
            </w:pPr>
          </w:p>
        </w:tc>
        <w:tc>
          <w:tcPr>
            <w:tcW w:w="2760" w:type="dxa"/>
            <w:vAlign w:val="bottom"/>
          </w:tcPr>
          <w:p>
            <w:pPr>
              <w:ind w:left="60"/>
              <w:spacing w:after="0"/>
              <w:rPr>
                <w:sz w:val="20"/>
                <w:szCs w:val="20"/>
                <w:color w:val="auto"/>
              </w:rPr>
            </w:pPr>
            <w:r>
              <w:rPr>
                <w:rFonts w:ascii="Courier New" w:cs="Courier New" w:eastAsia="Courier New" w:hAnsi="Courier New"/>
                <w:sz w:val="15"/>
                <w:szCs w:val="15"/>
                <w:color w:val="auto"/>
              </w:rPr>
              <w:t>108</w:t>
            </w:r>
          </w:p>
        </w:tc>
        <w:tc>
          <w:tcPr>
            <w:tcW w:w="660" w:type="dxa"/>
            <w:vAlign w:val="bottom"/>
          </w:tcPr>
          <w:p>
            <w:pPr>
              <w:spacing w:after="0"/>
              <w:rPr>
                <w:sz w:val="24"/>
                <w:szCs w:val="24"/>
                <w:color w:val="auto"/>
              </w:rPr>
            </w:pPr>
          </w:p>
        </w:tc>
        <w:tc>
          <w:tcPr>
            <w:tcW w:w="4840" w:type="dxa"/>
            <w:vAlign w:val="bottom"/>
          </w:tcPr>
          <w:p>
            <w:pPr>
              <w:spacing w:after="0"/>
              <w:rPr>
                <w:sz w:val="24"/>
                <w:szCs w:val="24"/>
                <w:color w:val="auto"/>
              </w:rPr>
            </w:pPr>
          </w:p>
        </w:tc>
      </w:tr>
    </w:tbl>
    <w:p>
      <w:pPr>
        <w:sectPr>
          <w:pgSz w:w="11900" w:h="16838" w:orient="portrait"/>
          <w:cols w:equalWidth="0" w:num="1">
            <w:col w:w="11540"/>
          </w:cols>
          <w:pgMar w:left="220" w:top="1290" w:right="139" w:bottom="1440" w:gutter="0" w:footer="0" w:header="0"/>
        </w:sectPr>
      </w:pPr>
    </w:p>
    <w:bookmarkStart w:id="115" w:name="page116"/>
    <w:bookmarkEnd w:id="1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00" w:type="dxa"/>
            <w:vAlign w:val="bottom"/>
          </w:tcPr>
          <w:p>
            <w:pPr>
              <w:spacing w:after="0"/>
              <w:rPr>
                <w:sz w:val="20"/>
                <w:szCs w:val="20"/>
                <w:color w:val="auto"/>
              </w:rPr>
            </w:pPr>
            <w:r>
              <w:rPr>
                <w:rFonts w:ascii="Courier New" w:cs="Courier New" w:eastAsia="Courier New" w:hAnsi="Courier New"/>
                <w:sz w:val="15"/>
                <w:szCs w:val="15"/>
                <w:color w:val="auto"/>
              </w:rPr>
              <w:t>Luis Tellez</w:t>
            </w:r>
          </w:p>
        </w:tc>
        <w:tc>
          <w:tcPr>
            <w:tcW w:w="3240" w:type="dxa"/>
            <w:vAlign w:val="bottom"/>
          </w:tcPr>
          <w:p>
            <w:pPr>
              <w:ind w:left="1140"/>
              <w:spacing w:after="0"/>
              <w:rPr>
                <w:sz w:val="20"/>
                <w:szCs w:val="20"/>
                <w:color w:val="auto"/>
              </w:rPr>
            </w:pPr>
            <w:r>
              <w:rPr>
                <w:rFonts w:ascii="Courier New" w:cs="Courier New" w:eastAsia="Courier New" w:hAnsi="Courier New"/>
                <w:sz w:val="15"/>
                <w:szCs w:val="15"/>
                <w:color w:val="auto"/>
              </w:rPr>
              <w:t>Born:</w:t>
            </w:r>
          </w:p>
        </w:tc>
        <w:tc>
          <w:tcPr>
            <w:tcW w:w="5500" w:type="dxa"/>
            <w:vAlign w:val="bottom"/>
          </w:tcPr>
          <w:p>
            <w:pPr>
              <w:ind w:left="260"/>
              <w:spacing w:after="0"/>
              <w:rPr>
                <w:sz w:val="20"/>
                <w:szCs w:val="20"/>
                <w:color w:val="auto"/>
              </w:rPr>
            </w:pPr>
            <w:r>
              <w:rPr>
                <w:rFonts w:ascii="Courier New" w:cs="Courier New" w:eastAsia="Courier New" w:hAnsi="Courier New"/>
                <w:sz w:val="15"/>
                <w:szCs w:val="15"/>
                <w:color w:val="auto"/>
              </w:rPr>
              <w:t>October 1958</w:t>
            </w:r>
          </w:p>
        </w:tc>
      </w:tr>
      <w:tr>
        <w:trPr>
          <w:trHeight w:val="168"/>
        </w:trPr>
        <w:tc>
          <w:tcPr>
            <w:tcW w:w="28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Director</w:t>
            </w:r>
          </w:p>
        </w:tc>
        <w:tc>
          <w:tcPr>
            <w:tcW w:w="324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First elected:</w:t>
            </w: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2800" w:type="dxa"/>
            <w:vAlign w:val="bottom"/>
          </w:tcPr>
          <w:p>
            <w:pPr>
              <w:spacing w:after="0"/>
              <w:rPr>
                <w:sz w:val="14"/>
                <w:szCs w:val="14"/>
                <w:color w:val="auto"/>
              </w:rPr>
            </w:pPr>
          </w:p>
        </w:tc>
        <w:tc>
          <w:tcPr>
            <w:tcW w:w="324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Term expires:</w:t>
            </w: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2004</w:t>
            </w:r>
          </w:p>
        </w:tc>
      </w:tr>
      <w:tr>
        <w:trPr>
          <w:trHeight w:val="168"/>
        </w:trPr>
        <w:tc>
          <w:tcPr>
            <w:tcW w:w="2800" w:type="dxa"/>
            <w:vAlign w:val="bottom"/>
          </w:tcPr>
          <w:p>
            <w:pPr>
              <w:spacing w:after="0"/>
              <w:rPr>
                <w:sz w:val="14"/>
                <w:szCs w:val="14"/>
                <w:color w:val="auto"/>
              </w:rPr>
            </w:pPr>
          </w:p>
        </w:tc>
        <w:tc>
          <w:tcPr>
            <w:tcW w:w="324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Principal Occupation:</w:t>
            </w: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Executive Vice President, Grupo Desc, S.A. de</w:t>
            </w:r>
          </w:p>
        </w:tc>
      </w:tr>
      <w:tr>
        <w:trPr>
          <w:trHeight w:val="168"/>
        </w:trPr>
        <w:tc>
          <w:tcPr>
            <w:tcW w:w="28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C.V.</w:t>
            </w:r>
          </w:p>
        </w:tc>
      </w:tr>
      <w:tr>
        <w:trPr>
          <w:trHeight w:val="168"/>
        </w:trPr>
        <w:tc>
          <w:tcPr>
            <w:tcW w:w="2800" w:type="dxa"/>
            <w:vAlign w:val="bottom"/>
          </w:tcPr>
          <w:p>
            <w:pPr>
              <w:spacing w:after="0"/>
              <w:rPr>
                <w:sz w:val="14"/>
                <w:szCs w:val="14"/>
                <w:color w:val="auto"/>
              </w:rPr>
            </w:pPr>
          </w:p>
        </w:tc>
        <w:tc>
          <w:tcPr>
            <w:tcW w:w="324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Other directorships:</w:t>
            </w: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Member of the Boards of Grupo Mexico, S.A. de</w:t>
            </w:r>
          </w:p>
        </w:tc>
      </w:tr>
      <w:tr>
        <w:trPr>
          <w:trHeight w:val="168"/>
        </w:trPr>
        <w:tc>
          <w:tcPr>
            <w:tcW w:w="28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C.V. and Casa de Cambio Monex, S.A. de C.V.</w:t>
            </w:r>
          </w:p>
        </w:tc>
      </w:tr>
      <w:tr>
        <w:trPr>
          <w:trHeight w:val="168"/>
        </w:trPr>
        <w:tc>
          <w:tcPr>
            <w:tcW w:w="28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and Member of the Board of Review for</w:t>
            </w:r>
          </w:p>
        </w:tc>
      </w:tr>
      <w:tr>
        <w:trPr>
          <w:trHeight w:val="168"/>
        </w:trPr>
        <w:tc>
          <w:tcPr>
            <w:tcW w:w="28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Kissinger-McCarty Associates.</w:t>
            </w:r>
          </w:p>
        </w:tc>
      </w:tr>
      <w:tr>
        <w:trPr>
          <w:trHeight w:val="168"/>
        </w:trPr>
        <w:tc>
          <w:tcPr>
            <w:tcW w:w="2800" w:type="dxa"/>
            <w:vAlign w:val="bottom"/>
          </w:tcPr>
          <w:p>
            <w:pPr>
              <w:spacing w:after="0"/>
              <w:rPr>
                <w:sz w:val="14"/>
                <w:szCs w:val="14"/>
                <w:color w:val="auto"/>
              </w:rPr>
            </w:pPr>
          </w:p>
        </w:tc>
        <w:tc>
          <w:tcPr>
            <w:tcW w:w="324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Business experience:</w:t>
            </w: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Served as Secretary of Energy of Mexico from 1997 to 2000</w:t>
            </w:r>
          </w:p>
        </w:tc>
      </w:tr>
      <w:tr>
        <w:trPr>
          <w:trHeight w:val="168"/>
        </w:trPr>
        <w:tc>
          <w:tcPr>
            <w:tcW w:w="28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9"/>
              </w:rPr>
              <w:t>and Chief of Staff of the President of Mexico from 1996 to</w:t>
            </w:r>
          </w:p>
        </w:tc>
      </w:tr>
      <w:tr>
        <w:trPr>
          <w:trHeight w:val="168"/>
        </w:trPr>
        <w:tc>
          <w:tcPr>
            <w:tcW w:w="28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2800" w:type="dxa"/>
            <w:vAlign w:val="bottom"/>
          </w:tcPr>
          <w:p>
            <w:pPr>
              <w:spacing w:after="0"/>
              <w:rPr>
                <w:sz w:val="14"/>
                <w:szCs w:val="14"/>
                <w:color w:val="auto"/>
              </w:rPr>
            </w:pPr>
          </w:p>
        </w:tc>
        <w:tc>
          <w:tcPr>
            <w:tcW w:w="324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Other experience:</w:t>
            </w: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Holds an economics degree from Instituto</w:t>
            </w:r>
          </w:p>
        </w:tc>
      </w:tr>
      <w:tr>
        <w:trPr>
          <w:trHeight w:val="168"/>
        </w:trPr>
        <w:tc>
          <w:tcPr>
            <w:tcW w:w="28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Tecnologico Autonomo de Mexico and a Ph.D. in</w:t>
            </w:r>
          </w:p>
        </w:tc>
      </w:tr>
      <w:tr>
        <w:trPr>
          <w:trHeight w:val="168"/>
        </w:trPr>
        <w:tc>
          <w:tcPr>
            <w:tcW w:w="28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Economics from The Massachusetts Institute of</w:t>
            </w:r>
          </w:p>
        </w:tc>
      </w:tr>
      <w:tr>
        <w:trPr>
          <w:trHeight w:val="168"/>
        </w:trPr>
        <w:tc>
          <w:tcPr>
            <w:tcW w:w="28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Technology.</w:t>
            </w:r>
          </w:p>
        </w:tc>
      </w:tr>
      <w:tr>
        <w:trPr>
          <w:trHeight w:val="168"/>
        </w:trPr>
        <w:tc>
          <w:tcPr>
            <w:tcW w:w="2800" w:type="dxa"/>
            <w:vAlign w:val="bottom"/>
          </w:tcPr>
          <w:p>
            <w:pPr>
              <w:spacing w:after="0"/>
              <w:rPr>
                <w:sz w:val="14"/>
                <w:szCs w:val="14"/>
                <w:color w:val="auto"/>
              </w:rPr>
            </w:pPr>
          </w:p>
        </w:tc>
        <w:tc>
          <w:tcPr>
            <w:tcW w:w="324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Alternate director:</w:t>
            </w: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Armando Garza Sada</w:t>
            </w:r>
          </w:p>
        </w:tc>
      </w:tr>
      <w:tr>
        <w:trPr>
          <w:trHeight w:val="336"/>
        </w:trPr>
        <w:tc>
          <w:tcPr>
            <w:tcW w:w="2800" w:type="dxa"/>
            <w:vAlign w:val="bottom"/>
          </w:tcPr>
          <w:p>
            <w:pPr>
              <w:spacing w:after="0"/>
              <w:rPr>
                <w:sz w:val="20"/>
                <w:szCs w:val="20"/>
                <w:color w:val="auto"/>
              </w:rPr>
            </w:pPr>
            <w:r>
              <w:rPr>
                <w:rFonts w:ascii="Courier New" w:cs="Courier New" w:eastAsia="Courier New" w:hAnsi="Courier New"/>
                <w:sz w:val="15"/>
                <w:szCs w:val="15"/>
                <w:color w:val="auto"/>
              </w:rPr>
              <w:t>Helmut Paul</w:t>
            </w:r>
          </w:p>
        </w:tc>
        <w:tc>
          <w:tcPr>
            <w:tcW w:w="3240" w:type="dxa"/>
            <w:vAlign w:val="bottom"/>
          </w:tcPr>
          <w:p>
            <w:pPr>
              <w:ind w:left="1140"/>
              <w:spacing w:after="0"/>
              <w:rPr>
                <w:sz w:val="20"/>
                <w:szCs w:val="20"/>
                <w:color w:val="auto"/>
              </w:rPr>
            </w:pPr>
            <w:r>
              <w:rPr>
                <w:rFonts w:ascii="Courier New" w:cs="Courier New" w:eastAsia="Courier New" w:hAnsi="Courier New"/>
                <w:sz w:val="15"/>
                <w:szCs w:val="15"/>
                <w:color w:val="auto"/>
              </w:rPr>
              <w:t>Born:</w:t>
            </w:r>
          </w:p>
        </w:tc>
        <w:tc>
          <w:tcPr>
            <w:tcW w:w="5500" w:type="dxa"/>
            <w:vAlign w:val="bottom"/>
          </w:tcPr>
          <w:p>
            <w:pPr>
              <w:ind w:left="260"/>
              <w:spacing w:after="0"/>
              <w:rPr>
                <w:sz w:val="20"/>
                <w:szCs w:val="20"/>
                <w:color w:val="auto"/>
              </w:rPr>
            </w:pPr>
            <w:r>
              <w:rPr>
                <w:rFonts w:ascii="Courier New" w:cs="Courier New" w:eastAsia="Courier New" w:hAnsi="Courier New"/>
                <w:sz w:val="15"/>
                <w:szCs w:val="15"/>
                <w:color w:val="auto"/>
              </w:rPr>
              <w:t>March 1940</w:t>
            </w:r>
          </w:p>
        </w:tc>
      </w:tr>
      <w:tr>
        <w:trPr>
          <w:trHeight w:val="168"/>
        </w:trPr>
        <w:tc>
          <w:tcPr>
            <w:tcW w:w="28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Director</w:t>
            </w:r>
          </w:p>
        </w:tc>
        <w:tc>
          <w:tcPr>
            <w:tcW w:w="324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First elected:</w:t>
            </w: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1988</w:t>
            </w:r>
          </w:p>
        </w:tc>
      </w:tr>
      <w:tr>
        <w:trPr>
          <w:trHeight w:val="168"/>
        </w:trPr>
        <w:tc>
          <w:tcPr>
            <w:tcW w:w="2800" w:type="dxa"/>
            <w:vAlign w:val="bottom"/>
          </w:tcPr>
          <w:p>
            <w:pPr>
              <w:spacing w:after="0"/>
              <w:rPr>
                <w:sz w:val="14"/>
                <w:szCs w:val="14"/>
                <w:color w:val="auto"/>
              </w:rPr>
            </w:pPr>
          </w:p>
        </w:tc>
        <w:tc>
          <w:tcPr>
            <w:tcW w:w="324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Term expires:</w:t>
            </w: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2004</w:t>
            </w:r>
          </w:p>
        </w:tc>
      </w:tr>
      <w:tr>
        <w:trPr>
          <w:trHeight w:val="168"/>
        </w:trPr>
        <w:tc>
          <w:tcPr>
            <w:tcW w:w="2800" w:type="dxa"/>
            <w:vAlign w:val="bottom"/>
          </w:tcPr>
          <w:p>
            <w:pPr>
              <w:spacing w:after="0"/>
              <w:rPr>
                <w:sz w:val="14"/>
                <w:szCs w:val="14"/>
                <w:color w:val="auto"/>
              </w:rPr>
            </w:pPr>
          </w:p>
        </w:tc>
        <w:tc>
          <w:tcPr>
            <w:tcW w:w="324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Principal occupation:</w:t>
            </w: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6"/>
              </w:rPr>
              <w:t>Owner of H. Paul &amp; Company LLC, a corporate finance advisory</w:t>
            </w:r>
          </w:p>
        </w:tc>
      </w:tr>
      <w:tr>
        <w:trPr>
          <w:trHeight w:val="168"/>
        </w:trPr>
        <w:tc>
          <w:tcPr>
            <w:tcW w:w="28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firm and Senior Consultant of International Finance</w:t>
            </w:r>
          </w:p>
        </w:tc>
      </w:tr>
      <w:tr>
        <w:trPr>
          <w:trHeight w:val="168"/>
        </w:trPr>
        <w:tc>
          <w:tcPr>
            <w:tcW w:w="2800" w:type="dxa"/>
            <w:vAlign w:val="bottom"/>
          </w:tcPr>
          <w:p>
            <w:pPr>
              <w:spacing w:after="0"/>
              <w:rPr>
                <w:sz w:val="14"/>
                <w:szCs w:val="14"/>
                <w:color w:val="auto"/>
              </w:rPr>
            </w:pPr>
          </w:p>
        </w:tc>
        <w:tc>
          <w:tcPr>
            <w:tcW w:w="324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Other directorships:</w:t>
            </w: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9"/>
              </w:rPr>
              <w:t>Member of the Boards of Scudder Fund for Independent Power</w:t>
            </w:r>
          </w:p>
        </w:tc>
      </w:tr>
      <w:tr>
        <w:trPr>
          <w:trHeight w:val="168"/>
        </w:trPr>
        <w:tc>
          <w:tcPr>
            <w:tcW w:w="28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8"/>
              </w:rPr>
              <w:t>Generation (management committee), HSBC Private Equity Fund</w:t>
            </w:r>
          </w:p>
        </w:tc>
      </w:tr>
      <w:tr>
        <w:trPr>
          <w:trHeight w:val="168"/>
        </w:trPr>
        <w:tc>
          <w:tcPr>
            <w:tcW w:w="28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(Argentina/Brazil) and Zurich Emerging Markets Solutions.</w:t>
            </w:r>
          </w:p>
        </w:tc>
      </w:tr>
      <w:tr>
        <w:trPr>
          <w:trHeight w:val="168"/>
        </w:trPr>
        <w:tc>
          <w:tcPr>
            <w:tcW w:w="2800" w:type="dxa"/>
            <w:vAlign w:val="bottom"/>
          </w:tcPr>
          <w:p>
            <w:pPr>
              <w:spacing w:after="0"/>
              <w:rPr>
                <w:sz w:val="14"/>
                <w:szCs w:val="14"/>
                <w:color w:val="auto"/>
              </w:rPr>
            </w:pPr>
          </w:p>
        </w:tc>
        <w:tc>
          <w:tcPr>
            <w:tcW w:w="324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Business experience:</w:t>
            </w: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Has held several managing positions in the International</w:t>
            </w:r>
          </w:p>
        </w:tc>
      </w:tr>
      <w:tr>
        <w:trPr>
          <w:trHeight w:val="168"/>
        </w:trPr>
        <w:tc>
          <w:tcPr>
            <w:tcW w:w="28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9"/>
              </w:rPr>
              <w:t>Finance Corporation, mainly responsible for Latin American</w:t>
            </w:r>
          </w:p>
        </w:tc>
      </w:tr>
      <w:tr>
        <w:trPr>
          <w:trHeight w:val="168"/>
        </w:trPr>
        <w:tc>
          <w:tcPr>
            <w:tcW w:w="28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and Caribbean investments.</w:t>
            </w:r>
          </w:p>
        </w:tc>
      </w:tr>
      <w:tr>
        <w:trPr>
          <w:trHeight w:val="168"/>
        </w:trPr>
        <w:tc>
          <w:tcPr>
            <w:tcW w:w="2800" w:type="dxa"/>
            <w:vAlign w:val="bottom"/>
          </w:tcPr>
          <w:p>
            <w:pPr>
              <w:spacing w:after="0"/>
              <w:rPr>
                <w:sz w:val="14"/>
                <w:szCs w:val="14"/>
                <w:color w:val="auto"/>
              </w:rPr>
            </w:pPr>
          </w:p>
        </w:tc>
        <w:tc>
          <w:tcPr>
            <w:tcW w:w="324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Other experience:</w:t>
            </w: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Holds an MBA from the University of Hamburg.</w:t>
            </w:r>
          </w:p>
        </w:tc>
      </w:tr>
      <w:tr>
        <w:trPr>
          <w:trHeight w:val="168"/>
        </w:trPr>
        <w:tc>
          <w:tcPr>
            <w:tcW w:w="2800" w:type="dxa"/>
            <w:vAlign w:val="bottom"/>
          </w:tcPr>
          <w:p>
            <w:pPr>
              <w:spacing w:after="0"/>
              <w:rPr>
                <w:sz w:val="14"/>
                <w:szCs w:val="14"/>
                <w:color w:val="auto"/>
              </w:rPr>
            </w:pPr>
          </w:p>
        </w:tc>
        <w:tc>
          <w:tcPr>
            <w:tcW w:w="324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Alternate director:</w:t>
            </w: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Antonio Elosua Muguerza</w:t>
            </w:r>
          </w:p>
        </w:tc>
      </w:tr>
      <w:tr>
        <w:trPr>
          <w:trHeight w:val="336"/>
        </w:trPr>
        <w:tc>
          <w:tcPr>
            <w:tcW w:w="2800" w:type="dxa"/>
            <w:vAlign w:val="bottom"/>
          </w:tcPr>
          <w:p>
            <w:pPr>
              <w:spacing w:after="0"/>
              <w:rPr>
                <w:sz w:val="20"/>
                <w:szCs w:val="20"/>
                <w:color w:val="auto"/>
              </w:rPr>
            </w:pPr>
            <w:r>
              <w:rPr>
                <w:rFonts w:ascii="Courier New" w:cs="Courier New" w:eastAsia="Courier New" w:hAnsi="Courier New"/>
                <w:sz w:val="15"/>
                <w:szCs w:val="15"/>
                <w:color w:val="auto"/>
              </w:rPr>
              <w:t>Lorenzo H. Zambrano</w:t>
            </w:r>
          </w:p>
        </w:tc>
        <w:tc>
          <w:tcPr>
            <w:tcW w:w="3240" w:type="dxa"/>
            <w:vAlign w:val="bottom"/>
          </w:tcPr>
          <w:p>
            <w:pPr>
              <w:ind w:left="1140"/>
              <w:spacing w:after="0"/>
              <w:rPr>
                <w:sz w:val="20"/>
                <w:szCs w:val="20"/>
                <w:color w:val="auto"/>
              </w:rPr>
            </w:pPr>
            <w:r>
              <w:rPr>
                <w:rFonts w:ascii="Courier New" w:cs="Courier New" w:eastAsia="Courier New" w:hAnsi="Courier New"/>
                <w:sz w:val="15"/>
                <w:szCs w:val="15"/>
                <w:color w:val="auto"/>
              </w:rPr>
              <w:t>Born:</w:t>
            </w:r>
          </w:p>
        </w:tc>
        <w:tc>
          <w:tcPr>
            <w:tcW w:w="5500" w:type="dxa"/>
            <w:vAlign w:val="bottom"/>
          </w:tcPr>
          <w:p>
            <w:pPr>
              <w:ind w:left="260"/>
              <w:spacing w:after="0"/>
              <w:rPr>
                <w:sz w:val="20"/>
                <w:szCs w:val="20"/>
                <w:color w:val="auto"/>
              </w:rPr>
            </w:pPr>
            <w:r>
              <w:rPr>
                <w:rFonts w:ascii="Courier New" w:cs="Courier New" w:eastAsia="Courier New" w:hAnsi="Courier New"/>
                <w:sz w:val="15"/>
                <w:szCs w:val="15"/>
                <w:color w:val="auto"/>
              </w:rPr>
              <w:t>March 1944</w:t>
            </w:r>
          </w:p>
        </w:tc>
      </w:tr>
      <w:tr>
        <w:trPr>
          <w:trHeight w:val="168"/>
        </w:trPr>
        <w:tc>
          <w:tcPr>
            <w:tcW w:w="28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Director</w:t>
            </w:r>
          </w:p>
        </w:tc>
        <w:tc>
          <w:tcPr>
            <w:tcW w:w="324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First elected:</w:t>
            </w: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1995</w:t>
            </w:r>
          </w:p>
        </w:tc>
      </w:tr>
      <w:tr>
        <w:trPr>
          <w:trHeight w:val="168"/>
        </w:trPr>
        <w:tc>
          <w:tcPr>
            <w:tcW w:w="2800" w:type="dxa"/>
            <w:vAlign w:val="bottom"/>
          </w:tcPr>
          <w:p>
            <w:pPr>
              <w:spacing w:after="0"/>
              <w:rPr>
                <w:sz w:val="14"/>
                <w:szCs w:val="14"/>
                <w:color w:val="auto"/>
              </w:rPr>
            </w:pPr>
          </w:p>
        </w:tc>
        <w:tc>
          <w:tcPr>
            <w:tcW w:w="324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Term expires:</w:t>
            </w: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2004</w:t>
            </w:r>
          </w:p>
        </w:tc>
      </w:tr>
      <w:tr>
        <w:trPr>
          <w:trHeight w:val="168"/>
        </w:trPr>
        <w:tc>
          <w:tcPr>
            <w:tcW w:w="2800" w:type="dxa"/>
            <w:vAlign w:val="bottom"/>
          </w:tcPr>
          <w:p>
            <w:pPr>
              <w:spacing w:after="0"/>
              <w:rPr>
                <w:sz w:val="14"/>
                <w:szCs w:val="14"/>
                <w:color w:val="auto"/>
              </w:rPr>
            </w:pPr>
          </w:p>
        </w:tc>
        <w:tc>
          <w:tcPr>
            <w:tcW w:w="324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Principal occupation:</w:t>
            </w: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Chairman and Chief Executive Officer of</w:t>
            </w:r>
          </w:p>
        </w:tc>
      </w:tr>
      <w:tr>
        <w:trPr>
          <w:trHeight w:val="168"/>
        </w:trPr>
        <w:tc>
          <w:tcPr>
            <w:tcW w:w="28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Cemex, S.A. de C.V.</w:t>
            </w:r>
          </w:p>
        </w:tc>
      </w:tr>
      <w:tr>
        <w:trPr>
          <w:trHeight w:val="168"/>
        </w:trPr>
        <w:tc>
          <w:tcPr>
            <w:tcW w:w="2800" w:type="dxa"/>
            <w:vAlign w:val="bottom"/>
          </w:tcPr>
          <w:p>
            <w:pPr>
              <w:spacing w:after="0"/>
              <w:rPr>
                <w:sz w:val="14"/>
                <w:szCs w:val="14"/>
                <w:color w:val="auto"/>
              </w:rPr>
            </w:pPr>
          </w:p>
        </w:tc>
        <w:tc>
          <w:tcPr>
            <w:tcW w:w="324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Other directorships:</w:t>
            </w: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Member of the Boards of Alfa, S.A. de C.V.</w:t>
            </w:r>
          </w:p>
        </w:tc>
      </w:tr>
      <w:tr>
        <w:trPr>
          <w:trHeight w:val="168"/>
        </w:trPr>
        <w:tc>
          <w:tcPr>
            <w:tcW w:w="28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(Human Resources Committee), Vitro (Chairman</w:t>
            </w:r>
          </w:p>
        </w:tc>
      </w:tr>
      <w:tr>
        <w:trPr>
          <w:trHeight w:val="168"/>
        </w:trPr>
        <w:tc>
          <w:tcPr>
            <w:tcW w:w="28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of the Compensations Committee), Televisa,</w:t>
            </w:r>
          </w:p>
        </w:tc>
      </w:tr>
      <w:tr>
        <w:trPr>
          <w:trHeight w:val="168"/>
        </w:trPr>
        <w:tc>
          <w:tcPr>
            <w:tcW w:w="28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S.A. de C.V., Member of Citigroup's</w:t>
            </w:r>
          </w:p>
        </w:tc>
      </w:tr>
      <w:tr>
        <w:trPr>
          <w:trHeight w:val="168"/>
        </w:trPr>
        <w:tc>
          <w:tcPr>
            <w:tcW w:w="28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International Advisory Board and Member of</w:t>
            </w:r>
          </w:p>
        </w:tc>
      </w:tr>
      <w:tr>
        <w:trPr>
          <w:trHeight w:val="168"/>
        </w:trPr>
        <w:tc>
          <w:tcPr>
            <w:tcW w:w="28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the Advisory Committee of Capital</w:t>
            </w:r>
          </w:p>
        </w:tc>
      </w:tr>
      <w:tr>
        <w:trPr>
          <w:trHeight w:val="168"/>
        </w:trPr>
        <w:tc>
          <w:tcPr>
            <w:tcW w:w="28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International, Inc.</w:t>
            </w:r>
          </w:p>
        </w:tc>
      </w:tr>
      <w:tr>
        <w:trPr>
          <w:trHeight w:val="168"/>
        </w:trPr>
        <w:tc>
          <w:tcPr>
            <w:tcW w:w="2800" w:type="dxa"/>
            <w:vAlign w:val="bottom"/>
          </w:tcPr>
          <w:p>
            <w:pPr>
              <w:spacing w:after="0"/>
              <w:rPr>
                <w:sz w:val="14"/>
                <w:szCs w:val="14"/>
                <w:color w:val="auto"/>
              </w:rPr>
            </w:pPr>
          </w:p>
        </w:tc>
        <w:tc>
          <w:tcPr>
            <w:tcW w:w="324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Other experience:</w:t>
            </w: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8"/>
              </w:rPr>
              <w:t>Holds a degree in mechanical engineering and administration</w:t>
            </w:r>
          </w:p>
        </w:tc>
      </w:tr>
      <w:tr>
        <w:trPr>
          <w:trHeight w:val="168"/>
        </w:trPr>
        <w:tc>
          <w:tcPr>
            <w:tcW w:w="28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from ITESM and an MBA from Stanford University.</w:t>
            </w:r>
          </w:p>
        </w:tc>
      </w:tr>
      <w:tr>
        <w:trPr>
          <w:trHeight w:val="168"/>
        </w:trPr>
        <w:tc>
          <w:tcPr>
            <w:tcW w:w="2800" w:type="dxa"/>
            <w:vAlign w:val="bottom"/>
          </w:tcPr>
          <w:p>
            <w:pPr>
              <w:spacing w:after="0"/>
              <w:rPr>
                <w:sz w:val="14"/>
                <w:szCs w:val="14"/>
                <w:color w:val="auto"/>
              </w:rPr>
            </w:pPr>
          </w:p>
        </w:tc>
        <w:tc>
          <w:tcPr>
            <w:tcW w:w="324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Alternate director:</w:t>
            </w: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Francisco Garza Zambrano</w:t>
            </w:r>
          </w:p>
        </w:tc>
      </w:tr>
      <w:tr>
        <w:trPr>
          <w:trHeight w:val="336"/>
        </w:trPr>
        <w:tc>
          <w:tcPr>
            <w:tcW w:w="2800" w:type="dxa"/>
            <w:vAlign w:val="bottom"/>
          </w:tcPr>
          <w:p>
            <w:pPr>
              <w:spacing w:after="0"/>
              <w:rPr>
                <w:sz w:val="20"/>
                <w:szCs w:val="20"/>
                <w:color w:val="auto"/>
              </w:rPr>
            </w:pPr>
            <w:r>
              <w:rPr>
                <w:rFonts w:ascii="Courier New" w:cs="Courier New" w:eastAsia="Courier New" w:hAnsi="Courier New"/>
                <w:sz w:val="15"/>
                <w:szCs w:val="15"/>
                <w:color w:val="auto"/>
              </w:rPr>
              <w:t>Robert E. Denham</w:t>
            </w:r>
          </w:p>
        </w:tc>
        <w:tc>
          <w:tcPr>
            <w:tcW w:w="3240" w:type="dxa"/>
            <w:vAlign w:val="bottom"/>
          </w:tcPr>
          <w:p>
            <w:pPr>
              <w:ind w:left="1140"/>
              <w:spacing w:after="0"/>
              <w:rPr>
                <w:sz w:val="20"/>
                <w:szCs w:val="20"/>
                <w:color w:val="auto"/>
              </w:rPr>
            </w:pPr>
            <w:r>
              <w:rPr>
                <w:rFonts w:ascii="Courier New" w:cs="Courier New" w:eastAsia="Courier New" w:hAnsi="Courier New"/>
                <w:sz w:val="15"/>
                <w:szCs w:val="15"/>
                <w:color w:val="auto"/>
              </w:rPr>
              <w:t>Born:</w:t>
            </w:r>
          </w:p>
        </w:tc>
        <w:tc>
          <w:tcPr>
            <w:tcW w:w="5500" w:type="dxa"/>
            <w:vAlign w:val="bottom"/>
          </w:tcPr>
          <w:p>
            <w:pPr>
              <w:ind w:left="260"/>
              <w:spacing w:after="0"/>
              <w:rPr>
                <w:sz w:val="20"/>
                <w:szCs w:val="20"/>
                <w:color w:val="auto"/>
              </w:rPr>
            </w:pPr>
            <w:r>
              <w:rPr>
                <w:rFonts w:ascii="Courier New" w:cs="Courier New" w:eastAsia="Courier New" w:hAnsi="Courier New"/>
                <w:sz w:val="15"/>
                <w:szCs w:val="15"/>
                <w:color w:val="auto"/>
              </w:rPr>
              <w:t>August 1945</w:t>
            </w:r>
          </w:p>
        </w:tc>
      </w:tr>
      <w:tr>
        <w:trPr>
          <w:trHeight w:val="168"/>
        </w:trPr>
        <w:tc>
          <w:tcPr>
            <w:tcW w:w="28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Director</w:t>
            </w:r>
          </w:p>
        </w:tc>
        <w:tc>
          <w:tcPr>
            <w:tcW w:w="324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First elected:</w:t>
            </w: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2800" w:type="dxa"/>
            <w:vAlign w:val="bottom"/>
          </w:tcPr>
          <w:p>
            <w:pPr>
              <w:spacing w:after="0"/>
              <w:rPr>
                <w:sz w:val="14"/>
                <w:szCs w:val="14"/>
                <w:color w:val="auto"/>
              </w:rPr>
            </w:pPr>
          </w:p>
        </w:tc>
        <w:tc>
          <w:tcPr>
            <w:tcW w:w="324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Term expires:</w:t>
            </w: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2004</w:t>
            </w:r>
          </w:p>
        </w:tc>
      </w:tr>
      <w:tr>
        <w:trPr>
          <w:trHeight w:val="168"/>
        </w:trPr>
        <w:tc>
          <w:tcPr>
            <w:tcW w:w="2800" w:type="dxa"/>
            <w:vAlign w:val="bottom"/>
          </w:tcPr>
          <w:p>
            <w:pPr>
              <w:spacing w:after="0"/>
              <w:rPr>
                <w:sz w:val="14"/>
                <w:szCs w:val="14"/>
                <w:color w:val="auto"/>
              </w:rPr>
            </w:pPr>
          </w:p>
        </w:tc>
        <w:tc>
          <w:tcPr>
            <w:tcW w:w="324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Principal occupation:</w:t>
            </w: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Partner of Munger, Tolles &amp; Olson LLP law firm</w:t>
            </w:r>
          </w:p>
        </w:tc>
      </w:tr>
      <w:tr>
        <w:trPr>
          <w:trHeight w:val="168"/>
        </w:trPr>
        <w:tc>
          <w:tcPr>
            <w:tcW w:w="2800" w:type="dxa"/>
            <w:vAlign w:val="bottom"/>
          </w:tcPr>
          <w:p>
            <w:pPr>
              <w:spacing w:after="0"/>
              <w:rPr>
                <w:sz w:val="14"/>
                <w:szCs w:val="14"/>
                <w:color w:val="auto"/>
              </w:rPr>
            </w:pPr>
          </w:p>
        </w:tc>
        <w:tc>
          <w:tcPr>
            <w:tcW w:w="324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Other directorships:</w:t>
            </w: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Member of the Boards of Wesco Financial</w:t>
            </w:r>
          </w:p>
        </w:tc>
      </w:tr>
      <w:tr>
        <w:trPr>
          <w:trHeight w:val="168"/>
        </w:trPr>
        <w:tc>
          <w:tcPr>
            <w:tcW w:w="28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Corporation, US Trust Company, and Lucent</w:t>
            </w:r>
          </w:p>
        </w:tc>
      </w:tr>
      <w:tr>
        <w:trPr>
          <w:trHeight w:val="168"/>
        </w:trPr>
        <w:tc>
          <w:tcPr>
            <w:tcW w:w="28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Technologies, Inc.</w:t>
            </w:r>
          </w:p>
        </w:tc>
      </w:tr>
      <w:tr>
        <w:trPr>
          <w:trHeight w:val="168"/>
        </w:trPr>
        <w:tc>
          <w:tcPr>
            <w:tcW w:w="2800" w:type="dxa"/>
            <w:vAlign w:val="bottom"/>
          </w:tcPr>
          <w:p>
            <w:pPr>
              <w:spacing w:after="0"/>
              <w:rPr>
                <w:sz w:val="14"/>
                <w:szCs w:val="14"/>
                <w:color w:val="auto"/>
              </w:rPr>
            </w:pPr>
          </w:p>
        </w:tc>
        <w:tc>
          <w:tcPr>
            <w:tcW w:w="324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Business experience:</w:t>
            </w: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Former Chief Executive Officer of Salomon</w:t>
            </w:r>
          </w:p>
        </w:tc>
      </w:tr>
      <w:tr>
        <w:trPr>
          <w:trHeight w:val="168"/>
        </w:trPr>
        <w:tc>
          <w:tcPr>
            <w:tcW w:w="28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Inc., Representative to the APEC Business</w:t>
            </w:r>
          </w:p>
        </w:tc>
      </w:tr>
      <w:tr>
        <w:trPr>
          <w:trHeight w:val="168"/>
        </w:trPr>
        <w:tc>
          <w:tcPr>
            <w:tcW w:w="28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Advisory Council, Member of the OECD Business</w:t>
            </w:r>
          </w:p>
        </w:tc>
      </w:tr>
      <w:tr>
        <w:trPr>
          <w:trHeight w:val="168"/>
        </w:trPr>
        <w:tc>
          <w:tcPr>
            <w:tcW w:w="28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Sector Advisory Group on Corporate</w:t>
            </w:r>
          </w:p>
        </w:tc>
      </w:tr>
      <w:tr>
        <w:trPr>
          <w:trHeight w:val="168"/>
        </w:trPr>
        <w:tc>
          <w:tcPr>
            <w:tcW w:w="28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Governance.</w:t>
            </w:r>
          </w:p>
        </w:tc>
      </w:tr>
      <w:tr>
        <w:trPr>
          <w:trHeight w:val="168"/>
        </w:trPr>
        <w:tc>
          <w:tcPr>
            <w:tcW w:w="2800" w:type="dxa"/>
            <w:vAlign w:val="bottom"/>
          </w:tcPr>
          <w:p>
            <w:pPr>
              <w:spacing w:after="0"/>
              <w:rPr>
                <w:sz w:val="14"/>
                <w:szCs w:val="14"/>
                <w:color w:val="auto"/>
              </w:rPr>
            </w:pPr>
          </w:p>
        </w:tc>
        <w:tc>
          <w:tcPr>
            <w:tcW w:w="324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Other experience:</w:t>
            </w: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Magna cum laude graduate from the University of Texas,</w:t>
            </w:r>
          </w:p>
        </w:tc>
      </w:tr>
      <w:tr>
        <w:trPr>
          <w:trHeight w:val="168"/>
        </w:trPr>
        <w:tc>
          <w:tcPr>
            <w:tcW w:w="28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9"/>
              </w:rPr>
              <w:t>holds a JD from Harvard Law School and a masters degree in</w:t>
            </w:r>
          </w:p>
        </w:tc>
      </w:tr>
      <w:tr>
        <w:trPr>
          <w:trHeight w:val="168"/>
        </w:trPr>
        <w:tc>
          <w:tcPr>
            <w:tcW w:w="28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Government from Harvard University.</w:t>
            </w:r>
          </w:p>
        </w:tc>
      </w:tr>
      <w:tr>
        <w:trPr>
          <w:trHeight w:val="168"/>
        </w:trPr>
        <w:tc>
          <w:tcPr>
            <w:tcW w:w="2800" w:type="dxa"/>
            <w:vAlign w:val="bottom"/>
          </w:tcPr>
          <w:p>
            <w:pPr>
              <w:spacing w:after="0"/>
              <w:rPr>
                <w:sz w:val="14"/>
                <w:szCs w:val="14"/>
                <w:color w:val="auto"/>
              </w:rPr>
            </w:pPr>
          </w:p>
        </w:tc>
        <w:tc>
          <w:tcPr>
            <w:tcW w:w="324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Alternate director:</w:t>
            </w: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Sergio Deschamps Ebergenyi</w:t>
            </w:r>
          </w:p>
        </w:tc>
      </w:tr>
    </w:tbl>
    <w:p>
      <w:pPr>
        <w:spacing w:after="0" w:line="335" w:lineRule="exact"/>
        <w:rPr>
          <w:sz w:val="20"/>
          <w:szCs w:val="20"/>
          <w:color w:val="auto"/>
        </w:rPr>
      </w:pPr>
    </w:p>
    <w:p>
      <w:pPr>
        <w:ind w:left="540" w:hanging="530"/>
        <w:spacing w:after="0"/>
        <w:tabs>
          <w:tab w:leader="none" w:pos="54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Son-in-law of Eugenio Garza Laguera.</w:t>
      </w:r>
    </w:p>
    <w:p>
      <w:pPr>
        <w:ind w:left="540" w:hanging="530"/>
        <w:spacing w:after="0" w:line="237" w:lineRule="auto"/>
        <w:tabs>
          <w:tab w:leader="none" w:pos="54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Sister of Eugenio Garza Laguera.</w:t>
      </w:r>
    </w:p>
    <w:p>
      <w:pPr>
        <w:ind w:left="540" w:hanging="530"/>
        <w:spacing w:after="0" w:line="237" w:lineRule="auto"/>
        <w:tabs>
          <w:tab w:leader="none" w:pos="54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Daughter of Eugenio Garza Laguera.</w:t>
      </w:r>
    </w:p>
    <w:p>
      <w:pPr>
        <w:ind w:left="540" w:hanging="530"/>
        <w:spacing w:after="0" w:line="237" w:lineRule="auto"/>
        <w:tabs>
          <w:tab w:leader="none" w:pos="54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Son of Jose Calderon Sr.</w:t>
      </w:r>
    </w:p>
    <w:p>
      <w:pPr>
        <w:ind w:left="540" w:hanging="530"/>
        <w:spacing w:after="0" w:line="237" w:lineRule="auto"/>
        <w:tabs>
          <w:tab w:leader="none" w:pos="54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Cousin of Eugenio Garza Laguera.</w:t>
      </w:r>
    </w:p>
    <w:p>
      <w:pPr>
        <w:ind w:left="540" w:hanging="530"/>
        <w:spacing w:after="0" w:line="237" w:lineRule="auto"/>
        <w:tabs>
          <w:tab w:leader="none" w:pos="54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Husband of Consuelo Garza de Garza.</w:t>
      </w:r>
    </w:p>
    <w:p>
      <w:pPr>
        <w:ind w:left="540" w:hanging="530"/>
        <w:spacing w:after="0" w:line="237" w:lineRule="auto"/>
        <w:tabs>
          <w:tab w:leader="none" w:pos="54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Son of Max Michel Suberville.</w:t>
      </w:r>
    </w:p>
    <w:p>
      <w:pPr>
        <w:ind w:left="540" w:hanging="530"/>
        <w:spacing w:after="0" w:line="237" w:lineRule="auto"/>
        <w:tabs>
          <w:tab w:leader="none" w:pos="54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Wife of Jose Antonio Fernandez.</w:t>
      </w:r>
    </w:p>
    <w:p>
      <w:pPr>
        <w:ind w:left="540" w:hanging="530"/>
        <w:spacing w:after="0" w:line="237" w:lineRule="auto"/>
        <w:tabs>
          <w:tab w:leader="none" w:pos="54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Sister-in-law of Jose Antonio Fernandez and Juan Carlos Braniff Hierro</w:t>
      </w:r>
    </w:p>
    <w:p>
      <w:pPr>
        <w:ind w:left="540" w:hanging="530"/>
        <w:spacing w:after="0" w:line="237" w:lineRule="auto"/>
        <w:tabs>
          <w:tab w:leader="none" w:pos="54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Nephew of Max Michel Suberville</w:t>
      </w:r>
    </w:p>
    <w:p>
      <w:pPr>
        <w:ind w:left="540" w:hanging="530"/>
        <w:spacing w:after="0" w:line="237" w:lineRule="auto"/>
        <w:tabs>
          <w:tab w:leader="none" w:pos="54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Wife of Juan Carlos Braniff Examiner</w:t>
      </w:r>
    </w:p>
    <w:p>
      <w:pPr>
        <w:spacing w:after="0" w:line="173" w:lineRule="exact"/>
        <w:rPr>
          <w:sz w:val="20"/>
          <w:szCs w:val="20"/>
          <w:color w:val="auto"/>
        </w:rPr>
      </w:pPr>
    </w:p>
    <w:p>
      <w:pPr>
        <w:jc w:val="both"/>
        <w:ind w:right="4620" w:firstLine="787"/>
        <w:spacing w:after="0" w:line="236" w:lineRule="auto"/>
        <w:rPr>
          <w:sz w:val="20"/>
          <w:szCs w:val="20"/>
          <w:color w:val="auto"/>
        </w:rPr>
      </w:pPr>
      <w:r>
        <w:rPr>
          <w:rFonts w:ascii="Courier New" w:cs="Courier New" w:eastAsia="Courier New" w:hAnsi="Courier New"/>
          <w:sz w:val="15"/>
          <w:szCs w:val="15"/>
          <w:color w:val="auto"/>
        </w:rPr>
        <w:t>Under Mexican law, an examiner (the "examiner") must be elected by the shareholders at the annual ordinary general shareholders' meeting for a term of one year. At our subsequent annual ordinary general shareholders' meeting, the examiner is required to review the affairs of the company and report as to the accuracy of the financial information presented to shareholders by the Board of Directors. The examiner is also authorized:</w:t>
      </w:r>
    </w:p>
    <w:p>
      <w:pPr>
        <w:spacing w:after="0" w:line="168" w:lineRule="exact"/>
        <w:rPr>
          <w:sz w:val="20"/>
          <w:szCs w:val="20"/>
          <w:color w:val="auto"/>
        </w:rPr>
      </w:pPr>
    </w:p>
    <w:p>
      <w:pPr>
        <w:ind w:left="180" w:hanging="170"/>
        <w:spacing w:after="0"/>
        <w:tabs>
          <w:tab w:leader="none" w:pos="18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to call ordinary or extraordinary general shareholders' meetings;</w:t>
      </w:r>
    </w:p>
    <w:p>
      <w:pPr>
        <w:spacing w:after="0" w:line="172" w:lineRule="exact"/>
        <w:rPr>
          <w:rFonts w:ascii="Courier New" w:cs="Courier New" w:eastAsia="Courier New" w:hAnsi="Courier New"/>
          <w:sz w:val="15"/>
          <w:szCs w:val="15"/>
          <w:color w:val="auto"/>
        </w:rPr>
      </w:pPr>
    </w:p>
    <w:p>
      <w:pPr>
        <w:ind w:left="440" w:right="5060" w:hanging="430"/>
        <w:spacing w:after="0" w:line="234" w:lineRule="auto"/>
        <w:tabs>
          <w:tab w:leader="none" w:pos="178"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place items on the agenda for general shareholders' meetings and meetings of the Board of Directors; and</w:t>
      </w:r>
    </w:p>
    <w:p>
      <w:pPr>
        <w:spacing w:after="0" w:line="173" w:lineRule="exact"/>
        <w:rPr>
          <w:rFonts w:ascii="Courier New" w:cs="Courier New" w:eastAsia="Courier New" w:hAnsi="Courier New"/>
          <w:sz w:val="15"/>
          <w:szCs w:val="15"/>
          <w:color w:val="auto"/>
        </w:rPr>
      </w:pPr>
    </w:p>
    <w:p>
      <w:pPr>
        <w:ind w:left="440" w:right="4880" w:hanging="430"/>
        <w:spacing w:after="0" w:line="234" w:lineRule="auto"/>
        <w:tabs>
          <w:tab w:leader="none" w:pos="178"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attend general shareholders' meetings and meetings of the Board of Directors (without the right to vote).</w:t>
      </w:r>
    </w:p>
    <w:p>
      <w:pPr>
        <w:sectPr>
          <w:pgSz w:w="11900" w:h="16838" w:orient="portrait"/>
          <w:cols w:equalWidth="0" w:num="1">
            <w:col w:w="11540"/>
          </w:cols>
          <w:pgMar w:left="220" w:top="1122" w:right="139" w:bottom="0" w:gutter="0" w:footer="0" w:header="0"/>
        </w:sectPr>
      </w:pPr>
    </w:p>
    <w:bookmarkStart w:id="116" w:name="page117"/>
    <w:bookmarkEnd w:id="116"/>
    <w:p>
      <w:pPr>
        <w:ind w:left="2120"/>
        <w:spacing w:after="0"/>
        <w:rPr>
          <w:sz w:val="20"/>
          <w:szCs w:val="20"/>
          <w:color w:val="auto"/>
        </w:rPr>
      </w:pPr>
      <w:r>
        <w:rPr>
          <w:rFonts w:ascii="Courier New" w:cs="Courier New" w:eastAsia="Courier New" w:hAnsi="Courier New"/>
          <w:sz w:val="14"/>
          <w:szCs w:val="14"/>
          <w:color w:val="auto"/>
        </w:rPr>
        <w:t>109</w:t>
      </w:r>
    </w:p>
    <w:p>
      <w:pPr>
        <w:sectPr>
          <w:pgSz w:w="11900" w:h="16838" w:orient="portrait"/>
          <w:cols w:equalWidth="0" w:num="1">
            <w:col w:w="9019"/>
          </w:cols>
          <w:pgMar w:left="1440" w:top="478" w:right="1440" w:bottom="1440" w:gutter="0" w:footer="0" w:header="0"/>
        </w:sectPr>
      </w:pPr>
    </w:p>
    <w:bookmarkStart w:id="117" w:name="page118"/>
    <w:bookmarkEnd w:id="117"/>
    <w:p>
      <w:pPr>
        <w:ind w:right="4700" w:firstLine="437"/>
        <w:spacing w:after="0" w:line="235" w:lineRule="auto"/>
        <w:rPr>
          <w:sz w:val="20"/>
          <w:szCs w:val="20"/>
          <w:color w:val="auto"/>
        </w:rPr>
      </w:pPr>
      <w:r>
        <w:rPr>
          <w:rFonts w:ascii="Courier New" w:cs="Courier New" w:eastAsia="Courier New" w:hAnsi="Courier New"/>
          <w:sz w:val="15"/>
          <w:szCs w:val="15"/>
          <w:color w:val="auto"/>
        </w:rPr>
        <w:t>The examiner also receives periodic reports from the Board of Directors regarding material aspects of our affairs and financial condition. Our current examiner is Ernesto Gonzalez Davila, who was appointed in 2003. The current alternate examiner is Ernesto Cruz Velazquez de Leon.</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Senior Management</w:t>
      </w:r>
    </w:p>
    <w:p>
      <w:pPr>
        <w:spacing w:after="0" w:line="173" w:lineRule="exact"/>
        <w:rPr>
          <w:sz w:val="20"/>
          <w:szCs w:val="20"/>
          <w:color w:val="auto"/>
        </w:rPr>
      </w:pPr>
    </w:p>
    <w:p>
      <w:pPr>
        <w:jc w:val="both"/>
        <w:ind w:right="4800" w:firstLine="437"/>
        <w:spacing w:after="0" w:line="235" w:lineRule="auto"/>
        <w:rPr>
          <w:sz w:val="20"/>
          <w:szCs w:val="20"/>
          <w:color w:val="auto"/>
        </w:rPr>
      </w:pPr>
      <w:r>
        <w:rPr>
          <w:rFonts w:ascii="Courier New" w:cs="Courier New" w:eastAsia="Courier New" w:hAnsi="Courier New"/>
          <w:sz w:val="15"/>
          <w:szCs w:val="15"/>
          <w:color w:val="auto"/>
        </w:rPr>
        <w:t>The names and positions of our current senior management and that of our principal subholding companies, their dates of birth and information on their principal business activities outside of FEMSA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20" w:type="dxa"/>
            <w:vAlign w:val="bottom"/>
            <w:gridSpan w:val="2"/>
          </w:tcPr>
          <w:p>
            <w:pPr>
              <w:ind w:left="2720"/>
              <w:spacing w:after="0"/>
              <w:rPr>
                <w:sz w:val="20"/>
                <w:szCs w:val="20"/>
                <w:color w:val="auto"/>
              </w:rPr>
            </w:pPr>
            <w:r>
              <w:rPr>
                <w:rFonts w:ascii="Courier New" w:cs="Courier New" w:eastAsia="Courier New" w:hAnsi="Courier New"/>
                <w:sz w:val="15"/>
                <w:szCs w:val="15"/>
                <w:color w:val="auto"/>
              </w:rPr>
              <w:t>Executive Officers</w:t>
            </w:r>
          </w:p>
        </w:tc>
        <w:tc>
          <w:tcPr>
            <w:tcW w:w="5320" w:type="dxa"/>
            <w:vAlign w:val="bottom"/>
          </w:tcPr>
          <w:p>
            <w:pPr>
              <w:spacing w:after="0"/>
              <w:rPr>
                <w:sz w:val="14"/>
                <w:szCs w:val="14"/>
                <w:color w:val="auto"/>
              </w:rPr>
            </w:pPr>
          </w:p>
        </w:tc>
      </w:tr>
      <w:tr>
        <w:trPr>
          <w:trHeight w:val="673"/>
        </w:trPr>
        <w:tc>
          <w:tcPr>
            <w:tcW w:w="3080" w:type="dxa"/>
            <w:vAlign w:val="bottom"/>
          </w:tcPr>
          <w:p>
            <w:pPr>
              <w:spacing w:after="0"/>
              <w:rPr>
                <w:sz w:val="20"/>
                <w:szCs w:val="20"/>
                <w:color w:val="auto"/>
              </w:rPr>
            </w:pPr>
            <w:r>
              <w:rPr>
                <w:rFonts w:ascii="Courier New" w:cs="Courier New" w:eastAsia="Courier New" w:hAnsi="Courier New"/>
                <w:sz w:val="15"/>
                <w:szCs w:val="15"/>
                <w:color w:val="auto"/>
              </w:rPr>
              <w:t>FEMSA</w:t>
            </w:r>
          </w:p>
        </w:tc>
        <w:tc>
          <w:tcPr>
            <w:tcW w:w="3140" w:type="dxa"/>
            <w:vAlign w:val="bottom"/>
          </w:tcPr>
          <w:p>
            <w:pPr>
              <w:spacing w:after="0"/>
              <w:rPr>
                <w:sz w:val="24"/>
                <w:szCs w:val="24"/>
                <w:color w:val="auto"/>
              </w:rPr>
            </w:pPr>
          </w:p>
        </w:tc>
        <w:tc>
          <w:tcPr>
            <w:tcW w:w="5320" w:type="dxa"/>
            <w:vAlign w:val="bottom"/>
          </w:tcPr>
          <w:p>
            <w:pPr>
              <w:spacing w:after="0"/>
              <w:rPr>
                <w:sz w:val="24"/>
                <w:szCs w:val="24"/>
                <w:color w:val="auto"/>
              </w:rPr>
            </w:pP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Jose Antonio Fernandez</w:t>
            </w:r>
          </w:p>
        </w:tc>
        <w:tc>
          <w:tcPr>
            <w:tcW w:w="3140" w:type="dxa"/>
            <w:vAlign w:val="bottom"/>
          </w:tcPr>
          <w:p>
            <w:pPr>
              <w:spacing w:after="0"/>
              <w:rPr>
                <w:sz w:val="14"/>
                <w:szCs w:val="14"/>
                <w:color w:val="auto"/>
              </w:rPr>
            </w:pPr>
          </w:p>
        </w:tc>
        <w:tc>
          <w:tcPr>
            <w:tcW w:w="5320" w:type="dxa"/>
            <w:vAlign w:val="bottom"/>
          </w:tcPr>
          <w:p>
            <w:pPr>
              <w:spacing w:after="0"/>
              <w:rPr>
                <w:sz w:val="14"/>
                <w:szCs w:val="14"/>
                <w:color w:val="auto"/>
              </w:rPr>
            </w:pPr>
          </w:p>
        </w:tc>
      </w:tr>
      <w:tr>
        <w:trPr>
          <w:trHeight w:val="168"/>
        </w:trPr>
        <w:tc>
          <w:tcPr>
            <w:tcW w:w="30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Chief Executive Officer</w:t>
            </w:r>
          </w:p>
        </w:tc>
        <w:tc>
          <w:tcPr>
            <w:tcW w:w="846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rPr>
              <w:t>See "--Board of Directors of FEMSA."</w:t>
            </w:r>
          </w:p>
        </w:tc>
      </w:tr>
      <w:tr>
        <w:trPr>
          <w:trHeight w:val="168"/>
        </w:trPr>
        <w:tc>
          <w:tcPr>
            <w:tcW w:w="3080" w:type="dxa"/>
            <w:vAlign w:val="bottom"/>
          </w:tcPr>
          <w:p>
            <w:pPr>
              <w:spacing w:after="0"/>
              <w:rPr>
                <w:sz w:val="14"/>
                <w:szCs w:val="14"/>
                <w:color w:val="auto"/>
              </w:rPr>
            </w:pPr>
          </w:p>
        </w:tc>
        <w:tc>
          <w:tcPr>
            <w:tcW w:w="31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Joined FEMSA:</w:t>
            </w:r>
          </w:p>
        </w:tc>
        <w:tc>
          <w:tcPr>
            <w:tcW w:w="5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1987</w:t>
            </w:r>
          </w:p>
        </w:tc>
      </w:tr>
      <w:tr>
        <w:trPr>
          <w:trHeight w:val="168"/>
        </w:trPr>
        <w:tc>
          <w:tcPr>
            <w:tcW w:w="3080" w:type="dxa"/>
            <w:vAlign w:val="bottom"/>
          </w:tcPr>
          <w:p>
            <w:pPr>
              <w:spacing w:after="0"/>
              <w:rPr>
                <w:sz w:val="14"/>
                <w:szCs w:val="14"/>
                <w:color w:val="auto"/>
              </w:rPr>
            </w:pPr>
          </w:p>
        </w:tc>
        <w:tc>
          <w:tcPr>
            <w:tcW w:w="31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Appointed to current position:</w:t>
            </w:r>
          </w:p>
        </w:tc>
        <w:tc>
          <w:tcPr>
            <w:tcW w:w="5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1994</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Federico Reyes</w:t>
            </w:r>
          </w:p>
        </w:tc>
        <w:tc>
          <w:tcPr>
            <w:tcW w:w="31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Born:</w:t>
            </w:r>
          </w:p>
        </w:tc>
        <w:tc>
          <w:tcPr>
            <w:tcW w:w="5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September 1945</w:t>
            </w:r>
          </w:p>
        </w:tc>
      </w:tr>
      <w:tr>
        <w:trPr>
          <w:trHeight w:val="168"/>
        </w:trPr>
        <w:tc>
          <w:tcPr>
            <w:tcW w:w="30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Executive Vice President of</w:t>
            </w:r>
          </w:p>
        </w:tc>
        <w:tc>
          <w:tcPr>
            <w:tcW w:w="31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Joined FEMSA:</w:t>
            </w:r>
          </w:p>
        </w:tc>
        <w:tc>
          <w:tcPr>
            <w:tcW w:w="5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30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Planning and Finance</w:t>
            </w:r>
          </w:p>
        </w:tc>
        <w:tc>
          <w:tcPr>
            <w:tcW w:w="31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Appointed to current position:</w:t>
            </w:r>
          </w:p>
        </w:tc>
        <w:tc>
          <w:tcPr>
            <w:tcW w:w="5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3080" w:type="dxa"/>
            <w:vAlign w:val="bottom"/>
          </w:tcPr>
          <w:p>
            <w:pPr>
              <w:spacing w:after="0"/>
              <w:rPr>
                <w:sz w:val="14"/>
                <w:szCs w:val="14"/>
                <w:color w:val="auto"/>
              </w:rPr>
            </w:pPr>
          </w:p>
        </w:tc>
        <w:tc>
          <w:tcPr>
            <w:tcW w:w="31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Directorships:</w:t>
            </w:r>
          </w:p>
        </w:tc>
        <w:tc>
          <w:tcPr>
            <w:tcW w:w="5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Vice Chairman of the Board of Seguros</w:t>
            </w:r>
          </w:p>
        </w:tc>
      </w:tr>
      <w:tr>
        <w:trPr>
          <w:trHeight w:val="168"/>
        </w:trPr>
        <w:tc>
          <w:tcPr>
            <w:tcW w:w="30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5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Monterrey New York Life, S.A., Chairman of</w:t>
            </w:r>
          </w:p>
        </w:tc>
      </w:tr>
      <w:tr>
        <w:trPr>
          <w:trHeight w:val="168"/>
        </w:trPr>
        <w:tc>
          <w:tcPr>
            <w:tcW w:w="30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5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the Board of Review of Fianzas Monterrey,</w:t>
            </w:r>
          </w:p>
        </w:tc>
      </w:tr>
      <w:tr>
        <w:trPr>
          <w:trHeight w:val="168"/>
        </w:trPr>
        <w:tc>
          <w:tcPr>
            <w:tcW w:w="30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5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S.A. and Member of the Board of the UDEM.</w:t>
            </w:r>
          </w:p>
        </w:tc>
      </w:tr>
      <w:tr>
        <w:trPr>
          <w:trHeight w:val="168"/>
        </w:trPr>
        <w:tc>
          <w:tcPr>
            <w:tcW w:w="3080" w:type="dxa"/>
            <w:vAlign w:val="bottom"/>
          </w:tcPr>
          <w:p>
            <w:pPr>
              <w:spacing w:after="0"/>
              <w:rPr>
                <w:sz w:val="14"/>
                <w:szCs w:val="14"/>
                <w:color w:val="auto"/>
              </w:rPr>
            </w:pPr>
          </w:p>
        </w:tc>
        <w:tc>
          <w:tcPr>
            <w:tcW w:w="31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Business experience within</w:t>
            </w:r>
          </w:p>
        </w:tc>
        <w:tc>
          <w:tcPr>
            <w:tcW w:w="5320" w:type="dxa"/>
            <w:vAlign w:val="bottom"/>
          </w:tcPr>
          <w:p>
            <w:pPr>
              <w:spacing w:after="0"/>
              <w:rPr>
                <w:sz w:val="14"/>
                <w:szCs w:val="14"/>
                <w:color w:val="auto"/>
              </w:rPr>
            </w:pPr>
          </w:p>
        </w:tc>
      </w:tr>
      <w:tr>
        <w:trPr>
          <w:trHeight w:val="168"/>
        </w:trPr>
        <w:tc>
          <w:tcPr>
            <w:tcW w:w="3080" w:type="dxa"/>
            <w:vAlign w:val="bottom"/>
          </w:tcPr>
          <w:p>
            <w:pPr>
              <w:spacing w:after="0"/>
              <w:rPr>
                <w:sz w:val="14"/>
                <w:szCs w:val="14"/>
                <w:color w:val="auto"/>
              </w:rPr>
            </w:pPr>
          </w:p>
        </w:tc>
        <w:tc>
          <w:tcPr>
            <w:tcW w:w="31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FEMSA:</w:t>
            </w:r>
          </w:p>
        </w:tc>
        <w:tc>
          <w:tcPr>
            <w:tcW w:w="5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Director of Corporate Development, 1992</w:t>
            </w:r>
          </w:p>
        </w:tc>
      </w:tr>
      <w:tr>
        <w:trPr>
          <w:trHeight w:val="168"/>
        </w:trPr>
        <w:tc>
          <w:tcPr>
            <w:tcW w:w="3080" w:type="dxa"/>
            <w:vAlign w:val="bottom"/>
          </w:tcPr>
          <w:p>
            <w:pPr>
              <w:spacing w:after="0"/>
              <w:rPr>
                <w:sz w:val="14"/>
                <w:szCs w:val="14"/>
                <w:color w:val="auto"/>
              </w:rPr>
            </w:pPr>
          </w:p>
        </w:tc>
        <w:tc>
          <w:tcPr>
            <w:tcW w:w="31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Other business experience:</w:t>
            </w:r>
          </w:p>
        </w:tc>
        <w:tc>
          <w:tcPr>
            <w:tcW w:w="5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Holds a degree in business and finance from ITESM. Has</w:t>
            </w:r>
          </w:p>
        </w:tc>
      </w:tr>
      <w:tr>
        <w:trPr>
          <w:trHeight w:val="168"/>
        </w:trPr>
        <w:tc>
          <w:tcPr>
            <w:tcW w:w="30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5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worked as Director of Corporate Staff at Grupo AXA and has</w:t>
            </w:r>
          </w:p>
        </w:tc>
      </w:tr>
      <w:tr>
        <w:trPr>
          <w:trHeight w:val="168"/>
        </w:trPr>
        <w:tc>
          <w:tcPr>
            <w:tcW w:w="30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5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extensive experience in the insurance sector, working eight</w:t>
            </w:r>
          </w:p>
        </w:tc>
      </w:tr>
      <w:tr>
        <w:trPr>
          <w:trHeight w:val="168"/>
        </w:trPr>
        <w:tc>
          <w:tcPr>
            <w:tcW w:w="30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5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years in Valores de Monterrey, S.A. de C.V., six of them as</w:t>
            </w:r>
          </w:p>
        </w:tc>
      </w:tr>
      <w:tr>
        <w:trPr>
          <w:trHeight w:val="168"/>
        </w:trPr>
        <w:tc>
          <w:tcPr>
            <w:tcW w:w="30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5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Chief Executive Officer.</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Jose Gonzalez Ornelas</w:t>
            </w:r>
          </w:p>
        </w:tc>
        <w:tc>
          <w:tcPr>
            <w:tcW w:w="31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Born:</w:t>
            </w:r>
          </w:p>
        </w:tc>
        <w:tc>
          <w:tcPr>
            <w:tcW w:w="5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April 1951</w:t>
            </w:r>
          </w:p>
        </w:tc>
      </w:tr>
      <w:tr>
        <w:trPr>
          <w:trHeight w:val="168"/>
        </w:trPr>
        <w:tc>
          <w:tcPr>
            <w:tcW w:w="30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Executive Vice President of</w:t>
            </w:r>
          </w:p>
        </w:tc>
        <w:tc>
          <w:tcPr>
            <w:tcW w:w="31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Joined FEMSA:</w:t>
            </w:r>
          </w:p>
        </w:tc>
        <w:tc>
          <w:tcPr>
            <w:tcW w:w="5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1973</w:t>
            </w:r>
          </w:p>
        </w:tc>
      </w:tr>
      <w:tr>
        <w:trPr>
          <w:trHeight w:val="168"/>
        </w:trPr>
        <w:tc>
          <w:tcPr>
            <w:tcW w:w="30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Internal Auditing</w:t>
            </w:r>
          </w:p>
        </w:tc>
        <w:tc>
          <w:tcPr>
            <w:tcW w:w="31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Appointed to current position:</w:t>
            </w:r>
          </w:p>
        </w:tc>
        <w:tc>
          <w:tcPr>
            <w:tcW w:w="5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3080" w:type="dxa"/>
            <w:vAlign w:val="bottom"/>
          </w:tcPr>
          <w:p>
            <w:pPr>
              <w:spacing w:after="0"/>
              <w:rPr>
                <w:sz w:val="14"/>
                <w:szCs w:val="14"/>
                <w:color w:val="auto"/>
              </w:rPr>
            </w:pPr>
          </w:p>
        </w:tc>
        <w:tc>
          <w:tcPr>
            <w:tcW w:w="846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w w:val="99"/>
              </w:rPr>
              <w:t>Business experience within FEMSA: Has held several managerial positions in FEMSA including</w:t>
            </w:r>
          </w:p>
        </w:tc>
      </w:tr>
      <w:tr>
        <w:trPr>
          <w:trHeight w:val="168"/>
        </w:trPr>
        <w:tc>
          <w:tcPr>
            <w:tcW w:w="30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5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Chief Financial Officer of FEMSA Cerveza, Director of</w:t>
            </w:r>
          </w:p>
        </w:tc>
      </w:tr>
      <w:tr>
        <w:trPr>
          <w:trHeight w:val="168"/>
        </w:trPr>
        <w:tc>
          <w:tcPr>
            <w:tcW w:w="30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5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Planning and Corporate Development of FEMSA and Chief</w:t>
            </w:r>
          </w:p>
        </w:tc>
      </w:tr>
      <w:tr>
        <w:trPr>
          <w:trHeight w:val="168"/>
        </w:trPr>
        <w:tc>
          <w:tcPr>
            <w:tcW w:w="30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5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Executive Officer of FEMSA Logistica.</w:t>
            </w:r>
          </w:p>
        </w:tc>
      </w:tr>
      <w:tr>
        <w:trPr>
          <w:trHeight w:val="168"/>
        </w:trPr>
        <w:tc>
          <w:tcPr>
            <w:tcW w:w="3080" w:type="dxa"/>
            <w:vAlign w:val="bottom"/>
          </w:tcPr>
          <w:p>
            <w:pPr>
              <w:spacing w:after="0"/>
              <w:rPr>
                <w:sz w:val="14"/>
                <w:szCs w:val="14"/>
                <w:color w:val="auto"/>
              </w:rPr>
            </w:pPr>
          </w:p>
        </w:tc>
        <w:tc>
          <w:tcPr>
            <w:tcW w:w="31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Other</w:t>
            </w:r>
          </w:p>
        </w:tc>
        <w:tc>
          <w:tcPr>
            <w:tcW w:w="5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experience: Holds a CPA degree from the UANL and has</w:t>
            </w:r>
          </w:p>
        </w:tc>
      </w:tr>
      <w:tr>
        <w:trPr>
          <w:trHeight w:val="168"/>
        </w:trPr>
        <w:tc>
          <w:tcPr>
            <w:tcW w:w="30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5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post-graduate studies in business administration from IPA</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Ricardo Gonzalez</w:t>
            </w:r>
          </w:p>
        </w:tc>
        <w:tc>
          <w:tcPr>
            <w:tcW w:w="31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Born:</w:t>
            </w:r>
          </w:p>
        </w:tc>
        <w:tc>
          <w:tcPr>
            <w:tcW w:w="5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August 1955</w:t>
            </w:r>
          </w:p>
        </w:tc>
      </w:tr>
      <w:tr>
        <w:trPr>
          <w:trHeight w:val="168"/>
        </w:trPr>
        <w:tc>
          <w:tcPr>
            <w:tcW w:w="30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Executive Vice President of</w:t>
            </w:r>
          </w:p>
        </w:tc>
        <w:tc>
          <w:tcPr>
            <w:tcW w:w="31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Joined FEMSA:</w:t>
            </w:r>
          </w:p>
        </w:tc>
        <w:tc>
          <w:tcPr>
            <w:tcW w:w="5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30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Human Resources</w:t>
            </w:r>
          </w:p>
        </w:tc>
        <w:tc>
          <w:tcPr>
            <w:tcW w:w="31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Appointed to current position:</w:t>
            </w:r>
          </w:p>
        </w:tc>
        <w:tc>
          <w:tcPr>
            <w:tcW w:w="5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3080" w:type="dxa"/>
            <w:vAlign w:val="bottom"/>
          </w:tcPr>
          <w:p>
            <w:pPr>
              <w:spacing w:after="0"/>
              <w:rPr>
                <w:sz w:val="14"/>
                <w:szCs w:val="14"/>
                <w:color w:val="auto"/>
              </w:rPr>
            </w:pPr>
          </w:p>
        </w:tc>
        <w:tc>
          <w:tcPr>
            <w:tcW w:w="846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rPr>
              <w:t>Business experience within FEMSA: Vice President of Strategic Planning. Held managerial</w:t>
            </w:r>
          </w:p>
        </w:tc>
      </w:tr>
      <w:tr>
        <w:trPr>
          <w:trHeight w:val="168"/>
        </w:trPr>
        <w:tc>
          <w:tcPr>
            <w:tcW w:w="30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5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positions in the human resources department of FEMSA from</w:t>
            </w:r>
          </w:p>
        </w:tc>
      </w:tr>
      <w:tr>
        <w:trPr>
          <w:trHeight w:val="168"/>
        </w:trPr>
        <w:tc>
          <w:tcPr>
            <w:tcW w:w="30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5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1977 to 1978.</w:t>
            </w:r>
          </w:p>
        </w:tc>
      </w:tr>
      <w:tr>
        <w:trPr>
          <w:trHeight w:val="336"/>
        </w:trPr>
        <w:tc>
          <w:tcPr>
            <w:tcW w:w="3080" w:type="dxa"/>
            <w:vAlign w:val="bottom"/>
          </w:tcPr>
          <w:p>
            <w:pPr>
              <w:spacing w:after="0"/>
              <w:rPr>
                <w:sz w:val="24"/>
                <w:szCs w:val="24"/>
                <w:color w:val="auto"/>
              </w:rPr>
            </w:pPr>
          </w:p>
        </w:tc>
        <w:tc>
          <w:tcPr>
            <w:tcW w:w="3140" w:type="dxa"/>
            <w:vAlign w:val="bottom"/>
          </w:tcPr>
          <w:p>
            <w:pPr>
              <w:ind w:left="340"/>
              <w:spacing w:after="0"/>
              <w:rPr>
                <w:sz w:val="20"/>
                <w:szCs w:val="20"/>
                <w:color w:val="auto"/>
              </w:rPr>
            </w:pPr>
            <w:r>
              <w:rPr>
                <w:rFonts w:ascii="Courier New" w:cs="Courier New" w:eastAsia="Courier New" w:hAnsi="Courier New"/>
                <w:sz w:val="15"/>
                <w:szCs w:val="15"/>
                <w:color w:val="auto"/>
              </w:rPr>
              <w:t>Other business experience:</w:t>
            </w:r>
          </w:p>
        </w:tc>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w w:val="98"/>
              </w:rPr>
              <w:t>Holds a degree in industrial and systems engineering from</w:t>
            </w:r>
          </w:p>
        </w:tc>
      </w:tr>
      <w:tr>
        <w:trPr>
          <w:trHeight w:val="168"/>
        </w:trPr>
        <w:tc>
          <w:tcPr>
            <w:tcW w:w="30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53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6"/>
              </w:rPr>
              <w:t>ITESM and an MBA from IESE, Barcelona. Had a 20-year caree</w:t>
            </w:r>
          </w:p>
        </w:tc>
      </w:tr>
      <w:tr>
        <w:trPr>
          <w:trHeight w:val="168"/>
        </w:trPr>
        <w:tc>
          <w:tcPr>
            <w:tcW w:w="30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53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in Grupo Vitro, three of them as Chairman and Chief</w:t>
            </w:r>
          </w:p>
        </w:tc>
      </w:tr>
      <w:tr>
        <w:trPr>
          <w:trHeight w:val="168"/>
        </w:trPr>
        <w:tc>
          <w:tcPr>
            <w:tcW w:w="30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53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Executive Officer of Vidrio Plano, S.A. de C.V.</w:t>
            </w:r>
          </w:p>
        </w:tc>
      </w:tr>
      <w:tr>
        <w:trPr>
          <w:trHeight w:val="673"/>
        </w:trPr>
        <w:tc>
          <w:tcPr>
            <w:tcW w:w="3080" w:type="dxa"/>
            <w:vAlign w:val="bottom"/>
          </w:tcPr>
          <w:p>
            <w:pPr>
              <w:spacing w:after="0"/>
              <w:rPr>
                <w:sz w:val="24"/>
                <w:szCs w:val="24"/>
                <w:color w:val="auto"/>
              </w:rPr>
            </w:pPr>
          </w:p>
        </w:tc>
        <w:tc>
          <w:tcPr>
            <w:tcW w:w="3140" w:type="dxa"/>
            <w:vAlign w:val="bottom"/>
          </w:tcPr>
          <w:p>
            <w:pPr>
              <w:ind w:left="260"/>
              <w:spacing w:after="0"/>
              <w:rPr>
                <w:sz w:val="20"/>
                <w:szCs w:val="20"/>
                <w:color w:val="auto"/>
              </w:rPr>
            </w:pPr>
            <w:r>
              <w:rPr>
                <w:rFonts w:ascii="Courier New" w:cs="Courier New" w:eastAsia="Courier New" w:hAnsi="Courier New"/>
                <w:sz w:val="15"/>
                <w:szCs w:val="15"/>
                <w:color w:val="auto"/>
              </w:rPr>
              <w:t>110</w:t>
            </w:r>
          </w:p>
        </w:tc>
        <w:tc>
          <w:tcPr>
            <w:tcW w:w="5320" w:type="dxa"/>
            <w:vAlign w:val="bottom"/>
          </w:tcPr>
          <w:p>
            <w:pPr>
              <w:spacing w:after="0"/>
              <w:rPr>
                <w:sz w:val="24"/>
                <w:szCs w:val="24"/>
                <w:color w:val="auto"/>
              </w:rPr>
            </w:pPr>
          </w:p>
        </w:tc>
      </w:tr>
    </w:tbl>
    <w:p>
      <w:pPr>
        <w:sectPr>
          <w:pgSz w:w="11900" w:h="16838" w:orient="portrait"/>
          <w:cols w:equalWidth="0" w:num="1">
            <w:col w:w="11540"/>
          </w:cols>
          <w:pgMar w:left="220" w:top="623" w:right="139" w:bottom="1440" w:gutter="0" w:footer="0" w:header="0"/>
        </w:sectPr>
      </w:pPr>
    </w:p>
    <w:bookmarkStart w:id="118" w:name="page119"/>
    <w:bookmarkEnd w:id="1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00" w:type="dxa"/>
            <w:vAlign w:val="bottom"/>
          </w:tcPr>
          <w:p>
            <w:pPr>
              <w:spacing w:after="0"/>
              <w:rPr>
                <w:sz w:val="20"/>
                <w:szCs w:val="20"/>
                <w:color w:val="auto"/>
              </w:rPr>
            </w:pPr>
            <w:r>
              <w:rPr>
                <w:rFonts w:ascii="Courier New" w:cs="Courier New" w:eastAsia="Courier New" w:hAnsi="Courier New"/>
                <w:sz w:val="15"/>
                <w:szCs w:val="15"/>
                <w:color w:val="auto"/>
              </w:rPr>
              <w:t>Carlos Aldrete</w:t>
            </w:r>
          </w:p>
        </w:tc>
        <w:tc>
          <w:tcPr>
            <w:tcW w:w="3380" w:type="dxa"/>
            <w:vAlign w:val="bottom"/>
          </w:tcPr>
          <w:p>
            <w:pPr>
              <w:ind w:left="620"/>
              <w:spacing w:after="0"/>
              <w:rPr>
                <w:sz w:val="20"/>
                <w:szCs w:val="20"/>
                <w:color w:val="auto"/>
              </w:rPr>
            </w:pPr>
            <w:r>
              <w:rPr>
                <w:rFonts w:ascii="Courier New" w:cs="Courier New" w:eastAsia="Courier New" w:hAnsi="Courier New"/>
                <w:sz w:val="15"/>
                <w:szCs w:val="15"/>
                <w:color w:val="auto"/>
              </w:rPr>
              <w:t>Born:</w:t>
            </w:r>
          </w:p>
        </w:tc>
        <w:tc>
          <w:tcPr>
            <w:tcW w:w="5360" w:type="dxa"/>
            <w:vAlign w:val="bottom"/>
          </w:tcPr>
          <w:p>
            <w:pPr>
              <w:ind w:left="120"/>
              <w:spacing w:after="0"/>
              <w:rPr>
                <w:sz w:val="20"/>
                <w:szCs w:val="20"/>
                <w:color w:val="auto"/>
              </w:rPr>
            </w:pPr>
            <w:r>
              <w:rPr>
                <w:rFonts w:ascii="Courier New" w:cs="Courier New" w:eastAsia="Courier New" w:hAnsi="Courier New"/>
                <w:sz w:val="15"/>
                <w:szCs w:val="15"/>
                <w:color w:val="auto"/>
              </w:rPr>
              <w:t>August 1956</w:t>
            </w:r>
          </w:p>
        </w:tc>
      </w:tr>
      <w:tr>
        <w:trPr>
          <w:trHeight w:val="168"/>
        </w:trPr>
        <w:tc>
          <w:tcPr>
            <w:tcW w:w="28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General Counsel</w:t>
            </w:r>
          </w:p>
        </w:tc>
        <w:tc>
          <w:tcPr>
            <w:tcW w:w="33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Joined FEMSA:</w:t>
            </w:r>
          </w:p>
        </w:tc>
        <w:tc>
          <w:tcPr>
            <w:tcW w:w="5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1979</w:t>
            </w:r>
          </w:p>
        </w:tc>
      </w:tr>
      <w:tr>
        <w:trPr>
          <w:trHeight w:val="168"/>
        </w:trPr>
        <w:tc>
          <w:tcPr>
            <w:tcW w:w="2800" w:type="dxa"/>
            <w:vAlign w:val="bottom"/>
          </w:tcPr>
          <w:p>
            <w:pPr>
              <w:spacing w:after="0"/>
              <w:rPr>
                <w:sz w:val="14"/>
                <w:szCs w:val="14"/>
                <w:color w:val="auto"/>
              </w:rPr>
            </w:pPr>
          </w:p>
        </w:tc>
        <w:tc>
          <w:tcPr>
            <w:tcW w:w="33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Appointed to current position:</w:t>
            </w:r>
          </w:p>
        </w:tc>
        <w:tc>
          <w:tcPr>
            <w:tcW w:w="5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2800" w:type="dxa"/>
            <w:vAlign w:val="bottom"/>
          </w:tcPr>
          <w:p>
            <w:pPr>
              <w:spacing w:after="0"/>
              <w:rPr>
                <w:sz w:val="14"/>
                <w:szCs w:val="14"/>
                <w:color w:val="auto"/>
              </w:rPr>
            </w:pPr>
          </w:p>
        </w:tc>
        <w:tc>
          <w:tcPr>
            <w:tcW w:w="33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Directorships:</w:t>
            </w:r>
          </w:p>
        </w:tc>
        <w:tc>
          <w:tcPr>
            <w:tcW w:w="5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Alternate Secretary of the Board of Directors</w:t>
            </w:r>
          </w:p>
        </w:tc>
      </w:tr>
      <w:tr>
        <w:trPr>
          <w:trHeight w:val="168"/>
        </w:trPr>
        <w:tc>
          <w:tcPr>
            <w:tcW w:w="28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5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of FEMSA and Secretary of the Board of</w:t>
            </w:r>
          </w:p>
        </w:tc>
      </w:tr>
      <w:tr>
        <w:trPr>
          <w:trHeight w:val="168"/>
        </w:trPr>
        <w:tc>
          <w:tcPr>
            <w:tcW w:w="28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5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Directors of all of the subholding companies.</w:t>
            </w:r>
          </w:p>
        </w:tc>
      </w:tr>
      <w:tr>
        <w:trPr>
          <w:trHeight w:val="168"/>
        </w:trPr>
        <w:tc>
          <w:tcPr>
            <w:tcW w:w="2800" w:type="dxa"/>
            <w:vAlign w:val="bottom"/>
          </w:tcPr>
          <w:p>
            <w:pPr>
              <w:spacing w:after="0"/>
              <w:rPr>
                <w:sz w:val="14"/>
                <w:szCs w:val="14"/>
                <w:color w:val="auto"/>
              </w:rPr>
            </w:pPr>
          </w:p>
        </w:tc>
        <w:tc>
          <w:tcPr>
            <w:tcW w:w="3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Business experience within FEMSA:</w:t>
            </w:r>
          </w:p>
        </w:tc>
        <w:tc>
          <w:tcPr>
            <w:tcW w:w="5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6"/>
              </w:rPr>
              <w:t>Extensive experience in international business and financial</w:t>
            </w:r>
          </w:p>
        </w:tc>
      </w:tr>
      <w:tr>
        <w:trPr>
          <w:trHeight w:val="168"/>
        </w:trPr>
        <w:tc>
          <w:tcPr>
            <w:tcW w:w="28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5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9"/>
              </w:rPr>
              <w:t>transactions, debt issuances and corporate restructurings.</w:t>
            </w:r>
          </w:p>
        </w:tc>
      </w:tr>
      <w:tr>
        <w:trPr>
          <w:trHeight w:val="168"/>
        </w:trPr>
        <w:tc>
          <w:tcPr>
            <w:tcW w:w="28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5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8"/>
              </w:rPr>
              <w:t>Expertise in securities and private mergers and acquisition</w:t>
            </w:r>
          </w:p>
        </w:tc>
      </w:tr>
      <w:tr>
        <w:trPr>
          <w:trHeight w:val="168"/>
        </w:trPr>
        <w:tc>
          <w:tcPr>
            <w:tcW w:w="28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5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law.</w:t>
            </w:r>
          </w:p>
        </w:tc>
      </w:tr>
      <w:tr>
        <w:trPr>
          <w:trHeight w:val="168"/>
        </w:trPr>
        <w:tc>
          <w:tcPr>
            <w:tcW w:w="2800" w:type="dxa"/>
            <w:vAlign w:val="bottom"/>
          </w:tcPr>
          <w:p>
            <w:pPr>
              <w:spacing w:after="0"/>
              <w:rPr>
                <w:sz w:val="14"/>
                <w:szCs w:val="14"/>
                <w:color w:val="auto"/>
              </w:rPr>
            </w:pPr>
          </w:p>
        </w:tc>
        <w:tc>
          <w:tcPr>
            <w:tcW w:w="33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Other</w:t>
            </w:r>
          </w:p>
        </w:tc>
        <w:tc>
          <w:tcPr>
            <w:tcW w:w="5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9"/>
              </w:rPr>
              <w:t>experience: Holds a law degree from the UANL and a masters</w:t>
            </w:r>
          </w:p>
        </w:tc>
      </w:tr>
      <w:tr>
        <w:trPr>
          <w:trHeight w:val="168"/>
        </w:trPr>
        <w:tc>
          <w:tcPr>
            <w:tcW w:w="28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5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degree in Comparative Law from the College of Law of the</w:t>
            </w:r>
          </w:p>
        </w:tc>
      </w:tr>
      <w:tr>
        <w:trPr>
          <w:trHeight w:val="168"/>
        </w:trPr>
        <w:tc>
          <w:tcPr>
            <w:tcW w:w="28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5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University of Illinois.</w:t>
            </w:r>
          </w:p>
        </w:tc>
      </w:tr>
      <w:tr>
        <w:trPr>
          <w:trHeight w:val="336"/>
        </w:trPr>
        <w:tc>
          <w:tcPr>
            <w:tcW w:w="2800" w:type="dxa"/>
            <w:vAlign w:val="bottom"/>
          </w:tcPr>
          <w:p>
            <w:pPr>
              <w:spacing w:after="0"/>
              <w:rPr>
                <w:sz w:val="20"/>
                <w:szCs w:val="20"/>
                <w:color w:val="auto"/>
              </w:rPr>
            </w:pPr>
            <w:r>
              <w:rPr>
                <w:rFonts w:ascii="Courier New" w:cs="Courier New" w:eastAsia="Courier New" w:hAnsi="Courier New"/>
                <w:sz w:val="15"/>
                <w:szCs w:val="15"/>
                <w:color w:val="auto"/>
              </w:rPr>
              <w:t>Rosa Maria Hinojosa</w:t>
            </w:r>
          </w:p>
        </w:tc>
        <w:tc>
          <w:tcPr>
            <w:tcW w:w="3380" w:type="dxa"/>
            <w:vAlign w:val="bottom"/>
          </w:tcPr>
          <w:p>
            <w:pPr>
              <w:ind w:left="540"/>
              <w:spacing w:after="0"/>
              <w:rPr>
                <w:sz w:val="20"/>
                <w:szCs w:val="20"/>
                <w:color w:val="auto"/>
              </w:rPr>
            </w:pPr>
            <w:r>
              <w:rPr>
                <w:rFonts w:ascii="Courier New" w:cs="Courier New" w:eastAsia="Courier New" w:hAnsi="Courier New"/>
                <w:sz w:val="15"/>
                <w:szCs w:val="15"/>
                <w:color w:val="auto"/>
              </w:rPr>
              <w:t>Born:</w:t>
            </w:r>
          </w:p>
        </w:tc>
        <w:tc>
          <w:tcPr>
            <w:tcW w:w="5360" w:type="dxa"/>
            <w:vAlign w:val="bottom"/>
          </w:tcPr>
          <w:p>
            <w:pPr>
              <w:ind w:left="120"/>
              <w:spacing w:after="0"/>
              <w:rPr>
                <w:sz w:val="20"/>
                <w:szCs w:val="20"/>
                <w:color w:val="auto"/>
              </w:rPr>
            </w:pPr>
            <w:r>
              <w:rPr>
                <w:rFonts w:ascii="Courier New" w:cs="Courier New" w:eastAsia="Courier New" w:hAnsi="Courier New"/>
                <w:sz w:val="15"/>
                <w:szCs w:val="15"/>
                <w:color w:val="auto"/>
              </w:rPr>
              <w:t>February 1962</w:t>
            </w:r>
          </w:p>
        </w:tc>
      </w:tr>
      <w:tr>
        <w:trPr>
          <w:trHeight w:val="168"/>
        </w:trPr>
        <w:tc>
          <w:tcPr>
            <w:tcW w:w="28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Chief Accounting Officer</w:t>
            </w:r>
          </w:p>
        </w:tc>
        <w:tc>
          <w:tcPr>
            <w:tcW w:w="33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Joined FEMSA:</w:t>
            </w:r>
          </w:p>
        </w:tc>
        <w:tc>
          <w:tcPr>
            <w:tcW w:w="5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1983</w:t>
            </w:r>
          </w:p>
        </w:tc>
      </w:tr>
      <w:tr>
        <w:trPr>
          <w:trHeight w:val="168"/>
        </w:trPr>
        <w:tc>
          <w:tcPr>
            <w:tcW w:w="2800" w:type="dxa"/>
            <w:vAlign w:val="bottom"/>
          </w:tcPr>
          <w:p>
            <w:pPr>
              <w:spacing w:after="0"/>
              <w:rPr>
                <w:sz w:val="14"/>
                <w:szCs w:val="14"/>
                <w:color w:val="auto"/>
              </w:rPr>
            </w:pPr>
          </w:p>
        </w:tc>
        <w:tc>
          <w:tcPr>
            <w:tcW w:w="33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Appointed to current position:</w:t>
            </w:r>
          </w:p>
        </w:tc>
        <w:tc>
          <w:tcPr>
            <w:tcW w:w="5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2800" w:type="dxa"/>
            <w:vAlign w:val="bottom"/>
          </w:tcPr>
          <w:p>
            <w:pPr>
              <w:spacing w:after="0"/>
              <w:rPr>
                <w:sz w:val="14"/>
                <w:szCs w:val="14"/>
                <w:color w:val="auto"/>
              </w:rPr>
            </w:pPr>
          </w:p>
        </w:tc>
        <w:tc>
          <w:tcPr>
            <w:tcW w:w="874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w w:val="96"/>
              </w:rPr>
              <w:t>Business experience within FEMSA: Has held several positions in FEMSA in financial information</w:t>
            </w:r>
          </w:p>
        </w:tc>
      </w:tr>
      <w:tr>
        <w:trPr>
          <w:trHeight w:val="168"/>
        </w:trPr>
        <w:tc>
          <w:tcPr>
            <w:tcW w:w="28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5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and administrative areas and has participated in several</w:t>
            </w:r>
          </w:p>
        </w:tc>
      </w:tr>
      <w:tr>
        <w:trPr>
          <w:trHeight w:val="168"/>
        </w:trPr>
        <w:tc>
          <w:tcPr>
            <w:tcW w:w="28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5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financial transactions, debt issuances and corporate</w:t>
            </w:r>
          </w:p>
        </w:tc>
      </w:tr>
      <w:tr>
        <w:trPr>
          <w:trHeight w:val="168"/>
        </w:trPr>
        <w:tc>
          <w:tcPr>
            <w:tcW w:w="28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5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restructuring.</w:t>
            </w:r>
          </w:p>
        </w:tc>
      </w:tr>
      <w:tr>
        <w:trPr>
          <w:trHeight w:val="168"/>
        </w:trPr>
        <w:tc>
          <w:tcPr>
            <w:tcW w:w="2800" w:type="dxa"/>
            <w:vAlign w:val="bottom"/>
          </w:tcPr>
          <w:p>
            <w:pPr>
              <w:spacing w:after="0"/>
              <w:rPr>
                <w:sz w:val="14"/>
                <w:szCs w:val="14"/>
                <w:color w:val="auto"/>
              </w:rPr>
            </w:pPr>
          </w:p>
        </w:tc>
        <w:tc>
          <w:tcPr>
            <w:tcW w:w="33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Other experience:</w:t>
            </w:r>
          </w:p>
        </w:tc>
        <w:tc>
          <w:tcPr>
            <w:tcW w:w="5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Holds a CPA degree from ITESM, completed post-graduate</w:t>
            </w:r>
          </w:p>
        </w:tc>
      </w:tr>
      <w:tr>
        <w:trPr>
          <w:trHeight w:val="168"/>
        </w:trPr>
        <w:tc>
          <w:tcPr>
            <w:tcW w:w="28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5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studies at IPADE and has participated in several</w:t>
            </w:r>
          </w:p>
        </w:tc>
      </w:tr>
      <w:tr>
        <w:trPr>
          <w:trHeight w:val="168"/>
        </w:trPr>
        <w:tc>
          <w:tcPr>
            <w:tcW w:w="28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5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post-graduate programs in business administration.</w:t>
            </w:r>
          </w:p>
        </w:tc>
      </w:tr>
      <w:tr>
        <w:trPr>
          <w:trHeight w:val="336"/>
        </w:trPr>
        <w:tc>
          <w:tcPr>
            <w:tcW w:w="2800" w:type="dxa"/>
            <w:vAlign w:val="bottom"/>
          </w:tcPr>
          <w:p>
            <w:pPr>
              <w:spacing w:after="0"/>
              <w:rPr>
                <w:sz w:val="20"/>
                <w:szCs w:val="20"/>
                <w:color w:val="auto"/>
              </w:rPr>
            </w:pPr>
            <w:r>
              <w:rPr>
                <w:rFonts w:ascii="Courier New" w:cs="Courier New" w:eastAsia="Courier New" w:hAnsi="Courier New"/>
                <w:sz w:val="15"/>
                <w:szCs w:val="15"/>
                <w:color w:val="auto"/>
              </w:rPr>
              <w:t>Alfredo Martinez Urdal</w:t>
            </w:r>
          </w:p>
        </w:tc>
        <w:tc>
          <w:tcPr>
            <w:tcW w:w="3380" w:type="dxa"/>
            <w:vAlign w:val="bottom"/>
          </w:tcPr>
          <w:p>
            <w:pPr>
              <w:ind w:left="620"/>
              <w:spacing w:after="0"/>
              <w:rPr>
                <w:sz w:val="20"/>
                <w:szCs w:val="20"/>
                <w:color w:val="auto"/>
              </w:rPr>
            </w:pPr>
            <w:r>
              <w:rPr>
                <w:rFonts w:ascii="Courier New" w:cs="Courier New" w:eastAsia="Courier New" w:hAnsi="Courier New"/>
                <w:sz w:val="15"/>
                <w:szCs w:val="15"/>
                <w:color w:val="auto"/>
              </w:rPr>
              <w:t>Born:</w:t>
            </w:r>
          </w:p>
        </w:tc>
        <w:tc>
          <w:tcPr>
            <w:tcW w:w="5360" w:type="dxa"/>
            <w:vAlign w:val="bottom"/>
          </w:tcPr>
          <w:p>
            <w:pPr>
              <w:ind w:left="120"/>
              <w:spacing w:after="0"/>
              <w:rPr>
                <w:sz w:val="20"/>
                <w:szCs w:val="20"/>
                <w:color w:val="auto"/>
              </w:rPr>
            </w:pPr>
            <w:r>
              <w:rPr>
                <w:rFonts w:ascii="Courier New" w:cs="Courier New" w:eastAsia="Courier New" w:hAnsi="Courier New"/>
                <w:sz w:val="15"/>
                <w:szCs w:val="15"/>
                <w:color w:val="auto"/>
              </w:rPr>
              <w:t>September 1931</w:t>
            </w:r>
          </w:p>
        </w:tc>
      </w:tr>
      <w:tr>
        <w:trPr>
          <w:trHeight w:val="168"/>
        </w:trPr>
        <w:tc>
          <w:tcPr>
            <w:tcW w:w="28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Chief Executive Officer</w:t>
            </w:r>
          </w:p>
        </w:tc>
        <w:tc>
          <w:tcPr>
            <w:tcW w:w="33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Joined FEMSA:</w:t>
            </w:r>
          </w:p>
        </w:tc>
        <w:tc>
          <w:tcPr>
            <w:tcW w:w="5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1993</w:t>
            </w:r>
          </w:p>
        </w:tc>
      </w:tr>
      <w:tr>
        <w:trPr>
          <w:trHeight w:val="168"/>
        </w:trPr>
        <w:tc>
          <w:tcPr>
            <w:tcW w:w="2800" w:type="dxa"/>
            <w:vAlign w:val="bottom"/>
          </w:tcPr>
          <w:p>
            <w:pPr>
              <w:spacing w:after="0"/>
              <w:rPr>
                <w:sz w:val="14"/>
                <w:szCs w:val="14"/>
                <w:color w:val="auto"/>
              </w:rPr>
            </w:pPr>
          </w:p>
        </w:tc>
        <w:tc>
          <w:tcPr>
            <w:tcW w:w="33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Appointed to current position:</w:t>
            </w:r>
          </w:p>
        </w:tc>
        <w:tc>
          <w:tcPr>
            <w:tcW w:w="5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2800" w:type="dxa"/>
            <w:vAlign w:val="bottom"/>
          </w:tcPr>
          <w:p>
            <w:pPr>
              <w:spacing w:after="0"/>
              <w:rPr>
                <w:sz w:val="14"/>
                <w:szCs w:val="14"/>
                <w:color w:val="auto"/>
              </w:rPr>
            </w:pPr>
          </w:p>
        </w:tc>
        <w:tc>
          <w:tcPr>
            <w:tcW w:w="33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Directorships:</w:t>
            </w:r>
          </w:p>
        </w:tc>
        <w:tc>
          <w:tcPr>
            <w:tcW w:w="5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Member of the Board of Coca-Cola FEMSA</w:t>
            </w:r>
          </w:p>
        </w:tc>
      </w:tr>
      <w:tr>
        <w:trPr>
          <w:trHeight w:val="168"/>
        </w:trPr>
        <w:tc>
          <w:tcPr>
            <w:tcW w:w="2800" w:type="dxa"/>
            <w:vAlign w:val="bottom"/>
          </w:tcPr>
          <w:p>
            <w:pPr>
              <w:spacing w:after="0"/>
              <w:rPr>
                <w:sz w:val="14"/>
                <w:szCs w:val="14"/>
                <w:color w:val="auto"/>
              </w:rPr>
            </w:pPr>
          </w:p>
        </w:tc>
        <w:tc>
          <w:tcPr>
            <w:tcW w:w="8740" w:type="dxa"/>
            <w:vAlign w:val="bottom"/>
            <w:gridSpan w:val="2"/>
          </w:tcPr>
          <w:p>
            <w:pPr>
              <w:ind w:left="620"/>
              <w:spacing w:after="0" w:line="168" w:lineRule="exact"/>
              <w:rPr>
                <w:sz w:val="20"/>
                <w:szCs w:val="20"/>
                <w:color w:val="auto"/>
              </w:rPr>
            </w:pPr>
            <w:r>
              <w:rPr>
                <w:rFonts w:ascii="Courier New" w:cs="Courier New" w:eastAsia="Courier New" w:hAnsi="Courier New"/>
                <w:sz w:val="15"/>
                <w:szCs w:val="15"/>
                <w:color w:val="auto"/>
              </w:rPr>
              <w:t>Business experience within FEMSA:Former Chief Executive Officer of Coca-Cola</w:t>
            </w:r>
          </w:p>
        </w:tc>
      </w:tr>
      <w:tr>
        <w:trPr>
          <w:trHeight w:val="168"/>
        </w:trPr>
        <w:tc>
          <w:tcPr>
            <w:tcW w:w="28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5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FEMSA.</w:t>
            </w:r>
          </w:p>
        </w:tc>
      </w:tr>
      <w:tr>
        <w:trPr>
          <w:trHeight w:val="168"/>
        </w:trPr>
        <w:tc>
          <w:tcPr>
            <w:tcW w:w="2800" w:type="dxa"/>
            <w:vAlign w:val="bottom"/>
          </w:tcPr>
          <w:p>
            <w:pPr>
              <w:spacing w:after="0"/>
              <w:rPr>
                <w:sz w:val="14"/>
                <w:szCs w:val="14"/>
                <w:color w:val="auto"/>
              </w:rPr>
            </w:pPr>
          </w:p>
        </w:tc>
        <w:tc>
          <w:tcPr>
            <w:tcW w:w="33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Other business experience:</w:t>
            </w:r>
          </w:p>
        </w:tc>
        <w:tc>
          <w:tcPr>
            <w:tcW w:w="5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Holds an economics degree from the Western</w:t>
            </w:r>
          </w:p>
        </w:tc>
      </w:tr>
      <w:tr>
        <w:trPr>
          <w:trHeight w:val="168"/>
        </w:trPr>
        <w:tc>
          <w:tcPr>
            <w:tcW w:w="28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5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Reserve University, a law degree from the</w:t>
            </w:r>
          </w:p>
        </w:tc>
      </w:tr>
      <w:tr>
        <w:trPr>
          <w:trHeight w:val="168"/>
        </w:trPr>
        <w:tc>
          <w:tcPr>
            <w:tcW w:w="28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5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Universidad Nacional Autonoma de Mexico and a</w:t>
            </w:r>
          </w:p>
        </w:tc>
      </w:tr>
      <w:tr>
        <w:trPr>
          <w:trHeight w:val="168"/>
        </w:trPr>
        <w:tc>
          <w:tcPr>
            <w:tcW w:w="28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5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post-graduate degree from Harvard Business</w:t>
            </w:r>
          </w:p>
        </w:tc>
      </w:tr>
      <w:tr>
        <w:trPr>
          <w:trHeight w:val="168"/>
        </w:trPr>
        <w:tc>
          <w:tcPr>
            <w:tcW w:w="28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5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School.  Has served as Chief Executive</w:t>
            </w:r>
          </w:p>
        </w:tc>
      </w:tr>
      <w:tr>
        <w:trPr>
          <w:trHeight w:val="168"/>
        </w:trPr>
        <w:tc>
          <w:tcPr>
            <w:tcW w:w="28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5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Officer of many prominent Mexican companies</w:t>
            </w:r>
          </w:p>
        </w:tc>
      </w:tr>
      <w:tr>
        <w:trPr>
          <w:trHeight w:val="168"/>
        </w:trPr>
        <w:tc>
          <w:tcPr>
            <w:tcW w:w="28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5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and banks, including Ponderosa Industrial</w:t>
            </w:r>
          </w:p>
        </w:tc>
      </w:tr>
      <w:tr>
        <w:trPr>
          <w:trHeight w:val="168"/>
        </w:trPr>
        <w:tc>
          <w:tcPr>
            <w:tcW w:w="28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5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Accel, Grupo Chihuahua, Multibanco Comermex,</w:t>
            </w:r>
          </w:p>
        </w:tc>
      </w:tr>
      <w:tr>
        <w:trPr>
          <w:trHeight w:val="168"/>
        </w:trPr>
        <w:tc>
          <w:tcPr>
            <w:tcW w:w="28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5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Celulosa de Chihuahua and Banco Comercial</w:t>
            </w:r>
          </w:p>
        </w:tc>
      </w:tr>
      <w:tr>
        <w:trPr>
          <w:trHeight w:val="168"/>
        </w:trPr>
        <w:tc>
          <w:tcPr>
            <w:tcW w:w="28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5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Mexicano.</w:t>
            </w:r>
          </w:p>
        </w:tc>
      </w:tr>
      <w:tr>
        <w:trPr>
          <w:trHeight w:val="336"/>
        </w:trPr>
        <w:tc>
          <w:tcPr>
            <w:tcW w:w="2800" w:type="dxa"/>
            <w:vAlign w:val="bottom"/>
          </w:tcPr>
          <w:p>
            <w:pPr>
              <w:spacing w:after="0"/>
              <w:rPr>
                <w:sz w:val="20"/>
                <w:szCs w:val="20"/>
                <w:color w:val="auto"/>
              </w:rPr>
            </w:pPr>
            <w:r>
              <w:rPr>
                <w:rFonts w:ascii="Courier New" w:cs="Courier New" w:eastAsia="Courier New" w:hAnsi="Courier New"/>
                <w:sz w:val="15"/>
                <w:szCs w:val="15"/>
                <w:color w:val="auto"/>
              </w:rPr>
              <w:t>Sergio Saenz</w:t>
            </w:r>
          </w:p>
        </w:tc>
        <w:tc>
          <w:tcPr>
            <w:tcW w:w="3380" w:type="dxa"/>
            <w:vAlign w:val="bottom"/>
          </w:tcPr>
          <w:p>
            <w:pPr>
              <w:ind w:left="620"/>
              <w:spacing w:after="0"/>
              <w:rPr>
                <w:sz w:val="20"/>
                <w:szCs w:val="20"/>
                <w:color w:val="auto"/>
              </w:rPr>
            </w:pPr>
            <w:r>
              <w:rPr>
                <w:rFonts w:ascii="Courier New" w:cs="Courier New" w:eastAsia="Courier New" w:hAnsi="Courier New"/>
                <w:sz w:val="15"/>
                <w:szCs w:val="15"/>
                <w:color w:val="auto"/>
              </w:rPr>
              <w:t>Born:</w:t>
            </w:r>
          </w:p>
        </w:tc>
        <w:tc>
          <w:tcPr>
            <w:tcW w:w="5360" w:type="dxa"/>
            <w:vAlign w:val="bottom"/>
          </w:tcPr>
          <w:p>
            <w:pPr>
              <w:ind w:left="120"/>
              <w:spacing w:after="0"/>
              <w:rPr>
                <w:sz w:val="20"/>
                <w:szCs w:val="20"/>
                <w:color w:val="auto"/>
              </w:rPr>
            </w:pPr>
            <w:r>
              <w:rPr>
                <w:rFonts w:ascii="Courier New" w:cs="Courier New" w:eastAsia="Courier New" w:hAnsi="Courier New"/>
                <w:sz w:val="15"/>
                <w:szCs w:val="15"/>
                <w:color w:val="auto"/>
              </w:rPr>
              <w:t>September 1950</w:t>
            </w:r>
          </w:p>
        </w:tc>
      </w:tr>
      <w:tr>
        <w:trPr>
          <w:trHeight w:val="168"/>
        </w:trPr>
        <w:tc>
          <w:tcPr>
            <w:tcW w:w="28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Chief Financial Officer</w:t>
            </w:r>
          </w:p>
        </w:tc>
        <w:tc>
          <w:tcPr>
            <w:tcW w:w="33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Joined FEMSA:</w:t>
            </w:r>
          </w:p>
        </w:tc>
        <w:tc>
          <w:tcPr>
            <w:tcW w:w="5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2800" w:type="dxa"/>
            <w:vAlign w:val="bottom"/>
          </w:tcPr>
          <w:p>
            <w:pPr>
              <w:spacing w:after="0"/>
              <w:rPr>
                <w:sz w:val="14"/>
                <w:szCs w:val="14"/>
                <w:color w:val="auto"/>
              </w:rPr>
            </w:pPr>
          </w:p>
        </w:tc>
        <w:tc>
          <w:tcPr>
            <w:tcW w:w="33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Appointed to current position:</w:t>
            </w:r>
          </w:p>
        </w:tc>
        <w:tc>
          <w:tcPr>
            <w:tcW w:w="5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2800" w:type="dxa"/>
            <w:vAlign w:val="bottom"/>
          </w:tcPr>
          <w:p>
            <w:pPr>
              <w:spacing w:after="0"/>
              <w:rPr>
                <w:sz w:val="14"/>
                <w:szCs w:val="14"/>
                <w:color w:val="auto"/>
              </w:rPr>
            </w:pPr>
          </w:p>
        </w:tc>
        <w:tc>
          <w:tcPr>
            <w:tcW w:w="8740" w:type="dxa"/>
            <w:vAlign w:val="bottom"/>
            <w:gridSpan w:val="2"/>
          </w:tcPr>
          <w:p>
            <w:pPr>
              <w:ind w:left="620"/>
              <w:spacing w:after="0" w:line="168" w:lineRule="exact"/>
              <w:rPr>
                <w:sz w:val="20"/>
                <w:szCs w:val="20"/>
                <w:color w:val="auto"/>
              </w:rPr>
            </w:pPr>
            <w:r>
              <w:rPr>
                <w:rFonts w:ascii="Courier New" w:cs="Courier New" w:eastAsia="Courier New" w:hAnsi="Courier New"/>
                <w:sz w:val="15"/>
                <w:szCs w:val="15"/>
                <w:color w:val="auto"/>
              </w:rPr>
              <w:t>Business experience within FEMSA: Held a managerial position in the strategic planning</w:t>
            </w:r>
          </w:p>
        </w:tc>
      </w:tr>
      <w:tr>
        <w:trPr>
          <w:trHeight w:val="168"/>
        </w:trPr>
        <w:tc>
          <w:tcPr>
            <w:tcW w:w="28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5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department in 1984.</w:t>
            </w:r>
          </w:p>
        </w:tc>
      </w:tr>
      <w:tr>
        <w:trPr>
          <w:trHeight w:val="168"/>
        </w:trPr>
        <w:tc>
          <w:tcPr>
            <w:tcW w:w="2800" w:type="dxa"/>
            <w:vAlign w:val="bottom"/>
          </w:tcPr>
          <w:p>
            <w:pPr>
              <w:spacing w:after="0"/>
              <w:rPr>
                <w:sz w:val="14"/>
                <w:szCs w:val="14"/>
                <w:color w:val="auto"/>
              </w:rPr>
            </w:pPr>
          </w:p>
        </w:tc>
        <w:tc>
          <w:tcPr>
            <w:tcW w:w="33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Other business experience:</w:t>
            </w:r>
          </w:p>
        </w:tc>
        <w:tc>
          <w:tcPr>
            <w:tcW w:w="5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Had a 13-year career in Cuprum, S.A. de C.V.,</w:t>
            </w:r>
          </w:p>
        </w:tc>
      </w:tr>
      <w:tr>
        <w:trPr>
          <w:trHeight w:val="168"/>
        </w:trPr>
        <w:tc>
          <w:tcPr>
            <w:tcW w:w="28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5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culminating as Chief Executive Officer.</w:t>
            </w:r>
          </w:p>
        </w:tc>
      </w:tr>
    </w:tbl>
    <w:p>
      <w:pPr>
        <w:ind w:left="6300"/>
        <w:spacing w:after="0" w:line="237" w:lineRule="auto"/>
        <w:rPr>
          <w:sz w:val="20"/>
          <w:szCs w:val="20"/>
          <w:color w:val="auto"/>
        </w:rPr>
      </w:pPr>
      <w:r>
        <w:rPr>
          <w:rFonts w:ascii="Courier New" w:cs="Courier New" w:eastAsia="Courier New" w:hAnsi="Courier New"/>
          <w:sz w:val="15"/>
          <w:szCs w:val="15"/>
          <w:color w:val="auto"/>
        </w:rPr>
        <w:t>Holds a chemical engineering degree from the</w:t>
      </w:r>
    </w:p>
    <w:p>
      <w:pPr>
        <w:ind w:left="6300"/>
        <w:spacing w:after="0" w:line="238" w:lineRule="auto"/>
        <w:rPr>
          <w:sz w:val="20"/>
          <w:szCs w:val="20"/>
          <w:color w:val="auto"/>
        </w:rPr>
      </w:pPr>
      <w:r>
        <w:rPr>
          <w:rFonts w:ascii="Courier New" w:cs="Courier New" w:eastAsia="Courier New" w:hAnsi="Courier New"/>
          <w:sz w:val="15"/>
          <w:szCs w:val="15"/>
          <w:color w:val="auto"/>
        </w:rPr>
        <w:t>UANL and an MBA from the University of Texas</w:t>
      </w:r>
    </w:p>
    <w:p>
      <w:pPr>
        <w:ind w:left="6300"/>
        <w:spacing w:after="0" w:line="237" w:lineRule="auto"/>
        <w:rPr>
          <w:sz w:val="20"/>
          <w:szCs w:val="20"/>
          <w:color w:val="auto"/>
        </w:rPr>
      </w:pPr>
      <w:r>
        <w:rPr>
          <w:rFonts w:ascii="Courier New" w:cs="Courier New" w:eastAsia="Courier New" w:hAnsi="Courier New"/>
          <w:sz w:val="15"/>
          <w:szCs w:val="15"/>
          <w:color w:val="auto"/>
        </w:rPr>
        <w:t>at Austin.</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111</w:t>
      </w:r>
    </w:p>
    <w:p>
      <w:pPr>
        <w:sectPr>
          <w:pgSz w:w="11900" w:h="16838" w:orient="portrait"/>
          <w:cols w:equalWidth="0" w:num="1">
            <w:col w:w="11540"/>
          </w:cols>
          <w:pgMar w:left="220" w:top="1122" w:right="13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Coca-Cola FEMSA</w:t>
            </w:r>
          </w:p>
        </w:tc>
        <w:tc>
          <w:tcPr>
            <w:tcW w:w="3100" w:type="dxa"/>
            <w:vAlign w:val="bottom"/>
          </w:tcPr>
          <w:p>
            <w:pPr>
              <w:spacing w:after="0"/>
              <w:rPr>
                <w:sz w:val="14"/>
                <w:szCs w:val="14"/>
                <w:color w:val="auto"/>
              </w:rPr>
            </w:pPr>
          </w:p>
        </w:tc>
        <w:tc>
          <w:tcPr>
            <w:tcW w:w="5360" w:type="dxa"/>
            <w:vAlign w:val="bottom"/>
          </w:tcPr>
          <w:p>
            <w:pPr>
              <w:spacing w:after="0"/>
              <w:rPr>
                <w:sz w:val="14"/>
                <w:szCs w:val="14"/>
                <w:color w:val="auto"/>
              </w:rPr>
            </w:pP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Carlos Salazar</w:t>
            </w:r>
          </w:p>
        </w:tc>
        <w:tc>
          <w:tcPr>
            <w:tcW w:w="31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Born:</w:t>
            </w:r>
          </w:p>
        </w:tc>
        <w:tc>
          <w:tcPr>
            <w:tcW w:w="5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April 1951</w:t>
            </w:r>
          </w:p>
        </w:tc>
      </w:tr>
      <w:tr>
        <w:trPr>
          <w:trHeight w:val="168"/>
        </w:trPr>
        <w:tc>
          <w:tcPr>
            <w:tcW w:w="30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Chief Executive Officer</w:t>
            </w:r>
          </w:p>
        </w:tc>
        <w:tc>
          <w:tcPr>
            <w:tcW w:w="31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Joined FEMSA:</w:t>
            </w:r>
          </w:p>
        </w:tc>
        <w:tc>
          <w:tcPr>
            <w:tcW w:w="5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1973</w:t>
            </w:r>
          </w:p>
        </w:tc>
      </w:tr>
      <w:tr>
        <w:trPr>
          <w:trHeight w:val="168"/>
        </w:trPr>
        <w:tc>
          <w:tcPr>
            <w:tcW w:w="3080" w:type="dxa"/>
            <w:vAlign w:val="bottom"/>
          </w:tcPr>
          <w:p>
            <w:pPr>
              <w:spacing w:after="0"/>
              <w:rPr>
                <w:sz w:val="14"/>
                <w:szCs w:val="14"/>
                <w:color w:val="auto"/>
              </w:rPr>
            </w:pPr>
          </w:p>
        </w:tc>
        <w:tc>
          <w:tcPr>
            <w:tcW w:w="31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Appointed to current position:</w:t>
            </w:r>
          </w:p>
        </w:tc>
        <w:tc>
          <w:tcPr>
            <w:tcW w:w="5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3080" w:type="dxa"/>
            <w:vAlign w:val="bottom"/>
          </w:tcPr>
          <w:p>
            <w:pPr>
              <w:spacing w:after="0"/>
              <w:rPr>
                <w:sz w:val="14"/>
                <w:szCs w:val="14"/>
                <w:color w:val="auto"/>
              </w:rPr>
            </w:pPr>
          </w:p>
        </w:tc>
        <w:tc>
          <w:tcPr>
            <w:tcW w:w="31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Directorships:</w:t>
            </w:r>
          </w:p>
        </w:tc>
        <w:tc>
          <w:tcPr>
            <w:tcW w:w="5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Member of the Boards of Review of BBVA</w:t>
            </w:r>
          </w:p>
        </w:tc>
      </w:tr>
      <w:tr>
        <w:trPr>
          <w:trHeight w:val="168"/>
        </w:trPr>
        <w:tc>
          <w:tcPr>
            <w:tcW w:w="30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5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Bancomer, Operadora Merco, S.A. de C.V. and</w:t>
            </w:r>
          </w:p>
        </w:tc>
      </w:tr>
      <w:tr>
        <w:trPr>
          <w:trHeight w:val="168"/>
        </w:trPr>
        <w:tc>
          <w:tcPr>
            <w:tcW w:w="30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5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Cintermex &amp; Apex.</w:t>
            </w:r>
          </w:p>
        </w:tc>
      </w:tr>
      <w:tr>
        <w:trPr>
          <w:trHeight w:val="168"/>
        </w:trPr>
        <w:tc>
          <w:tcPr>
            <w:tcW w:w="3080" w:type="dxa"/>
            <w:vAlign w:val="bottom"/>
          </w:tcPr>
          <w:p>
            <w:pPr>
              <w:spacing w:after="0"/>
              <w:rPr>
                <w:sz w:val="14"/>
                <w:szCs w:val="14"/>
                <w:color w:val="auto"/>
              </w:rPr>
            </w:pPr>
          </w:p>
        </w:tc>
        <w:tc>
          <w:tcPr>
            <w:tcW w:w="31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Business experience</w:t>
            </w:r>
          </w:p>
        </w:tc>
        <w:tc>
          <w:tcPr>
            <w:tcW w:w="5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Has held managerial positions in several subsidiaries of</w:t>
            </w:r>
          </w:p>
        </w:tc>
      </w:tr>
      <w:tr>
        <w:trPr>
          <w:trHeight w:val="168"/>
        </w:trPr>
        <w:tc>
          <w:tcPr>
            <w:tcW w:w="3080" w:type="dxa"/>
            <w:vAlign w:val="bottom"/>
          </w:tcPr>
          <w:p>
            <w:pPr>
              <w:spacing w:after="0"/>
              <w:rPr>
                <w:sz w:val="14"/>
                <w:szCs w:val="14"/>
                <w:color w:val="auto"/>
              </w:rPr>
            </w:pPr>
          </w:p>
        </w:tc>
        <w:tc>
          <w:tcPr>
            <w:tcW w:w="31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within FEMSA:</w:t>
            </w:r>
          </w:p>
        </w:tc>
        <w:tc>
          <w:tcPr>
            <w:tcW w:w="5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FEMSA, including Grafo Regia and PTM. Served as Chief</w:t>
            </w:r>
          </w:p>
        </w:tc>
      </w:tr>
      <w:tr>
        <w:trPr>
          <w:trHeight w:val="168"/>
        </w:trPr>
        <w:tc>
          <w:tcPr>
            <w:tcW w:w="30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5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Executive Officer of FEMSA Cerveza where he also held</w:t>
            </w:r>
          </w:p>
        </w:tc>
      </w:tr>
      <w:tr>
        <w:trPr>
          <w:trHeight w:val="168"/>
        </w:trPr>
        <w:tc>
          <w:tcPr>
            <w:tcW w:w="30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5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8"/>
              </w:rPr>
              <w:t>various management positions in the Commercial Planning and</w:t>
            </w:r>
          </w:p>
        </w:tc>
      </w:tr>
      <w:tr>
        <w:trPr>
          <w:trHeight w:val="168"/>
        </w:trPr>
        <w:tc>
          <w:tcPr>
            <w:tcW w:w="30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5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Export divisions.</w:t>
            </w:r>
          </w:p>
        </w:tc>
      </w:tr>
      <w:tr>
        <w:trPr>
          <w:trHeight w:val="168"/>
        </w:trPr>
        <w:tc>
          <w:tcPr>
            <w:tcW w:w="3080" w:type="dxa"/>
            <w:vAlign w:val="bottom"/>
          </w:tcPr>
          <w:p>
            <w:pPr>
              <w:spacing w:after="0"/>
              <w:rPr>
                <w:sz w:val="14"/>
                <w:szCs w:val="14"/>
                <w:color w:val="auto"/>
              </w:rPr>
            </w:pPr>
          </w:p>
        </w:tc>
        <w:tc>
          <w:tcPr>
            <w:tcW w:w="31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Other experience:</w:t>
            </w:r>
          </w:p>
        </w:tc>
        <w:tc>
          <w:tcPr>
            <w:tcW w:w="5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Has a Bachelor's degree in economics from ITESM,</w:t>
            </w:r>
          </w:p>
        </w:tc>
      </w:tr>
      <w:tr>
        <w:trPr>
          <w:trHeight w:val="168"/>
        </w:trPr>
        <w:tc>
          <w:tcPr>
            <w:tcW w:w="30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5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postgraduate studies in business administration and in</w:t>
            </w:r>
          </w:p>
        </w:tc>
      </w:tr>
      <w:tr>
        <w:trPr>
          <w:trHeight w:val="168"/>
        </w:trPr>
        <w:tc>
          <w:tcPr>
            <w:tcW w:w="30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5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economic development in Italy.</w:t>
            </w: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rPr>
              <w:t>Hector Trevino</w:t>
            </w:r>
          </w:p>
        </w:tc>
        <w:tc>
          <w:tcPr>
            <w:tcW w:w="3100" w:type="dxa"/>
            <w:vAlign w:val="bottom"/>
          </w:tcPr>
          <w:p>
            <w:pPr>
              <w:ind w:left="340"/>
              <w:spacing w:after="0"/>
              <w:rPr>
                <w:sz w:val="20"/>
                <w:szCs w:val="20"/>
                <w:color w:val="auto"/>
              </w:rPr>
            </w:pPr>
            <w:r>
              <w:rPr>
                <w:rFonts w:ascii="Courier New" w:cs="Courier New" w:eastAsia="Courier New" w:hAnsi="Courier New"/>
                <w:sz w:val="15"/>
                <w:szCs w:val="15"/>
                <w:color w:val="auto"/>
              </w:rPr>
              <w:t>Born:</w:t>
            </w:r>
          </w:p>
        </w:tc>
        <w:tc>
          <w:tcPr>
            <w:tcW w:w="5360" w:type="dxa"/>
            <w:vAlign w:val="bottom"/>
          </w:tcPr>
          <w:p>
            <w:pPr>
              <w:ind w:left="120"/>
              <w:spacing w:after="0"/>
              <w:rPr>
                <w:sz w:val="20"/>
                <w:szCs w:val="20"/>
                <w:color w:val="auto"/>
              </w:rPr>
            </w:pPr>
            <w:r>
              <w:rPr>
                <w:rFonts w:ascii="Courier New" w:cs="Courier New" w:eastAsia="Courier New" w:hAnsi="Courier New"/>
                <w:sz w:val="15"/>
                <w:szCs w:val="15"/>
                <w:color w:val="auto"/>
              </w:rPr>
              <w:t>August 1956</w:t>
            </w:r>
          </w:p>
        </w:tc>
      </w:tr>
      <w:tr>
        <w:trPr>
          <w:trHeight w:val="168"/>
        </w:trPr>
        <w:tc>
          <w:tcPr>
            <w:tcW w:w="30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Chief Financial Officer</w:t>
            </w:r>
          </w:p>
        </w:tc>
        <w:tc>
          <w:tcPr>
            <w:tcW w:w="31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Joined FEMSA:</w:t>
            </w:r>
          </w:p>
        </w:tc>
        <w:tc>
          <w:tcPr>
            <w:tcW w:w="5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1981</w:t>
            </w:r>
          </w:p>
        </w:tc>
      </w:tr>
      <w:tr>
        <w:trPr>
          <w:trHeight w:val="168"/>
        </w:trPr>
        <w:tc>
          <w:tcPr>
            <w:tcW w:w="3080" w:type="dxa"/>
            <w:vAlign w:val="bottom"/>
          </w:tcPr>
          <w:p>
            <w:pPr>
              <w:spacing w:after="0"/>
              <w:rPr>
                <w:sz w:val="14"/>
                <w:szCs w:val="14"/>
                <w:color w:val="auto"/>
              </w:rPr>
            </w:pPr>
          </w:p>
        </w:tc>
        <w:tc>
          <w:tcPr>
            <w:tcW w:w="31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Appointed to current position:</w:t>
            </w:r>
          </w:p>
        </w:tc>
        <w:tc>
          <w:tcPr>
            <w:tcW w:w="5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1993</w:t>
            </w:r>
          </w:p>
        </w:tc>
      </w:tr>
      <w:tr>
        <w:trPr>
          <w:trHeight w:val="168"/>
        </w:trPr>
        <w:tc>
          <w:tcPr>
            <w:tcW w:w="3080" w:type="dxa"/>
            <w:vAlign w:val="bottom"/>
          </w:tcPr>
          <w:p>
            <w:pPr>
              <w:spacing w:after="0"/>
              <w:rPr>
                <w:sz w:val="14"/>
                <w:szCs w:val="14"/>
                <w:color w:val="auto"/>
              </w:rPr>
            </w:pPr>
          </w:p>
        </w:tc>
        <w:tc>
          <w:tcPr>
            <w:tcW w:w="31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Business experience within</w:t>
            </w:r>
          </w:p>
        </w:tc>
        <w:tc>
          <w:tcPr>
            <w:tcW w:w="5360" w:type="dxa"/>
            <w:vAlign w:val="bottom"/>
          </w:tcPr>
          <w:p>
            <w:pPr>
              <w:spacing w:after="0"/>
              <w:rPr>
                <w:sz w:val="14"/>
                <w:szCs w:val="14"/>
                <w:color w:val="auto"/>
              </w:rPr>
            </w:pPr>
          </w:p>
        </w:tc>
      </w:tr>
      <w:tr>
        <w:trPr>
          <w:trHeight w:val="168"/>
        </w:trPr>
        <w:tc>
          <w:tcPr>
            <w:tcW w:w="3080" w:type="dxa"/>
            <w:vAlign w:val="bottom"/>
          </w:tcPr>
          <w:p>
            <w:pPr>
              <w:spacing w:after="0"/>
              <w:rPr>
                <w:sz w:val="14"/>
                <w:szCs w:val="14"/>
                <w:color w:val="auto"/>
              </w:rPr>
            </w:pPr>
          </w:p>
        </w:tc>
        <w:tc>
          <w:tcPr>
            <w:tcW w:w="31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FEMSA:</w:t>
            </w:r>
          </w:p>
        </w:tc>
        <w:tc>
          <w:tcPr>
            <w:tcW w:w="5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Has held managerial positions in the</w:t>
            </w:r>
          </w:p>
        </w:tc>
      </w:tr>
      <w:tr>
        <w:trPr>
          <w:trHeight w:val="168"/>
        </w:trPr>
        <w:tc>
          <w:tcPr>
            <w:tcW w:w="30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5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international financing, financial planning,</w:t>
            </w:r>
          </w:p>
        </w:tc>
      </w:tr>
      <w:tr>
        <w:trPr>
          <w:trHeight w:val="168"/>
        </w:trPr>
        <w:tc>
          <w:tcPr>
            <w:tcW w:w="30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5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strategic planning and corporate development</w:t>
            </w:r>
          </w:p>
        </w:tc>
      </w:tr>
      <w:tr>
        <w:trPr>
          <w:trHeight w:val="168"/>
        </w:trPr>
        <w:tc>
          <w:tcPr>
            <w:tcW w:w="30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5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areas of FEMSA.</w:t>
            </w:r>
          </w:p>
        </w:tc>
      </w:tr>
      <w:tr>
        <w:trPr>
          <w:trHeight w:val="168"/>
        </w:trPr>
        <w:tc>
          <w:tcPr>
            <w:tcW w:w="3080" w:type="dxa"/>
            <w:vAlign w:val="bottom"/>
          </w:tcPr>
          <w:p>
            <w:pPr>
              <w:spacing w:after="0"/>
              <w:rPr>
                <w:sz w:val="14"/>
                <w:szCs w:val="14"/>
                <w:color w:val="auto"/>
              </w:rPr>
            </w:pPr>
          </w:p>
        </w:tc>
        <w:tc>
          <w:tcPr>
            <w:tcW w:w="31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Other experience:</w:t>
            </w:r>
          </w:p>
        </w:tc>
        <w:tc>
          <w:tcPr>
            <w:tcW w:w="5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6"/>
              </w:rPr>
              <w:t>Holds a degree in chemical engineering from ITESM and an MBA</w:t>
            </w:r>
          </w:p>
        </w:tc>
      </w:tr>
      <w:tr>
        <w:trPr>
          <w:trHeight w:val="168"/>
        </w:trPr>
        <w:tc>
          <w:tcPr>
            <w:tcW w:w="30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5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from the Wharton Business School.</w:t>
            </w: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rPr>
              <w:t>Eduardo Padilla</w:t>
            </w:r>
          </w:p>
        </w:tc>
        <w:tc>
          <w:tcPr>
            <w:tcW w:w="3100" w:type="dxa"/>
            <w:vAlign w:val="bottom"/>
          </w:tcPr>
          <w:p>
            <w:pPr>
              <w:ind w:left="340"/>
              <w:spacing w:after="0"/>
              <w:rPr>
                <w:sz w:val="20"/>
                <w:szCs w:val="20"/>
                <w:color w:val="auto"/>
              </w:rPr>
            </w:pPr>
            <w:r>
              <w:rPr>
                <w:rFonts w:ascii="Courier New" w:cs="Courier New" w:eastAsia="Courier New" w:hAnsi="Courier New"/>
                <w:sz w:val="15"/>
                <w:szCs w:val="15"/>
                <w:color w:val="auto"/>
              </w:rPr>
              <w:t>Born:</w:t>
            </w:r>
          </w:p>
        </w:tc>
        <w:tc>
          <w:tcPr>
            <w:tcW w:w="5360" w:type="dxa"/>
            <w:vAlign w:val="bottom"/>
          </w:tcPr>
          <w:p>
            <w:pPr>
              <w:ind w:left="120"/>
              <w:spacing w:after="0"/>
              <w:rPr>
                <w:sz w:val="20"/>
                <w:szCs w:val="20"/>
                <w:color w:val="auto"/>
              </w:rPr>
            </w:pPr>
            <w:r>
              <w:rPr>
                <w:rFonts w:ascii="Courier New" w:cs="Courier New" w:eastAsia="Courier New" w:hAnsi="Courier New"/>
                <w:sz w:val="15"/>
                <w:szCs w:val="15"/>
                <w:color w:val="auto"/>
              </w:rPr>
              <w:t>January 1955</w:t>
            </w:r>
          </w:p>
        </w:tc>
      </w:tr>
      <w:tr>
        <w:trPr>
          <w:trHeight w:val="168"/>
        </w:trPr>
        <w:tc>
          <w:tcPr>
            <w:tcW w:w="30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Chief Executive Officer--</w:t>
            </w:r>
          </w:p>
        </w:tc>
        <w:tc>
          <w:tcPr>
            <w:tcW w:w="31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Joined FEMSA:</w:t>
            </w:r>
          </w:p>
        </w:tc>
        <w:tc>
          <w:tcPr>
            <w:tcW w:w="5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30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Strategic Business Division</w:t>
            </w:r>
          </w:p>
        </w:tc>
        <w:tc>
          <w:tcPr>
            <w:tcW w:w="31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Appointed to current position:</w:t>
            </w:r>
          </w:p>
        </w:tc>
        <w:tc>
          <w:tcPr>
            <w:tcW w:w="5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3080" w:type="dxa"/>
            <w:vAlign w:val="bottom"/>
          </w:tcPr>
          <w:p>
            <w:pPr>
              <w:spacing w:after="0"/>
              <w:rPr>
                <w:sz w:val="14"/>
                <w:szCs w:val="14"/>
                <w:color w:val="auto"/>
              </w:rPr>
            </w:pPr>
          </w:p>
        </w:tc>
        <w:tc>
          <w:tcPr>
            <w:tcW w:w="31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Business experience within</w:t>
            </w:r>
          </w:p>
        </w:tc>
        <w:tc>
          <w:tcPr>
            <w:tcW w:w="5360" w:type="dxa"/>
            <w:vAlign w:val="bottom"/>
          </w:tcPr>
          <w:p>
            <w:pPr>
              <w:spacing w:after="0"/>
              <w:rPr>
                <w:sz w:val="14"/>
                <w:szCs w:val="14"/>
                <w:color w:val="auto"/>
              </w:rPr>
            </w:pPr>
          </w:p>
        </w:tc>
      </w:tr>
      <w:tr>
        <w:trPr>
          <w:trHeight w:val="168"/>
        </w:trPr>
        <w:tc>
          <w:tcPr>
            <w:tcW w:w="3080" w:type="dxa"/>
            <w:vAlign w:val="bottom"/>
          </w:tcPr>
          <w:p>
            <w:pPr>
              <w:spacing w:after="0"/>
              <w:rPr>
                <w:sz w:val="14"/>
                <w:szCs w:val="14"/>
                <w:color w:val="auto"/>
              </w:rPr>
            </w:pPr>
          </w:p>
        </w:tc>
        <w:tc>
          <w:tcPr>
            <w:tcW w:w="31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FEMSA:</w:t>
            </w:r>
          </w:p>
        </w:tc>
        <w:tc>
          <w:tcPr>
            <w:tcW w:w="5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Director of Planning and Control of FEMSA.</w:t>
            </w:r>
          </w:p>
        </w:tc>
      </w:tr>
      <w:tr>
        <w:trPr>
          <w:trHeight w:val="168"/>
        </w:trPr>
        <w:tc>
          <w:tcPr>
            <w:tcW w:w="3080" w:type="dxa"/>
            <w:vAlign w:val="bottom"/>
          </w:tcPr>
          <w:p>
            <w:pPr>
              <w:spacing w:after="0"/>
              <w:rPr>
                <w:sz w:val="14"/>
                <w:szCs w:val="14"/>
                <w:color w:val="auto"/>
              </w:rPr>
            </w:pPr>
          </w:p>
        </w:tc>
        <w:tc>
          <w:tcPr>
            <w:tcW w:w="31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Other business experience:</w:t>
            </w:r>
          </w:p>
        </w:tc>
        <w:tc>
          <w:tcPr>
            <w:tcW w:w="5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Had a 20-year career in Grupo Alfa,</w:t>
            </w:r>
          </w:p>
        </w:tc>
      </w:tr>
      <w:tr>
        <w:trPr>
          <w:trHeight w:val="168"/>
        </w:trPr>
        <w:tc>
          <w:tcPr>
            <w:tcW w:w="30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5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culminating with a ten-year tenure as Chief</w:t>
            </w:r>
          </w:p>
        </w:tc>
      </w:tr>
      <w:tr>
        <w:trPr>
          <w:trHeight w:val="168"/>
        </w:trPr>
        <w:tc>
          <w:tcPr>
            <w:tcW w:w="30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5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Executive Officer of Terza, S.A. de C.V.  His</w:t>
            </w:r>
          </w:p>
        </w:tc>
      </w:tr>
      <w:tr>
        <w:trPr>
          <w:trHeight w:val="168"/>
        </w:trPr>
        <w:tc>
          <w:tcPr>
            <w:tcW w:w="30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5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major areas of expertise are operational</w:t>
            </w:r>
          </w:p>
        </w:tc>
      </w:tr>
      <w:tr>
        <w:trPr>
          <w:trHeight w:val="168"/>
        </w:trPr>
        <w:tc>
          <w:tcPr>
            <w:tcW w:w="30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5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control, strategic planning and financial</w:t>
            </w:r>
          </w:p>
        </w:tc>
      </w:tr>
      <w:tr>
        <w:trPr>
          <w:trHeight w:val="168"/>
        </w:trPr>
        <w:tc>
          <w:tcPr>
            <w:tcW w:w="30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5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restructuring.</w:t>
            </w:r>
          </w:p>
        </w:tc>
      </w:tr>
      <w:tr>
        <w:trPr>
          <w:trHeight w:val="168"/>
        </w:trPr>
        <w:tc>
          <w:tcPr>
            <w:tcW w:w="3080" w:type="dxa"/>
            <w:vAlign w:val="bottom"/>
          </w:tcPr>
          <w:p>
            <w:pPr>
              <w:spacing w:after="0"/>
              <w:rPr>
                <w:sz w:val="14"/>
                <w:szCs w:val="14"/>
                <w:color w:val="auto"/>
              </w:rPr>
            </w:pPr>
          </w:p>
        </w:tc>
        <w:tc>
          <w:tcPr>
            <w:tcW w:w="31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Other experience:</w:t>
            </w:r>
          </w:p>
        </w:tc>
        <w:tc>
          <w:tcPr>
            <w:tcW w:w="5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8"/>
              </w:rPr>
              <w:t>Holds a degree in mechanical engineering from ITESM and an</w:t>
            </w:r>
          </w:p>
        </w:tc>
      </w:tr>
      <w:tr>
        <w:trPr>
          <w:trHeight w:val="168"/>
        </w:trPr>
        <w:tc>
          <w:tcPr>
            <w:tcW w:w="30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5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MBA from Cornell University.</w:t>
            </w:r>
          </w:p>
        </w:tc>
      </w:tr>
      <w:tr>
        <w:trPr>
          <w:trHeight w:val="673"/>
        </w:trPr>
        <w:tc>
          <w:tcPr>
            <w:tcW w:w="3080" w:type="dxa"/>
            <w:vAlign w:val="bottom"/>
          </w:tcPr>
          <w:p>
            <w:pPr>
              <w:spacing w:after="0"/>
              <w:rPr>
                <w:sz w:val="24"/>
                <w:szCs w:val="24"/>
                <w:color w:val="auto"/>
              </w:rPr>
            </w:pPr>
          </w:p>
        </w:tc>
        <w:tc>
          <w:tcPr>
            <w:tcW w:w="3100" w:type="dxa"/>
            <w:vAlign w:val="bottom"/>
          </w:tcPr>
          <w:p>
            <w:pPr>
              <w:ind w:left="260"/>
              <w:spacing w:after="0"/>
              <w:rPr>
                <w:sz w:val="20"/>
                <w:szCs w:val="20"/>
                <w:color w:val="auto"/>
              </w:rPr>
            </w:pPr>
            <w:r>
              <w:rPr>
                <w:rFonts w:ascii="Courier New" w:cs="Courier New" w:eastAsia="Courier New" w:hAnsi="Courier New"/>
                <w:sz w:val="15"/>
                <w:szCs w:val="15"/>
                <w:color w:val="auto"/>
              </w:rPr>
              <w:t>112</w:t>
            </w:r>
          </w:p>
        </w:tc>
        <w:tc>
          <w:tcPr>
            <w:tcW w:w="5360" w:type="dxa"/>
            <w:vAlign w:val="bottom"/>
          </w:tcPr>
          <w:p>
            <w:pPr>
              <w:spacing w:after="0"/>
              <w:rPr>
                <w:sz w:val="24"/>
                <w:szCs w:val="24"/>
                <w:color w:val="auto"/>
              </w:rPr>
            </w:pPr>
          </w:p>
        </w:tc>
      </w:tr>
    </w:tbl>
    <w:p>
      <w:pPr>
        <w:sectPr>
          <w:pgSz w:w="11900" w:h="16838" w:orient="portrait"/>
          <w:cols w:equalWidth="0" w:num="1">
            <w:col w:w="11540"/>
          </w:cols>
          <w:pgMar w:left="220" w:top="1122" w:right="139" w:bottom="1440" w:gutter="0" w:footer="0" w:header="0"/>
        </w:sectPr>
      </w:pPr>
    </w:p>
    <w:bookmarkStart w:id="120" w:name="page121"/>
    <w:bookmarkEnd w:id="1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20" w:type="dxa"/>
            <w:vAlign w:val="bottom"/>
          </w:tcPr>
          <w:p>
            <w:pPr>
              <w:spacing w:after="0"/>
              <w:rPr>
                <w:sz w:val="20"/>
                <w:szCs w:val="20"/>
                <w:color w:val="auto"/>
              </w:rPr>
            </w:pPr>
            <w:r>
              <w:rPr>
                <w:rFonts w:ascii="Courier New" w:cs="Courier New" w:eastAsia="Courier New" w:hAnsi="Courier New"/>
                <w:sz w:val="15"/>
                <w:szCs w:val="15"/>
                <w:color w:val="auto"/>
              </w:rPr>
              <w:t>Arturo Guerrero</w:t>
            </w:r>
          </w:p>
        </w:tc>
        <w:tc>
          <w:tcPr>
            <w:tcW w:w="3160" w:type="dxa"/>
            <w:vAlign w:val="bottom"/>
          </w:tcPr>
          <w:p>
            <w:pPr>
              <w:ind w:left="400"/>
              <w:spacing w:after="0"/>
              <w:rPr>
                <w:sz w:val="20"/>
                <w:szCs w:val="20"/>
                <w:color w:val="auto"/>
              </w:rPr>
            </w:pPr>
            <w:r>
              <w:rPr>
                <w:rFonts w:ascii="Courier New" w:cs="Courier New" w:eastAsia="Courier New" w:hAnsi="Courier New"/>
                <w:sz w:val="15"/>
                <w:szCs w:val="15"/>
                <w:color w:val="auto"/>
              </w:rPr>
              <w:t>Born:</w:t>
            </w:r>
          </w:p>
        </w:tc>
        <w:tc>
          <w:tcPr>
            <w:tcW w:w="5200" w:type="dxa"/>
            <w:vAlign w:val="bottom"/>
          </w:tcPr>
          <w:p>
            <w:pPr>
              <w:ind w:left="120"/>
              <w:spacing w:after="0"/>
              <w:rPr>
                <w:sz w:val="20"/>
                <w:szCs w:val="20"/>
                <w:color w:val="auto"/>
              </w:rPr>
            </w:pPr>
            <w:r>
              <w:rPr>
                <w:rFonts w:ascii="Courier New" w:cs="Courier New" w:eastAsia="Courier New" w:hAnsi="Courier New"/>
                <w:sz w:val="15"/>
                <w:szCs w:val="15"/>
                <w:color w:val="auto"/>
              </w:rPr>
              <w:t>March 1949</w:t>
            </w:r>
          </w:p>
        </w:tc>
      </w:tr>
      <w:tr>
        <w:trPr>
          <w:trHeight w:val="168"/>
        </w:trPr>
        <w:tc>
          <w:tcPr>
            <w:tcW w:w="30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Chief Financial Officer--</w:t>
            </w:r>
          </w:p>
        </w:tc>
        <w:tc>
          <w:tcPr>
            <w:tcW w:w="31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Joined FEMSA:</w:t>
            </w:r>
          </w:p>
        </w:tc>
        <w:tc>
          <w:tcPr>
            <w:tcW w:w="52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1979</w:t>
            </w:r>
          </w:p>
        </w:tc>
      </w:tr>
      <w:tr>
        <w:trPr>
          <w:trHeight w:val="168"/>
        </w:trPr>
        <w:tc>
          <w:tcPr>
            <w:tcW w:w="30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FEMSA Empaques</w:t>
            </w:r>
          </w:p>
        </w:tc>
        <w:tc>
          <w:tcPr>
            <w:tcW w:w="31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Appointed to current position:</w:t>
            </w:r>
          </w:p>
        </w:tc>
        <w:tc>
          <w:tcPr>
            <w:tcW w:w="52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1991</w:t>
            </w:r>
          </w:p>
        </w:tc>
      </w:tr>
      <w:tr>
        <w:trPr>
          <w:trHeight w:val="168"/>
        </w:trPr>
        <w:tc>
          <w:tcPr>
            <w:tcW w:w="3020" w:type="dxa"/>
            <w:vAlign w:val="bottom"/>
          </w:tcPr>
          <w:p>
            <w:pPr>
              <w:spacing w:after="0"/>
              <w:rPr>
                <w:sz w:val="14"/>
                <w:szCs w:val="14"/>
                <w:color w:val="auto"/>
              </w:rPr>
            </w:pPr>
          </w:p>
        </w:tc>
        <w:tc>
          <w:tcPr>
            <w:tcW w:w="31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Business experience within</w:t>
            </w:r>
          </w:p>
        </w:tc>
        <w:tc>
          <w:tcPr>
            <w:tcW w:w="5200" w:type="dxa"/>
            <w:vAlign w:val="bottom"/>
          </w:tcPr>
          <w:p>
            <w:pPr>
              <w:spacing w:after="0"/>
              <w:rPr>
                <w:sz w:val="14"/>
                <w:szCs w:val="14"/>
                <w:color w:val="auto"/>
              </w:rPr>
            </w:pPr>
          </w:p>
        </w:tc>
      </w:tr>
      <w:tr>
        <w:trPr>
          <w:trHeight w:val="168"/>
        </w:trPr>
        <w:tc>
          <w:tcPr>
            <w:tcW w:w="3020" w:type="dxa"/>
            <w:vAlign w:val="bottom"/>
          </w:tcPr>
          <w:p>
            <w:pPr>
              <w:spacing w:after="0"/>
              <w:rPr>
                <w:sz w:val="14"/>
                <w:szCs w:val="14"/>
                <w:color w:val="auto"/>
              </w:rPr>
            </w:pPr>
          </w:p>
        </w:tc>
        <w:tc>
          <w:tcPr>
            <w:tcW w:w="31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FEMSA:</w:t>
            </w:r>
          </w:p>
        </w:tc>
        <w:tc>
          <w:tcPr>
            <w:tcW w:w="52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Has held managerial positions in the areas of</w:t>
            </w:r>
          </w:p>
        </w:tc>
      </w:tr>
      <w:tr>
        <w:trPr>
          <w:trHeight w:val="168"/>
        </w:trPr>
        <w:tc>
          <w:tcPr>
            <w:tcW w:w="30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52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finance, auditing, fiscal and general</w:t>
            </w:r>
          </w:p>
        </w:tc>
      </w:tr>
      <w:tr>
        <w:trPr>
          <w:trHeight w:val="168"/>
        </w:trPr>
        <w:tc>
          <w:tcPr>
            <w:tcW w:w="30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52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management, all within the packaging division</w:t>
            </w:r>
          </w:p>
        </w:tc>
      </w:tr>
      <w:tr>
        <w:trPr>
          <w:trHeight w:val="168"/>
        </w:trPr>
        <w:tc>
          <w:tcPr>
            <w:tcW w:w="30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52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of FEMSA.</w:t>
            </w:r>
          </w:p>
        </w:tc>
      </w:tr>
      <w:tr>
        <w:trPr>
          <w:trHeight w:val="168"/>
        </w:trPr>
        <w:tc>
          <w:tcPr>
            <w:tcW w:w="3020" w:type="dxa"/>
            <w:vAlign w:val="bottom"/>
          </w:tcPr>
          <w:p>
            <w:pPr>
              <w:spacing w:after="0"/>
              <w:rPr>
                <w:sz w:val="14"/>
                <w:szCs w:val="14"/>
                <w:color w:val="auto"/>
              </w:rPr>
            </w:pPr>
          </w:p>
        </w:tc>
        <w:tc>
          <w:tcPr>
            <w:tcW w:w="31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Other experience:</w:t>
            </w:r>
          </w:p>
        </w:tc>
        <w:tc>
          <w:tcPr>
            <w:tcW w:w="52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Holds a CPA degree from the UANL and a masters degree in</w:t>
            </w:r>
          </w:p>
        </w:tc>
      </w:tr>
      <w:tr>
        <w:trPr>
          <w:trHeight w:val="168"/>
        </w:trPr>
        <w:tc>
          <w:tcPr>
            <w:tcW w:w="30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52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6"/>
              </w:rPr>
              <w:t>business administration from the Universidad Regiomontana.</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4280"/>
        <w:spacing w:after="0"/>
        <w:rPr>
          <w:sz w:val="20"/>
          <w:szCs w:val="20"/>
          <w:color w:val="auto"/>
        </w:rPr>
      </w:pPr>
      <w:r>
        <w:rPr>
          <w:rFonts w:ascii="Courier New" w:cs="Courier New" w:eastAsia="Courier New" w:hAnsi="Courier New"/>
          <w:sz w:val="15"/>
          <w:szCs w:val="15"/>
          <w:color w:val="auto"/>
        </w:rPr>
        <w:t>Compensation of Directors and Senior Management</w:t>
      </w:r>
    </w:p>
    <w:p>
      <w:pPr>
        <w:spacing w:after="0" w:line="173" w:lineRule="exact"/>
        <w:rPr>
          <w:sz w:val="20"/>
          <w:szCs w:val="20"/>
          <w:color w:val="auto"/>
        </w:rPr>
      </w:pPr>
    </w:p>
    <w:p>
      <w:pPr>
        <w:ind w:right="4640" w:firstLine="437"/>
        <w:spacing w:after="0" w:line="234" w:lineRule="auto"/>
        <w:rPr>
          <w:sz w:val="20"/>
          <w:szCs w:val="20"/>
          <w:color w:val="auto"/>
        </w:rPr>
      </w:pPr>
      <w:r>
        <w:rPr>
          <w:rFonts w:ascii="Courier New" w:cs="Courier New" w:eastAsia="Courier New" w:hAnsi="Courier New"/>
          <w:sz w:val="15"/>
          <w:szCs w:val="15"/>
          <w:color w:val="auto"/>
        </w:rPr>
        <w:t>For the year ended December 31, 2002, the aggregate compensation paid to our Directors was approximately Ps. 5.4 million.</w:t>
      </w:r>
    </w:p>
    <w:p>
      <w:pPr>
        <w:spacing w:after="0" w:line="173" w:lineRule="exact"/>
        <w:rPr>
          <w:sz w:val="20"/>
          <w:szCs w:val="20"/>
          <w:color w:val="auto"/>
        </w:rPr>
      </w:pPr>
    </w:p>
    <w:p>
      <w:pPr>
        <w:ind w:right="4540" w:firstLine="437"/>
        <w:spacing w:after="0" w:line="236" w:lineRule="auto"/>
        <w:rPr>
          <w:sz w:val="20"/>
          <w:szCs w:val="20"/>
          <w:color w:val="auto"/>
        </w:rPr>
      </w:pPr>
      <w:r>
        <w:rPr>
          <w:rFonts w:ascii="Courier New" w:cs="Courier New" w:eastAsia="Courier New" w:hAnsi="Courier New"/>
          <w:sz w:val="15"/>
          <w:szCs w:val="15"/>
          <w:color w:val="auto"/>
        </w:rPr>
        <w:t>For the year ended December 31, 2002, the aggregate compensation paid to executive officers and senior management of FEMSA and its subsidiaries was approximately Ps. 614 million. Aggregate compensation includes bonuses we paid to certain members of senior management and payments in connection with the Stock Incentive Plan, described below.</w:t>
      </w:r>
    </w:p>
    <w:p>
      <w:pPr>
        <w:spacing w:after="0" w:line="167" w:lineRule="exact"/>
        <w:rPr>
          <w:sz w:val="20"/>
          <w:szCs w:val="20"/>
          <w:color w:val="auto"/>
        </w:rPr>
      </w:pPr>
    </w:p>
    <w:p>
      <w:pPr>
        <w:jc w:val="center"/>
        <w:ind w:right="4280"/>
        <w:spacing w:after="0"/>
        <w:rPr>
          <w:sz w:val="20"/>
          <w:szCs w:val="20"/>
          <w:color w:val="auto"/>
        </w:rPr>
      </w:pPr>
      <w:r>
        <w:rPr>
          <w:rFonts w:ascii="Courier New" w:cs="Courier New" w:eastAsia="Courier New" w:hAnsi="Courier New"/>
          <w:sz w:val="15"/>
          <w:szCs w:val="15"/>
          <w:color w:val="auto"/>
        </w:rPr>
        <w:t>Executive Incentive Program</w:t>
      </w:r>
    </w:p>
    <w:p>
      <w:pPr>
        <w:spacing w:after="0" w:line="173" w:lineRule="exact"/>
        <w:rPr>
          <w:sz w:val="20"/>
          <w:szCs w:val="20"/>
          <w:color w:val="auto"/>
        </w:rPr>
      </w:pPr>
    </w:p>
    <w:p>
      <w:pPr>
        <w:ind w:right="4380" w:firstLine="437"/>
        <w:spacing w:after="0" w:line="254" w:lineRule="auto"/>
        <w:rPr>
          <w:sz w:val="20"/>
          <w:szCs w:val="20"/>
          <w:color w:val="auto"/>
        </w:rPr>
      </w:pPr>
      <w:r>
        <w:rPr>
          <w:rFonts w:ascii="Courier New" w:cs="Courier New" w:eastAsia="Courier New" w:hAnsi="Courier New"/>
          <w:sz w:val="14"/>
          <w:szCs w:val="14"/>
          <w:color w:val="auto"/>
        </w:rPr>
        <w:t>In 1997, certain of our subsidiaries commenced an executive incentive program through which a one-time cash-settled option was granted to certain of their executive officers (the "Executive Incentive Program"). Under the terms of the Executive Incentive Program, the participant executive officers will be entitled on the fifth anniversary of the program, to a cash payment, of a special bonus based on the amount of increase in real terms during the preceding five years in the market value of the BD Units or, in the case of officers of Coca-Cola FEMSA, in equal parts in the market value of BD Units and Series L Shares of Coca-Cola FEMSA, provided that no payments will be made unless the market value has at least doubled in real terms. The Executive Incentive Program is administered by a trust for the benefit of the participant executive officers. In March of 2002, we amended some of the terms of the Executive Incentive Plan. The main amendment was to extend the term of the program for another year; as a result, the five-year term to determine if the cash payment should be distributed to the participant executive officers ran from March 1998 through March 2003. We hedged our obligations under the Executive Incentive Program until the end of October 2002 by investing with Morgan Guaranty Trust Company of New York in cash-settled options relating to BD Units. The conditions for the payment of the special bonus were not met, so this incentive program was terminated as of March 2003.</w:t>
      </w:r>
    </w:p>
    <w:p>
      <w:pPr>
        <w:spacing w:after="0" w:line="3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113</w:t>
      </w:r>
    </w:p>
    <w:p>
      <w:pPr>
        <w:sectPr>
          <w:pgSz w:w="11900" w:h="16838" w:orient="portrait"/>
          <w:cols w:equalWidth="0" w:num="1">
            <w:col w:w="11380"/>
          </w:cols>
          <w:pgMar w:left="220" w:top="1122" w:right="299" w:bottom="1440" w:gutter="0" w:footer="0" w:header="0"/>
        </w:sectPr>
      </w:pPr>
    </w:p>
    <w:bookmarkStart w:id="121" w:name="page122"/>
    <w:bookmarkEnd w:id="121"/>
    <w:p>
      <w:pPr>
        <w:jc w:val="center"/>
        <w:ind w:right="3239"/>
        <w:spacing w:after="0"/>
        <w:rPr>
          <w:sz w:val="20"/>
          <w:szCs w:val="20"/>
          <w:color w:val="auto"/>
        </w:rPr>
      </w:pPr>
      <w:r>
        <w:rPr>
          <w:rFonts w:ascii="Courier New" w:cs="Courier New" w:eastAsia="Courier New" w:hAnsi="Courier New"/>
          <w:sz w:val="15"/>
          <w:szCs w:val="15"/>
          <w:color w:val="auto"/>
        </w:rPr>
        <w:t>Stock Incentive Plan</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In 1998, we, along with our subsidiaries, commenced a five-year stock incentive plan for the benefit of our executive officers (the "Stock Incentive Plan"). Under the terms of the Stock Incentive Plan, during the years 1999 through 2003, the executive officers may be selected to receive a special cash bonus (a "Special Bonus") which will be used to obtain a "Stock Grant" (as defined below) or an "Option Right" (as defined below). Each year, our Chief Executive Officer, together with the Chief Executive Officer of the respective subsidiary, select the executive officers who may participate in the Stock Incentive Plan and determine the amount of the Special Bonus, based on each executive officer's level of responsibility and corporate achievements during the prior year.</w:t>
      </w:r>
    </w:p>
    <w:p>
      <w:pPr>
        <w:spacing w:after="0" w:line="180"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Stock Grants and the Option Rights are administrated by certain trusts for the benefit of the selected executive officers. Every year a new administrative trust is formed to manage the Stock Grants and the Option Rights acquired in that particular year. Under the terms of the Stock Incentive Plan, each time a Special Bonus is assigned to an executive officer, the executive officer contributes the Special Bonus received to the administrative trust in exchange for a Stock Grant or Option Right, as determined annually by us. Each administrative trust is managed by a technical committee formed by executives of our company and is governed by Mexican law.</w:t>
      </w:r>
    </w:p>
    <w:p>
      <w:pPr>
        <w:spacing w:after="0" w:line="16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 Stock Grant entitles an executive officer to receive BD Units or, in the case of officers of Coca-Cola FEMSA, a specified proportion of BD Units and Series L Shares of Coca-Cola FEMSA, which will be acquired by the respective administrative trust in the open market, using the Special Bonus contributed by each executive officer. Under the terms of the Stock Incentive Plan, the ownership of the BD Units and, in its case, the Series L Shares of Coca-Cola FEMSA, will vest upon the executive officer holding a Stock Grant each 28th of February over the next five years following the date of receipt of the Stock Grant, at a rate per year equivalent to the number of BD Units and, as applicable, Coca-Cola FEMSA Series L Shares, which can be acquired with 20% of such Stock Grant.</w:t>
      </w:r>
    </w:p>
    <w:p>
      <w:pPr>
        <w:spacing w:after="0" w:line="180"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An Option Right is an option acquired by the respective administrative trust in the open market, using the Special Bonus contributed by each executive officer, which shall entitle a participating executive officer to elect to (a) acquire a certain number of BD Units or, in the case of officers of Coca-Cola FEMSA, a certain number of BD Units and Series L Shares of Coca-Cola FEMSA, at the exercise price specified in the option, or (b) receive a cash payment equivalent to the amount of increase in the market value of such number of BD Units and, in its case, Series L Shares of Coca-Cola FEMSA, as compared to the exercise price specified in the option. Under the terms of the Stock Incentive Plan, the Option Rights shall be exercisable each 28th of February and 31st of August over the next five years following the date on which they were granted, at a yearly rate equivalent to up to 20% of the total number of BD Units and Series L Shares of Coca-Cola FEMSA covered by each Option Right. If an Option Right is not exercised in full during a certain year, any remaining unexercised part shall be exercisable over the next year, at the specified dates. If at the time of expiration of an Option Right there are any remaining BD Units or Series L Shares of Coca-Cola FEMSA over which no option has been exercised, the remaining part of the option will be automatically exercised as specified in (b) above and a cash payment will be made to the executive officer.</w:t>
      </w:r>
    </w:p>
    <w:p>
      <w:pPr>
        <w:spacing w:after="0" w:line="343" w:lineRule="exact"/>
        <w:rPr>
          <w:sz w:val="20"/>
          <w:szCs w:val="20"/>
          <w:color w:val="auto"/>
        </w:rPr>
      </w:pPr>
    </w:p>
    <w:p>
      <w:pPr>
        <w:ind w:right="3579" w:firstLine="437"/>
        <w:spacing w:after="0" w:line="236" w:lineRule="auto"/>
        <w:rPr>
          <w:sz w:val="20"/>
          <w:szCs w:val="20"/>
          <w:color w:val="auto"/>
        </w:rPr>
      </w:pPr>
      <w:r>
        <w:rPr>
          <w:rFonts w:ascii="Courier New" w:cs="Courier New" w:eastAsia="Courier New" w:hAnsi="Courier New"/>
          <w:sz w:val="15"/>
          <w:szCs w:val="15"/>
          <w:color w:val="auto"/>
        </w:rPr>
        <w:t>As of the date of this Annual Report, five administrative trusts, which administer the Stock Incentive Plan, hold a total of 6,185,646 BD Units and 1,737,351 Series L Shares of Coca-Cola FEMSA, each representing 0.584% and 0.094% of the total number of shares outstanding of FEMSA and of Coca-Cola FEMSA, respectively.</w:t>
      </w:r>
    </w:p>
    <w:p>
      <w:pPr>
        <w:spacing w:after="0" w:line="167"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Share Ownership</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Several of our directors are participants in the Voting Trust. Each of the trust participants of the Voting Trust is deemed to have beneficial ownership with shared voting power over the shares deposited in the Voting Trust, which consist of 1,473,334,215 Series B Shares representing 53.8% of the Series B Shares outstanding. See "Item 7. Major Shareholders and Related Party Transactions."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114</w:t>
      </w:r>
    </w:p>
    <w:p>
      <w:pPr>
        <w:sectPr>
          <w:pgSz w:w="11900" w:h="16838" w:orient="portrait"/>
          <w:cols w:equalWidth="0" w:num="1">
            <w:col w:w="10239"/>
          </w:cols>
          <w:pgMar w:left="220" w:top="617" w:right="1440" w:bottom="1440" w:gutter="0" w:footer="0" w:header="0"/>
        </w:sectPr>
      </w:pPr>
    </w:p>
    <w:bookmarkStart w:id="122" w:name="page123"/>
    <w:bookmarkEnd w:id="122"/>
    <w:p>
      <w:pPr>
        <w:jc w:val="both"/>
        <w:ind w:right="440" w:firstLine="437"/>
        <w:spacing w:after="0" w:line="235" w:lineRule="auto"/>
        <w:rPr>
          <w:sz w:val="20"/>
          <w:szCs w:val="20"/>
          <w:color w:val="auto"/>
        </w:rPr>
      </w:pPr>
      <w:r>
        <w:rPr>
          <w:rFonts w:ascii="Courier New" w:cs="Courier New" w:eastAsia="Courier New" w:hAnsi="Courier New"/>
          <w:sz w:val="15"/>
          <w:szCs w:val="15"/>
          <w:color w:val="auto"/>
        </w:rPr>
        <w:t>The following table shows the Series B Shares, Series D-B Shares and Series D-L Shares as of June 13, 2003 beneficially owned by our directors who are trust participants of the Voting Trust, other than the shares deposited in the Voting Trust:</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20" w:type="dxa"/>
            <w:vAlign w:val="bottom"/>
          </w:tcPr>
          <w:p>
            <w:pPr>
              <w:spacing w:after="0"/>
              <w:rPr>
                <w:sz w:val="14"/>
                <w:szCs w:val="14"/>
                <w:color w:val="auto"/>
              </w:rPr>
            </w:pPr>
          </w:p>
        </w:tc>
        <w:tc>
          <w:tcPr>
            <w:tcW w:w="2700" w:type="dxa"/>
            <w:vAlign w:val="bottom"/>
            <w:gridSpan w:val="2"/>
          </w:tcPr>
          <w:p>
            <w:pPr>
              <w:ind w:left="1000"/>
              <w:spacing w:after="0"/>
              <w:rPr>
                <w:sz w:val="20"/>
                <w:szCs w:val="20"/>
                <w:color w:val="auto"/>
              </w:rPr>
            </w:pPr>
            <w:r>
              <w:rPr>
                <w:rFonts w:ascii="Courier New" w:cs="Courier New" w:eastAsia="Courier New" w:hAnsi="Courier New"/>
                <w:sz w:val="15"/>
                <w:szCs w:val="15"/>
                <w:color w:val="auto"/>
              </w:rPr>
              <w:t>Series B</w:t>
            </w:r>
          </w:p>
        </w:tc>
        <w:tc>
          <w:tcPr>
            <w:tcW w:w="2320" w:type="dxa"/>
            <w:vAlign w:val="bottom"/>
            <w:gridSpan w:val="2"/>
          </w:tcPr>
          <w:p>
            <w:pPr>
              <w:jc w:val="right"/>
              <w:ind w:right="707"/>
              <w:spacing w:after="0"/>
              <w:rPr>
                <w:sz w:val="20"/>
                <w:szCs w:val="20"/>
                <w:color w:val="auto"/>
              </w:rPr>
            </w:pPr>
            <w:r>
              <w:rPr>
                <w:rFonts w:ascii="Courier New" w:cs="Courier New" w:eastAsia="Courier New" w:hAnsi="Courier New"/>
                <w:sz w:val="15"/>
                <w:szCs w:val="15"/>
                <w:color w:val="auto"/>
              </w:rPr>
              <w:t>Series D-B</w:t>
            </w:r>
          </w:p>
        </w:tc>
      </w:tr>
      <w:tr>
        <w:trPr>
          <w:trHeight w:val="168"/>
        </w:trPr>
        <w:tc>
          <w:tcPr>
            <w:tcW w:w="24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Percent of</w:t>
            </w:r>
          </w:p>
        </w:tc>
        <w:tc>
          <w:tcPr>
            <w:tcW w:w="1240" w:type="dxa"/>
            <w:vAlign w:val="bottom"/>
          </w:tcPr>
          <w:p>
            <w:pPr>
              <w:spacing w:after="0"/>
              <w:rPr>
                <w:sz w:val="14"/>
                <w:szCs w:val="14"/>
                <w:color w:val="auto"/>
              </w:rPr>
            </w:pP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Percent of</w:t>
            </w:r>
          </w:p>
        </w:tc>
      </w:tr>
      <w:tr>
        <w:trPr>
          <w:trHeight w:val="168"/>
        </w:trPr>
        <w:tc>
          <w:tcPr>
            <w:tcW w:w="24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Beneficial Owner</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Shares</w:t>
            </w:r>
          </w:p>
        </w:tc>
        <w:tc>
          <w:tcPr>
            <w:tcW w:w="1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Class</w:t>
            </w:r>
          </w:p>
        </w:tc>
        <w:tc>
          <w:tcPr>
            <w:tcW w:w="12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Shares</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Class</w:t>
            </w:r>
          </w:p>
        </w:tc>
      </w:tr>
      <w:tr>
        <w:trPr>
          <w:trHeight w:val="336"/>
        </w:trPr>
        <w:tc>
          <w:tcPr>
            <w:tcW w:w="2420" w:type="dxa"/>
            <w:vAlign w:val="bottom"/>
          </w:tcPr>
          <w:p>
            <w:pPr>
              <w:spacing w:after="0"/>
              <w:rPr>
                <w:sz w:val="20"/>
                <w:szCs w:val="20"/>
                <w:color w:val="auto"/>
              </w:rPr>
            </w:pPr>
            <w:r>
              <w:rPr>
                <w:rFonts w:ascii="Courier New" w:cs="Courier New" w:eastAsia="Courier New" w:hAnsi="Courier New"/>
                <w:sz w:val="15"/>
                <w:szCs w:val="15"/>
                <w:color w:val="auto"/>
              </w:rPr>
              <w:t>Eugenio Garza Laguera</w:t>
            </w:r>
          </w:p>
        </w:tc>
        <w:tc>
          <w:tcPr>
            <w:tcW w:w="1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38,956,978</w:t>
            </w:r>
          </w:p>
        </w:tc>
        <w:tc>
          <w:tcPr>
            <w:tcW w:w="1260" w:type="dxa"/>
            <w:vAlign w:val="bottom"/>
          </w:tcPr>
          <w:p>
            <w:pPr>
              <w:ind w:left="440"/>
              <w:spacing w:after="0"/>
              <w:rPr>
                <w:sz w:val="20"/>
                <w:szCs w:val="20"/>
                <w:color w:val="auto"/>
              </w:rPr>
            </w:pPr>
            <w:r>
              <w:rPr>
                <w:rFonts w:ascii="Courier New" w:cs="Courier New" w:eastAsia="Courier New" w:hAnsi="Courier New"/>
                <w:sz w:val="15"/>
                <w:szCs w:val="15"/>
                <w:color w:val="auto"/>
              </w:rPr>
              <w:t>1.42</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8,881,736</w:t>
            </w:r>
          </w:p>
        </w:tc>
        <w:tc>
          <w:tcPr>
            <w:tcW w:w="10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0.69</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Jose Calderon Ayala</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42,989,332</w:t>
            </w:r>
          </w:p>
        </w:tc>
        <w:tc>
          <w:tcPr>
            <w:tcW w:w="1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1.57</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4,553,034</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0.36</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Consuelo Garza de Garza</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11,011,980</w:t>
            </w:r>
          </w:p>
        </w:tc>
        <w:tc>
          <w:tcPr>
            <w:tcW w:w="1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0.40</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4,031,160</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0.31</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Max Michel Suberville</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55,270,870</w:t>
            </w:r>
          </w:p>
        </w:tc>
        <w:tc>
          <w:tcPr>
            <w:tcW w:w="1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2.02</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0.00</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Alberto Bailleres</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6,192,375</w:t>
            </w:r>
          </w:p>
        </w:tc>
        <w:tc>
          <w:tcPr>
            <w:tcW w:w="1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0.23</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667,780</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0.05</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Barbara Garza Gonda de</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9,241,015</w:t>
            </w:r>
          </w:p>
        </w:tc>
        <w:tc>
          <w:tcPr>
            <w:tcW w:w="1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0.34</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0.00</w:t>
            </w:r>
          </w:p>
        </w:tc>
      </w:tr>
      <w:tr>
        <w:trPr>
          <w:trHeight w:val="168"/>
        </w:trPr>
        <w:tc>
          <w:tcPr>
            <w:tcW w:w="24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Braniff</w:t>
            </w:r>
          </w:p>
        </w:tc>
        <w:tc>
          <w:tcPr>
            <w:tcW w:w="1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r>
    </w:tbl>
    <w:p>
      <w:pPr>
        <w:spacing w:after="0" w:line="341" w:lineRule="exact"/>
        <w:rPr>
          <w:sz w:val="20"/>
          <w:szCs w:val="20"/>
          <w:color w:val="auto"/>
        </w:rPr>
      </w:pPr>
    </w:p>
    <w:p>
      <w:pPr>
        <w:ind w:right="600" w:firstLine="437"/>
        <w:spacing w:after="0" w:line="234" w:lineRule="auto"/>
        <w:rPr>
          <w:sz w:val="20"/>
          <w:szCs w:val="20"/>
          <w:color w:val="auto"/>
        </w:rPr>
      </w:pPr>
      <w:r>
        <w:rPr>
          <w:rFonts w:ascii="Courier New" w:cs="Courier New" w:eastAsia="Courier New" w:hAnsi="Courier New"/>
          <w:sz w:val="15"/>
          <w:szCs w:val="15"/>
          <w:color w:val="auto"/>
        </w:rPr>
        <w:t>To our knowledge, no other director or officer is the beneficial owner of more than 1% of any class of FEMSA's capital stock.</w:t>
      </w:r>
    </w:p>
    <w:p>
      <w:pPr>
        <w:spacing w:after="0" w:line="167"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5"/>
          <w:szCs w:val="15"/>
          <w:color w:val="auto"/>
        </w:rPr>
        <w:t>Board Practices</w:t>
      </w:r>
    </w:p>
    <w:p>
      <w:pPr>
        <w:spacing w:after="0" w:line="173" w:lineRule="exact"/>
        <w:rPr>
          <w:sz w:val="20"/>
          <w:szCs w:val="20"/>
          <w:color w:val="auto"/>
        </w:rPr>
      </w:pPr>
    </w:p>
    <w:p>
      <w:pPr>
        <w:ind w:right="520" w:firstLine="437"/>
        <w:spacing w:after="0" w:line="236" w:lineRule="auto"/>
        <w:rPr>
          <w:sz w:val="20"/>
          <w:szCs w:val="20"/>
          <w:color w:val="auto"/>
        </w:rPr>
      </w:pPr>
      <w:r>
        <w:rPr>
          <w:rFonts w:ascii="Courier New" w:cs="Courier New" w:eastAsia="Courier New" w:hAnsi="Courier New"/>
          <w:sz w:val="15"/>
          <w:szCs w:val="15"/>
          <w:color w:val="auto"/>
        </w:rPr>
        <w:t>Our bylaws state that the Board of Directors will meet at least once every three months following the end of each quarter to discuss our operating results and advancement in the achievement of strategic objectives. Our Board of Directors can also hold extraordinary meetings. See "Item 10. Additional Information--Bylaws."</w:t>
      </w:r>
    </w:p>
    <w:p>
      <w:pPr>
        <w:spacing w:after="0" w:line="174" w:lineRule="exact"/>
        <w:rPr>
          <w:sz w:val="20"/>
          <w:szCs w:val="20"/>
          <w:color w:val="auto"/>
        </w:rPr>
      </w:pPr>
    </w:p>
    <w:p>
      <w:pPr>
        <w:ind w:right="520" w:firstLine="437"/>
        <w:spacing w:after="0" w:line="235" w:lineRule="auto"/>
        <w:rPr>
          <w:sz w:val="20"/>
          <w:szCs w:val="20"/>
          <w:color w:val="auto"/>
        </w:rPr>
      </w:pPr>
      <w:r>
        <w:rPr>
          <w:rFonts w:ascii="Courier New" w:cs="Courier New" w:eastAsia="Courier New" w:hAnsi="Courier New"/>
          <w:sz w:val="15"/>
          <w:szCs w:val="15"/>
          <w:color w:val="auto"/>
        </w:rPr>
        <w:t>Under our bylaws, Directors serve one-year terms although they continue in office if and until successors are appointed. None of our Directors or senior managers of our subsidiaries has service contracts providing for benefits upon termination of employment.</w:t>
      </w:r>
    </w:p>
    <w:p>
      <w:pPr>
        <w:spacing w:after="0" w:line="175" w:lineRule="exact"/>
        <w:rPr>
          <w:sz w:val="20"/>
          <w:szCs w:val="20"/>
          <w:color w:val="auto"/>
        </w:rPr>
      </w:pPr>
    </w:p>
    <w:p>
      <w:pPr>
        <w:ind w:right="440" w:firstLine="437"/>
        <w:spacing w:after="0" w:line="236" w:lineRule="auto"/>
        <w:rPr>
          <w:sz w:val="20"/>
          <w:szCs w:val="20"/>
          <w:color w:val="auto"/>
        </w:rPr>
      </w:pPr>
      <w:r>
        <w:rPr>
          <w:rFonts w:ascii="Courier New" w:cs="Courier New" w:eastAsia="Courier New" w:hAnsi="Courier New"/>
          <w:sz w:val="15"/>
          <w:szCs w:val="15"/>
          <w:color w:val="auto"/>
        </w:rPr>
        <w:t>Our Board of Directors is supported by committees, which are working groups that analyze issues and provide recommendations to the Board of Directors regarding their respective areas of focus. The executive officers interact periodically with the committees to address management issues. The following are the three committees of the Board of Directors:</w:t>
      </w:r>
    </w:p>
    <w:p>
      <w:pPr>
        <w:spacing w:after="0" w:line="174" w:lineRule="exact"/>
        <w:rPr>
          <w:sz w:val="20"/>
          <w:szCs w:val="20"/>
          <w:color w:val="auto"/>
        </w:rPr>
      </w:pPr>
    </w:p>
    <w:p>
      <w:pPr>
        <w:ind w:left="440" w:right="520" w:hanging="430"/>
        <w:spacing w:after="0" w:line="255" w:lineRule="auto"/>
        <w:tabs>
          <w:tab w:leader="none" w:pos="178"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The Evaluation and Compensation (Human Resources) Committee. Responsibilities include (i) recommending procedures for the election of the Chief Executive Officer and other senior executives; (ii) proposing to the Board of Directors the criteria for the evaluation of the Chief Executive Officer and the senior executives; and (iii) analyzing and presenting to the Board of Directors the proposal prepared by the Chief Executive Officer regarding the structure and amount of compensation for FEMSA's key executives. The current Evaluation and Compensation Committee members are: Roberto Servitje (chairman of the committee), Max Michel Suberville, Arturo Fernandez Perez, Carlos Salguero and Lorenzo H. Zambrano. Ricardo Gonzalez is the appointed secretary of this committee.</w:t>
      </w:r>
    </w:p>
    <w:p>
      <w:pPr>
        <w:spacing w:after="0" w:line="164" w:lineRule="exact"/>
        <w:rPr>
          <w:rFonts w:ascii="Courier New" w:cs="Courier New" w:eastAsia="Courier New" w:hAnsi="Courier New"/>
          <w:sz w:val="15"/>
          <w:szCs w:val="15"/>
          <w:color w:val="auto"/>
        </w:rPr>
      </w:pPr>
    </w:p>
    <w:p>
      <w:pPr>
        <w:ind w:left="440" w:right="260" w:hanging="430"/>
        <w:spacing w:after="0" w:line="236" w:lineRule="auto"/>
        <w:tabs>
          <w:tab w:leader="none" w:pos="178"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Audit Committee. Responsibilities include (i) recommending to the Board of Directors the candidates for external auditors of FEMSA; (ii) ensuring the independence and objectivity of the latter; and (iii) recommending to the Board of Directors procedures for the preparation of financial information. The current Audit Committee members are: Alexis Rovzar (chairman of the committee), Jose Manuel Canal Hernando, Eduardo A.</w:t>
      </w:r>
    </w:p>
    <w:p>
      <w:pPr>
        <w:spacing w:after="0" w:line="6" w:lineRule="exact"/>
        <w:rPr>
          <w:rFonts w:ascii="Courier New" w:cs="Courier New" w:eastAsia="Courier New" w:hAnsi="Courier New"/>
          <w:sz w:val="15"/>
          <w:szCs w:val="15"/>
          <w:color w:val="auto"/>
        </w:rPr>
      </w:pPr>
    </w:p>
    <w:p>
      <w:pPr>
        <w:ind w:left="440" w:right="520"/>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Elizondo and Helmut Paul. Jose Gonzalez Ornelas is the appointed secretary of the Audit Committee.</w:t>
      </w:r>
    </w:p>
    <w:p>
      <w:pPr>
        <w:spacing w:after="0" w:line="173" w:lineRule="exact"/>
        <w:rPr>
          <w:rFonts w:ascii="Courier New" w:cs="Courier New" w:eastAsia="Courier New" w:hAnsi="Courier New"/>
          <w:sz w:val="15"/>
          <w:szCs w:val="15"/>
          <w:color w:val="auto"/>
        </w:rPr>
      </w:pPr>
    </w:p>
    <w:p>
      <w:pPr>
        <w:ind w:left="440" w:right="260" w:hanging="430"/>
        <w:spacing w:after="0" w:line="255" w:lineRule="auto"/>
        <w:tabs>
          <w:tab w:leader="none" w:pos="178"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The Finance and Planning Committee. Responsibilities include (i) evaluating the investment and financing policies proposed by the Chief Executive Officer; (ii) furnishing an opinion on the soundness of the annual budget and ensuring the implementation of the budget and any proposed strategic plan; and (iii) identifying risk factors to which the corporation is exposed, as well as evaluating its management policies. The current Finance and Planning Committee members are: Juan Carlos Braniff Hierro (chairman of the committee), Alfredo Livas, Ricardo Guajardo Touche, Luis Tellez and Robert Denham. Federico Reyes is the appointed secretary of this committee.</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Series D-L</w:t>
      </w:r>
    </w:p>
    <w:p>
      <w:pPr>
        <w:jc w:val="right"/>
        <w:ind w:right="339"/>
        <w:spacing w:after="0" w:line="237" w:lineRule="auto"/>
        <w:rPr>
          <w:sz w:val="20"/>
          <w:szCs w:val="20"/>
          <w:color w:val="auto"/>
        </w:rPr>
      </w:pPr>
      <w:r>
        <w:rPr>
          <w:rFonts w:ascii="Courier New" w:cs="Courier New" w:eastAsia="Courier New" w:hAnsi="Courier New"/>
          <w:sz w:val="15"/>
          <w:szCs w:val="15"/>
          <w:color w:val="auto"/>
        </w:rPr>
        <w:t>Percent of</w:t>
      </w:r>
    </w:p>
    <w:p>
      <w:pPr>
        <w:ind w:left="80"/>
        <w:spacing w:after="0" w:line="238" w:lineRule="auto"/>
        <w:tabs>
          <w:tab w:leader="none" w:pos="1300" w:val="left"/>
        </w:tabs>
        <w:rPr>
          <w:sz w:val="20"/>
          <w:szCs w:val="20"/>
          <w:color w:val="auto"/>
        </w:rPr>
      </w:pP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Class</w:t>
      </w:r>
    </w:p>
    <w:p>
      <w:pPr>
        <w:spacing w:after="0" w:line="167"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5"/>
          <w:szCs w:val="15"/>
          <w:color w:val="auto"/>
        </w:rPr>
        <w:t>8,881,736</w:t>
      </w:r>
      <w:r>
        <w:rPr>
          <w:sz w:val="20"/>
          <w:szCs w:val="20"/>
          <w:color w:val="auto"/>
        </w:rPr>
        <w:tab/>
      </w:r>
      <w:r>
        <w:rPr>
          <w:rFonts w:ascii="Courier New" w:cs="Courier New" w:eastAsia="Courier New" w:hAnsi="Courier New"/>
          <w:sz w:val="15"/>
          <w:szCs w:val="15"/>
          <w:color w:val="auto"/>
        </w:rPr>
        <w:t>0.69</w:t>
      </w:r>
    </w:p>
    <w:p>
      <w:pPr>
        <w:spacing w:after="0" w:line="237" w:lineRule="auto"/>
        <w:tabs>
          <w:tab w:leader="none" w:pos="1380" w:val="left"/>
        </w:tabs>
        <w:rPr>
          <w:sz w:val="20"/>
          <w:szCs w:val="20"/>
          <w:color w:val="auto"/>
        </w:rPr>
      </w:pPr>
      <w:r>
        <w:rPr>
          <w:rFonts w:ascii="Courier New" w:cs="Courier New" w:eastAsia="Courier New" w:hAnsi="Courier New"/>
          <w:sz w:val="15"/>
          <w:szCs w:val="15"/>
          <w:color w:val="auto"/>
        </w:rPr>
        <w:t>4,553,034</w:t>
      </w:r>
      <w:r>
        <w:rPr>
          <w:sz w:val="20"/>
          <w:szCs w:val="20"/>
          <w:color w:val="auto"/>
        </w:rPr>
        <w:tab/>
      </w:r>
      <w:r>
        <w:rPr>
          <w:rFonts w:ascii="Courier New" w:cs="Courier New" w:eastAsia="Courier New" w:hAnsi="Courier New"/>
          <w:sz w:val="15"/>
          <w:szCs w:val="15"/>
          <w:color w:val="auto"/>
        </w:rPr>
        <w:t>0.36</w:t>
      </w:r>
    </w:p>
    <w:p>
      <w:pPr>
        <w:spacing w:after="0" w:line="238" w:lineRule="auto"/>
        <w:tabs>
          <w:tab w:leader="none" w:pos="1380" w:val="left"/>
        </w:tabs>
        <w:rPr>
          <w:sz w:val="20"/>
          <w:szCs w:val="20"/>
          <w:color w:val="auto"/>
        </w:rPr>
      </w:pPr>
      <w:r>
        <w:rPr>
          <w:rFonts w:ascii="Courier New" w:cs="Courier New" w:eastAsia="Courier New" w:hAnsi="Courier New"/>
          <w:sz w:val="15"/>
          <w:szCs w:val="15"/>
          <w:color w:val="auto"/>
        </w:rPr>
        <w:t>4,031,160</w:t>
      </w:r>
      <w:r>
        <w:rPr>
          <w:sz w:val="20"/>
          <w:szCs w:val="20"/>
          <w:color w:val="auto"/>
        </w:rPr>
        <w:tab/>
      </w:r>
      <w:r>
        <w:rPr>
          <w:rFonts w:ascii="Courier New" w:cs="Courier New" w:eastAsia="Courier New" w:hAnsi="Courier New"/>
          <w:sz w:val="15"/>
          <w:szCs w:val="15"/>
          <w:color w:val="auto"/>
        </w:rPr>
        <w:t>0.31</w:t>
      </w:r>
    </w:p>
    <w:p>
      <w:pPr>
        <w:ind w:left="1400" w:hanging="699"/>
        <w:spacing w:after="0" w:line="237" w:lineRule="auto"/>
        <w:tabs>
          <w:tab w:leader="none" w:pos="140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0.00</w:t>
      </w:r>
    </w:p>
    <w:p>
      <w:pPr>
        <w:ind w:left="180"/>
        <w:spacing w:after="0" w:line="238" w:lineRule="auto"/>
        <w:tabs>
          <w:tab w:leader="none" w:pos="1380" w:val="left"/>
        </w:tabs>
        <w:rPr>
          <w:sz w:val="20"/>
          <w:szCs w:val="20"/>
          <w:color w:val="auto"/>
        </w:rPr>
      </w:pPr>
      <w:r>
        <w:rPr>
          <w:rFonts w:ascii="Courier New" w:cs="Courier New" w:eastAsia="Courier New" w:hAnsi="Courier New"/>
          <w:sz w:val="15"/>
          <w:szCs w:val="15"/>
          <w:color w:val="auto"/>
        </w:rPr>
        <w:t>667,780</w:t>
      </w:r>
      <w:r>
        <w:rPr>
          <w:sz w:val="20"/>
          <w:szCs w:val="20"/>
          <w:color w:val="auto"/>
        </w:rPr>
        <w:tab/>
      </w:r>
      <w:r>
        <w:rPr>
          <w:rFonts w:ascii="Courier New" w:cs="Courier New" w:eastAsia="Courier New" w:hAnsi="Courier New"/>
          <w:sz w:val="15"/>
          <w:szCs w:val="15"/>
          <w:color w:val="auto"/>
        </w:rPr>
        <w:t>0.05</w:t>
      </w:r>
    </w:p>
    <w:p>
      <w:pPr>
        <w:ind w:left="1400" w:hanging="699"/>
        <w:spacing w:after="0" w:line="237" w:lineRule="auto"/>
        <w:tabs>
          <w:tab w:leader="none" w:pos="140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0.00</w:t>
      </w:r>
    </w:p>
    <w:p>
      <w:pPr>
        <w:sectPr>
          <w:pgSz w:w="11900" w:h="16838" w:orient="portrait"/>
          <w:cols w:equalWidth="0" w:num="2">
            <w:col w:w="7440" w:space="440"/>
            <w:col w:w="2359"/>
          </w:cols>
          <w:pgMar w:left="220" w:top="624" w:right="1440" w:bottom="1440" w:gutter="0" w:footer="0" w:header="0"/>
        </w:sectPr>
      </w:pPr>
    </w:p>
    <w:bookmarkStart w:id="123" w:name="page124"/>
    <w:bookmarkEnd w:id="123"/>
    <w:p>
      <w:pPr>
        <w:ind w:left="3160"/>
        <w:spacing w:after="0"/>
        <w:rPr>
          <w:sz w:val="20"/>
          <w:szCs w:val="20"/>
          <w:color w:val="auto"/>
        </w:rPr>
      </w:pPr>
      <w:r>
        <w:rPr>
          <w:rFonts w:ascii="Courier New" w:cs="Courier New" w:eastAsia="Courier New" w:hAnsi="Courier New"/>
          <w:sz w:val="15"/>
          <w:szCs w:val="15"/>
          <w:color w:val="auto"/>
        </w:rPr>
        <w:t>Employees</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The table below sets forth the number of our employees for the years ended December 31, 2002, 2001 and 2000: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100" w:type="dxa"/>
            <w:vAlign w:val="bottom"/>
            <w:gridSpan w:val="4"/>
          </w:tcPr>
          <w:p>
            <w:pPr>
              <w:spacing w:after="0"/>
              <w:rPr>
                <w:sz w:val="20"/>
                <w:szCs w:val="20"/>
                <w:color w:val="auto"/>
              </w:rPr>
            </w:pPr>
            <w:r>
              <w:rPr>
                <w:rFonts w:ascii="Courier New" w:cs="Courier New" w:eastAsia="Courier New" w:hAnsi="Courier New"/>
                <w:sz w:val="15"/>
                <w:szCs w:val="15"/>
                <w:color w:val="auto"/>
              </w:rPr>
              <w:t>Employees of FEMSA for the Years Ended December 31,</w:t>
            </w:r>
          </w:p>
        </w:tc>
        <w:tc>
          <w:tcPr>
            <w:tcW w:w="1180" w:type="dxa"/>
            <w:vAlign w:val="bottom"/>
          </w:tcPr>
          <w:p>
            <w:pPr>
              <w:spacing w:after="0"/>
              <w:rPr>
                <w:sz w:val="14"/>
                <w:szCs w:val="14"/>
                <w:color w:val="auto"/>
              </w:rPr>
            </w:pPr>
          </w:p>
        </w:tc>
      </w:tr>
      <w:tr>
        <w:trPr>
          <w:trHeight w:val="168"/>
        </w:trPr>
        <w:tc>
          <w:tcPr>
            <w:tcW w:w="2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5"/>
              </w:rPr>
              <w:t>2002(1)</w:t>
            </w:r>
          </w:p>
        </w:tc>
        <w:tc>
          <w:tcPr>
            <w:tcW w:w="1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2001</w:t>
            </w:r>
          </w:p>
        </w:tc>
        <w:tc>
          <w:tcPr>
            <w:tcW w:w="1080" w:type="dxa"/>
            <w:vAlign w:val="bottom"/>
          </w:tcPr>
          <w:p>
            <w:pPr>
              <w:spacing w:after="0"/>
              <w:rPr>
                <w:sz w:val="14"/>
                <w:szCs w:val="14"/>
                <w:color w:val="auto"/>
              </w:rPr>
            </w:pPr>
          </w:p>
        </w:tc>
        <w:tc>
          <w:tcPr>
            <w:tcW w:w="11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2240" w:type="dxa"/>
            <w:vAlign w:val="bottom"/>
          </w:tcPr>
          <w:p>
            <w:pPr>
              <w:spacing w:after="0"/>
              <w:rPr>
                <w:sz w:val="14"/>
                <w:szCs w:val="14"/>
                <w:color w:val="auto"/>
              </w:rPr>
            </w:pPr>
          </w:p>
        </w:tc>
        <w:tc>
          <w:tcPr>
            <w:tcW w:w="11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Non-Union</w:t>
            </w:r>
          </w:p>
        </w:tc>
        <w:tc>
          <w:tcPr>
            <w:tcW w:w="1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Union</w:t>
            </w:r>
          </w:p>
        </w:tc>
        <w:tc>
          <w:tcPr>
            <w:tcW w:w="13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Total</w:t>
            </w:r>
          </w:p>
        </w:tc>
        <w:tc>
          <w:tcPr>
            <w:tcW w:w="11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Non-Union</w:t>
            </w:r>
          </w:p>
        </w:tc>
        <w:tc>
          <w:tcPr>
            <w:tcW w:w="15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Union</w:t>
            </w:r>
          </w:p>
        </w:tc>
        <w:tc>
          <w:tcPr>
            <w:tcW w:w="10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8"/>
              </w:rPr>
              <w:t>Non-Union</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Union</w:t>
            </w:r>
          </w:p>
        </w:tc>
      </w:tr>
      <w:tr>
        <w:trPr>
          <w:trHeight w:val="168"/>
        </w:trPr>
        <w:tc>
          <w:tcPr>
            <w:tcW w:w="2240" w:type="dxa"/>
            <w:vAlign w:val="bottom"/>
          </w:tcPr>
          <w:p>
            <w:pPr>
              <w:spacing w:after="0"/>
              <w:rPr>
                <w:sz w:val="14"/>
                <w:szCs w:val="14"/>
                <w:color w:val="auto"/>
              </w:rPr>
            </w:pPr>
          </w:p>
        </w:tc>
        <w:tc>
          <w:tcPr>
            <w:tcW w:w="11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Employees</w:t>
            </w:r>
          </w:p>
        </w:tc>
        <w:tc>
          <w:tcPr>
            <w:tcW w:w="1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Employees</w:t>
            </w:r>
          </w:p>
        </w:tc>
        <w:tc>
          <w:tcPr>
            <w:tcW w:w="13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Employees</w:t>
            </w:r>
          </w:p>
        </w:tc>
        <w:tc>
          <w:tcPr>
            <w:tcW w:w="11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Employees</w:t>
            </w:r>
          </w:p>
        </w:tc>
        <w:tc>
          <w:tcPr>
            <w:tcW w:w="15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Employees</w:t>
            </w:r>
          </w:p>
        </w:tc>
        <w:tc>
          <w:tcPr>
            <w:tcW w:w="10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8"/>
              </w:rPr>
              <w:t>Employees</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Employees</w:t>
            </w:r>
          </w:p>
        </w:tc>
      </w:tr>
      <w:tr>
        <w:trPr>
          <w:trHeight w:val="336"/>
        </w:trPr>
        <w:tc>
          <w:tcPr>
            <w:tcW w:w="2240" w:type="dxa"/>
            <w:vAlign w:val="bottom"/>
          </w:tcPr>
          <w:p>
            <w:pPr>
              <w:spacing w:after="0"/>
              <w:rPr>
                <w:sz w:val="20"/>
                <w:szCs w:val="20"/>
                <w:color w:val="auto"/>
              </w:rPr>
            </w:pPr>
            <w:r>
              <w:rPr>
                <w:rFonts w:ascii="Courier New" w:cs="Courier New" w:eastAsia="Courier New" w:hAnsi="Courier New"/>
                <w:sz w:val="15"/>
                <w:szCs w:val="15"/>
                <w:color w:val="auto"/>
              </w:rPr>
              <w:t>Employer</w:t>
            </w:r>
          </w:p>
        </w:tc>
        <w:tc>
          <w:tcPr>
            <w:tcW w:w="1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FEMSA Cerveza..........</w:t>
            </w:r>
          </w:p>
        </w:tc>
        <w:tc>
          <w:tcPr>
            <w:tcW w:w="11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9,106</w:t>
            </w:r>
          </w:p>
        </w:tc>
        <w:tc>
          <w:tcPr>
            <w:tcW w:w="1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6,505</w:t>
            </w:r>
          </w:p>
        </w:tc>
        <w:tc>
          <w:tcPr>
            <w:tcW w:w="138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15,611</w:t>
            </w:r>
          </w:p>
        </w:tc>
        <w:tc>
          <w:tcPr>
            <w:tcW w:w="1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8,869</w:t>
            </w:r>
          </w:p>
        </w:tc>
        <w:tc>
          <w:tcPr>
            <w:tcW w:w="15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7,107</w:t>
            </w:r>
          </w:p>
        </w:tc>
        <w:tc>
          <w:tcPr>
            <w:tcW w:w="10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8,943</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8,270</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Coca-Cola FEMSA........</w:t>
            </w:r>
          </w:p>
        </w:tc>
        <w:tc>
          <w:tcPr>
            <w:tcW w:w="11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5,491</w:t>
            </w:r>
          </w:p>
        </w:tc>
        <w:tc>
          <w:tcPr>
            <w:tcW w:w="1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8,966</w:t>
            </w:r>
          </w:p>
        </w:tc>
        <w:tc>
          <w:tcPr>
            <w:tcW w:w="138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14,457</w:t>
            </w:r>
          </w:p>
        </w:tc>
        <w:tc>
          <w:tcPr>
            <w:tcW w:w="1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5,504</w:t>
            </w:r>
          </w:p>
        </w:tc>
        <w:tc>
          <w:tcPr>
            <w:tcW w:w="15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9,038</w:t>
            </w:r>
          </w:p>
        </w:tc>
        <w:tc>
          <w:tcPr>
            <w:tcW w:w="10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5,914</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9,140</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FEMSA Comercio(2)......</w:t>
            </w:r>
          </w:p>
        </w:tc>
        <w:tc>
          <w:tcPr>
            <w:tcW w:w="11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2,334</w:t>
            </w:r>
          </w:p>
        </w:tc>
        <w:tc>
          <w:tcPr>
            <w:tcW w:w="1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2,791</w:t>
            </w:r>
          </w:p>
        </w:tc>
        <w:tc>
          <w:tcPr>
            <w:tcW w:w="138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5,125</w:t>
            </w:r>
          </w:p>
        </w:tc>
        <w:tc>
          <w:tcPr>
            <w:tcW w:w="1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2,073</w:t>
            </w:r>
          </w:p>
        </w:tc>
        <w:tc>
          <w:tcPr>
            <w:tcW w:w="15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2,247</w:t>
            </w:r>
          </w:p>
        </w:tc>
        <w:tc>
          <w:tcPr>
            <w:tcW w:w="10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1,829</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2,308</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FEMSA Empaques.........</w:t>
            </w:r>
          </w:p>
        </w:tc>
        <w:tc>
          <w:tcPr>
            <w:tcW w:w="11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1,235</w:t>
            </w:r>
          </w:p>
        </w:tc>
        <w:tc>
          <w:tcPr>
            <w:tcW w:w="1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2,853</w:t>
            </w:r>
          </w:p>
        </w:tc>
        <w:tc>
          <w:tcPr>
            <w:tcW w:w="138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4,088</w:t>
            </w:r>
          </w:p>
        </w:tc>
        <w:tc>
          <w:tcPr>
            <w:tcW w:w="1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1,335</w:t>
            </w:r>
          </w:p>
        </w:tc>
        <w:tc>
          <w:tcPr>
            <w:tcW w:w="15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2,891</w:t>
            </w:r>
          </w:p>
        </w:tc>
        <w:tc>
          <w:tcPr>
            <w:tcW w:w="10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1,501</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2,948</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FEMSA Franquicias</w:t>
            </w:r>
          </w:p>
        </w:tc>
        <w:tc>
          <w:tcPr>
            <w:tcW w:w="11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26</w:t>
            </w:r>
          </w:p>
        </w:tc>
        <w:tc>
          <w:tcPr>
            <w:tcW w:w="1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4</w:t>
            </w:r>
          </w:p>
        </w:tc>
        <w:tc>
          <w:tcPr>
            <w:tcW w:w="138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30</w:t>
            </w:r>
          </w:p>
        </w:tc>
        <w:tc>
          <w:tcPr>
            <w:tcW w:w="1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28</w:t>
            </w:r>
          </w:p>
        </w:tc>
        <w:tc>
          <w:tcPr>
            <w:tcW w:w="15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9</w:t>
            </w:r>
          </w:p>
        </w:tc>
        <w:tc>
          <w:tcPr>
            <w:tcW w:w="10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Logistica CCM..........</w:t>
            </w:r>
          </w:p>
        </w:tc>
        <w:tc>
          <w:tcPr>
            <w:tcW w:w="11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269</w:t>
            </w:r>
          </w:p>
        </w:tc>
        <w:tc>
          <w:tcPr>
            <w:tcW w:w="1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828</w:t>
            </w:r>
          </w:p>
        </w:tc>
        <w:tc>
          <w:tcPr>
            <w:tcW w:w="138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1,097</w:t>
            </w:r>
          </w:p>
        </w:tc>
        <w:tc>
          <w:tcPr>
            <w:tcW w:w="1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282</w:t>
            </w:r>
          </w:p>
        </w:tc>
        <w:tc>
          <w:tcPr>
            <w:tcW w:w="15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863</w:t>
            </w:r>
          </w:p>
        </w:tc>
        <w:tc>
          <w:tcPr>
            <w:tcW w:w="10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292</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859</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FEMSA Logistica........</w:t>
            </w:r>
          </w:p>
        </w:tc>
        <w:tc>
          <w:tcPr>
            <w:tcW w:w="11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197</w:t>
            </w:r>
          </w:p>
        </w:tc>
        <w:tc>
          <w:tcPr>
            <w:tcW w:w="1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509</w:t>
            </w:r>
          </w:p>
        </w:tc>
        <w:tc>
          <w:tcPr>
            <w:tcW w:w="138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706</w:t>
            </w:r>
          </w:p>
        </w:tc>
        <w:tc>
          <w:tcPr>
            <w:tcW w:w="1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223</w:t>
            </w:r>
          </w:p>
        </w:tc>
        <w:tc>
          <w:tcPr>
            <w:tcW w:w="15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467</w:t>
            </w:r>
          </w:p>
        </w:tc>
        <w:tc>
          <w:tcPr>
            <w:tcW w:w="10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194</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392</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FEMSA Servicios........</w:t>
            </w:r>
          </w:p>
        </w:tc>
        <w:tc>
          <w:tcPr>
            <w:tcW w:w="11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275</w:t>
            </w:r>
          </w:p>
        </w:tc>
        <w:tc>
          <w:tcPr>
            <w:tcW w:w="1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275</w:t>
            </w:r>
          </w:p>
        </w:tc>
        <w:tc>
          <w:tcPr>
            <w:tcW w:w="1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277</w:t>
            </w:r>
          </w:p>
        </w:tc>
        <w:tc>
          <w:tcPr>
            <w:tcW w:w="15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307</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Other(3)...............</w:t>
            </w:r>
          </w:p>
        </w:tc>
        <w:tc>
          <w:tcPr>
            <w:tcW w:w="11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297</w:t>
            </w:r>
          </w:p>
        </w:tc>
        <w:tc>
          <w:tcPr>
            <w:tcW w:w="1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297</w:t>
            </w:r>
          </w:p>
        </w:tc>
        <w:tc>
          <w:tcPr>
            <w:tcW w:w="1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287</w:t>
            </w:r>
          </w:p>
        </w:tc>
        <w:tc>
          <w:tcPr>
            <w:tcW w:w="15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304</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w:t>
            </w:r>
          </w:p>
        </w:tc>
        <w:tc>
          <w:tcPr>
            <w:tcW w:w="11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19,230</w:t>
            </w:r>
          </w:p>
        </w:tc>
        <w:tc>
          <w:tcPr>
            <w:tcW w:w="1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22,456</w:t>
            </w:r>
          </w:p>
        </w:tc>
        <w:tc>
          <w:tcPr>
            <w:tcW w:w="138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41,686</w:t>
            </w:r>
          </w:p>
        </w:tc>
        <w:tc>
          <w:tcPr>
            <w:tcW w:w="1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18,878</w:t>
            </w:r>
          </w:p>
        </w:tc>
        <w:tc>
          <w:tcPr>
            <w:tcW w:w="15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22,622</w:t>
            </w:r>
          </w:p>
        </w:tc>
        <w:tc>
          <w:tcPr>
            <w:tcW w:w="10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19,284</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23,917</w:t>
            </w:r>
          </w:p>
        </w:tc>
      </w:tr>
      <w:tr>
        <w:trPr>
          <w:trHeight w:val="168"/>
        </w:trPr>
        <w:tc>
          <w:tcPr>
            <w:tcW w:w="2240" w:type="dxa"/>
            <w:vAlign w:val="bottom"/>
          </w:tcPr>
          <w:p>
            <w:pPr>
              <w:spacing w:after="0"/>
              <w:rPr>
                <w:sz w:val="14"/>
                <w:szCs w:val="14"/>
                <w:color w:val="auto"/>
              </w:rPr>
            </w:pPr>
          </w:p>
        </w:tc>
        <w:tc>
          <w:tcPr>
            <w:tcW w:w="11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ind w:left="440" w:hanging="430"/>
        <w:spacing w:after="0"/>
        <w:tabs>
          <w:tab w:leader="none" w:pos="44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December 31, 2002, we had a total of 550 temporary employees.</w:t>
      </w:r>
    </w:p>
    <w:p>
      <w:pPr>
        <w:spacing w:after="0" w:line="4" w:lineRule="exact"/>
        <w:rPr>
          <w:rFonts w:ascii="Courier New" w:cs="Courier New" w:eastAsia="Courier New" w:hAnsi="Courier New"/>
          <w:sz w:val="15"/>
          <w:szCs w:val="15"/>
          <w:color w:val="auto"/>
        </w:rPr>
      </w:pPr>
    </w:p>
    <w:p>
      <w:pPr>
        <w:ind w:left="440" w:right="3920" w:hanging="430"/>
        <w:spacing w:after="0" w:line="234" w:lineRule="auto"/>
        <w:tabs>
          <w:tab w:leader="none" w:pos="44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Numbers for FEMSA Comercio do not include non-management store employees, who are employed directly by each individual store.</w:t>
      </w:r>
    </w:p>
    <w:p>
      <w:pPr>
        <w:spacing w:after="0" w:line="5" w:lineRule="exact"/>
        <w:rPr>
          <w:rFonts w:ascii="Courier New" w:cs="Courier New" w:eastAsia="Courier New" w:hAnsi="Courier New"/>
          <w:sz w:val="15"/>
          <w:szCs w:val="15"/>
          <w:color w:val="auto"/>
        </w:rPr>
      </w:pPr>
    </w:p>
    <w:p>
      <w:pPr>
        <w:ind w:left="440" w:right="4100" w:hanging="430"/>
        <w:spacing w:after="0" w:line="235" w:lineRule="auto"/>
        <w:tabs>
          <w:tab w:leader="none" w:pos="44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staff at ancillary facilities, such as Sociedad Cuauhtemoc y Famosa, A.C. (Cuauhtemoc and Famosa Society), a non-profit organization sponsored by FEMSA, and corporate areas.</w:t>
      </w:r>
    </w:p>
    <w:p>
      <w:pPr>
        <w:spacing w:after="0" w:line="342" w:lineRule="exact"/>
        <w:rPr>
          <w:sz w:val="20"/>
          <w:szCs w:val="20"/>
          <w:color w:val="auto"/>
        </w:rPr>
      </w:pPr>
    </w:p>
    <w:p>
      <w:pPr>
        <w:ind w:right="3760"/>
        <w:spacing w:after="0" w:line="255" w:lineRule="auto"/>
        <w:rPr>
          <w:sz w:val="20"/>
          <w:szCs w:val="20"/>
          <w:color w:val="auto"/>
        </w:rPr>
      </w:pPr>
      <w:r>
        <w:rPr>
          <w:rFonts w:ascii="Courier New" w:cs="Courier New" w:eastAsia="Courier New" w:hAnsi="Courier New"/>
          <w:sz w:val="14"/>
          <w:szCs w:val="14"/>
          <w:color w:val="auto"/>
        </w:rPr>
        <w:t>As of December 31, 2002, our subsidiaries had entered into 277 collective bargaining or similar agreements with personnel employed at our operations. The agreements applicable to our Mexican operations generally have an indefinite term and provide for an annual salary review and for review of other terms and conditions, such as fringe benefits, every two years. In Buenos Aires, the collective bargaining agreement is negotiated between the Camara Argentina de la Industria de Bebidas Sin Alcohol (the Argentine chamber of the Non-Alcoholic Beverages Industry) on behalf of the beverage producers, and the Federacion Argentina de Trabajadores de Aguas Gaseosas (the Argentine Federation of Soft Drink Workers), on behalf of the soft drink industry workers. The Argentine government is not involved in these negotiations.</w:t>
      </w:r>
    </w:p>
    <w:p>
      <w:pPr>
        <w:spacing w:after="0" w:line="32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116</w:t>
      </w:r>
    </w:p>
    <w:p>
      <w:pPr>
        <w:sectPr>
          <w:pgSz w:w="11900" w:h="16838" w:orient="portrait"/>
          <w:cols w:equalWidth="0" w:num="1">
            <w:col w:w="10760"/>
          </w:cols>
          <w:pgMar w:left="220" w:top="953" w:right="919" w:bottom="1440" w:gutter="0" w:footer="0" w:header="0"/>
        </w:sectPr>
      </w:pPr>
    </w:p>
    <w:bookmarkStart w:id="124" w:name="page125"/>
    <w:bookmarkEnd w:id="124"/>
    <w:p>
      <w:pPr>
        <w:ind w:right="3399" w:firstLine="437"/>
        <w:spacing w:after="0" w:line="234" w:lineRule="auto"/>
        <w:rPr>
          <w:sz w:val="20"/>
          <w:szCs w:val="20"/>
          <w:color w:val="auto"/>
        </w:rPr>
      </w:pPr>
      <w:r>
        <w:rPr>
          <w:rFonts w:ascii="Courier New" w:cs="Courier New" w:eastAsia="Courier New" w:hAnsi="Courier New"/>
          <w:sz w:val="15"/>
          <w:szCs w:val="15"/>
          <w:color w:val="auto"/>
        </w:rPr>
        <w:t>The table below sets forth the number of collective bargaining agreements and unions for FEMSA's employees:</w:t>
      </w:r>
    </w:p>
    <w:p>
      <w:pPr>
        <w:spacing w:after="0" w:line="167"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Collective Bargaining Labor Agreements Between</w:t>
      </w:r>
    </w:p>
    <w:p>
      <w:pPr>
        <w:jc w:val="center"/>
        <w:ind w:right="3139"/>
        <w:spacing w:after="0" w:line="237" w:lineRule="auto"/>
        <w:rPr>
          <w:sz w:val="20"/>
          <w:szCs w:val="20"/>
          <w:color w:val="auto"/>
        </w:rPr>
      </w:pPr>
      <w:r>
        <w:rPr>
          <w:rFonts w:ascii="Courier New" w:cs="Courier New" w:eastAsia="Courier New" w:hAnsi="Courier New"/>
          <w:sz w:val="15"/>
          <w:szCs w:val="15"/>
          <w:color w:val="auto"/>
        </w:rPr>
        <w:t>Subholding Companies and Unions</w:t>
      </w:r>
    </w:p>
    <w:p>
      <w:pPr>
        <w:jc w:val="center"/>
        <w:ind w:right="3139"/>
        <w:spacing w:after="0" w:line="238" w:lineRule="auto"/>
        <w:rPr>
          <w:sz w:val="20"/>
          <w:szCs w:val="20"/>
          <w:color w:val="auto"/>
        </w:rPr>
      </w:pPr>
      <w:r>
        <w:rPr>
          <w:rFonts w:ascii="Courier New" w:cs="Courier New" w:eastAsia="Courier New" w:hAnsi="Courier New"/>
          <w:sz w:val="15"/>
          <w:szCs w:val="15"/>
          <w:color w:val="auto"/>
        </w:rPr>
        <w:t>As of December 31, 2002</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80" w:type="dxa"/>
            <w:vAlign w:val="bottom"/>
          </w:tcPr>
          <w:p>
            <w:pPr>
              <w:spacing w:after="0"/>
              <w:rPr>
                <w:sz w:val="14"/>
                <w:szCs w:val="14"/>
                <w:color w:val="auto"/>
              </w:rPr>
            </w:pPr>
          </w:p>
        </w:tc>
        <w:tc>
          <w:tcPr>
            <w:tcW w:w="15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Collective</w:t>
            </w:r>
          </w:p>
        </w:tc>
        <w:tc>
          <w:tcPr>
            <w:tcW w:w="1240" w:type="dxa"/>
            <w:vAlign w:val="bottom"/>
          </w:tcPr>
          <w:p>
            <w:pPr>
              <w:spacing w:after="0"/>
              <w:rPr>
                <w:sz w:val="14"/>
                <w:szCs w:val="14"/>
                <w:color w:val="auto"/>
              </w:rPr>
            </w:pPr>
          </w:p>
        </w:tc>
      </w:tr>
      <w:tr>
        <w:trPr>
          <w:trHeight w:val="168"/>
        </w:trPr>
        <w:tc>
          <w:tcPr>
            <w:tcW w:w="6880" w:type="dxa"/>
            <w:vAlign w:val="bottom"/>
          </w:tcPr>
          <w:p>
            <w:pPr>
              <w:jc w:val="right"/>
              <w:ind w:right="5227"/>
              <w:spacing w:after="0" w:line="168" w:lineRule="exact"/>
              <w:rPr>
                <w:sz w:val="20"/>
                <w:szCs w:val="20"/>
                <w:color w:val="auto"/>
              </w:rPr>
            </w:pPr>
            <w:r>
              <w:rPr>
                <w:rFonts w:ascii="Courier New" w:cs="Courier New" w:eastAsia="Courier New" w:hAnsi="Courier New"/>
                <w:sz w:val="15"/>
                <w:szCs w:val="15"/>
                <w:color w:val="auto"/>
                <w:w w:val="96"/>
              </w:rPr>
              <w:t>Subholding Company</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Bargaining</w:t>
            </w:r>
          </w:p>
        </w:tc>
        <w:tc>
          <w:tcPr>
            <w:tcW w:w="1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Labor</w:t>
            </w:r>
          </w:p>
        </w:tc>
      </w:tr>
      <w:tr>
        <w:trPr>
          <w:trHeight w:val="168"/>
        </w:trPr>
        <w:tc>
          <w:tcPr>
            <w:tcW w:w="6880" w:type="dxa"/>
            <w:vAlign w:val="bottom"/>
          </w:tcPr>
          <w:p>
            <w:pPr>
              <w:spacing w:after="0"/>
              <w:rPr>
                <w:sz w:val="14"/>
                <w:szCs w:val="14"/>
                <w:color w:val="auto"/>
              </w:rPr>
            </w:pP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Agreements</w:t>
            </w:r>
          </w:p>
        </w:tc>
        <w:tc>
          <w:tcPr>
            <w:tcW w:w="1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Unions</w:t>
            </w:r>
          </w:p>
        </w:tc>
      </w:tr>
      <w:tr>
        <w:trPr>
          <w:trHeight w:val="168"/>
        </w:trPr>
        <w:tc>
          <w:tcPr>
            <w:tcW w:w="6880" w:type="dxa"/>
            <w:vAlign w:val="bottom"/>
          </w:tcPr>
          <w:p>
            <w:pPr>
              <w:spacing w:after="0"/>
              <w:rPr>
                <w:sz w:val="14"/>
                <w:szCs w:val="14"/>
                <w:color w:val="auto"/>
              </w:rPr>
            </w:pPr>
          </w:p>
        </w:tc>
        <w:tc>
          <w:tcPr>
            <w:tcW w:w="1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8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FEMSA Cerveza................................................................</w:t>
            </w:r>
          </w:p>
        </w:tc>
        <w:tc>
          <w:tcPr>
            <w:tcW w:w="15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125</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w:t>
            </w:r>
          </w:p>
        </w:tc>
      </w:tr>
      <w:tr>
        <w:trPr>
          <w:trHeight w:val="168"/>
        </w:trPr>
        <w:tc>
          <w:tcPr>
            <w:tcW w:w="6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Coca-Cola FEMSA(1)...........................................................</w:t>
            </w:r>
          </w:p>
        </w:tc>
        <w:tc>
          <w:tcPr>
            <w:tcW w:w="1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40</w:t>
            </w: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6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FEMSA Comercio(2)............................................................</w:t>
            </w:r>
          </w:p>
        </w:tc>
        <w:tc>
          <w:tcPr>
            <w:tcW w:w="1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64</w:t>
            </w: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6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FEMSA Empaques...............................................................</w:t>
            </w:r>
          </w:p>
        </w:tc>
        <w:tc>
          <w:tcPr>
            <w:tcW w:w="1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w:t>
            </w: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6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Logistica....................................................................</w:t>
            </w:r>
          </w:p>
        </w:tc>
        <w:tc>
          <w:tcPr>
            <w:tcW w:w="1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28</w:t>
            </w: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6880" w:type="dxa"/>
            <w:vAlign w:val="bottom"/>
          </w:tcPr>
          <w:p>
            <w:pPr>
              <w:spacing w:after="0"/>
              <w:rPr>
                <w:sz w:val="14"/>
                <w:szCs w:val="14"/>
                <w:color w:val="auto"/>
              </w:rPr>
            </w:pPr>
          </w:p>
        </w:tc>
        <w:tc>
          <w:tcPr>
            <w:tcW w:w="1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w:t>
            </w:r>
          </w:p>
        </w:tc>
        <w:tc>
          <w:tcPr>
            <w:tcW w:w="1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277</w:t>
            </w: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34</w:t>
            </w:r>
          </w:p>
        </w:tc>
      </w:tr>
      <w:tr>
        <w:trPr>
          <w:trHeight w:val="168"/>
        </w:trPr>
        <w:tc>
          <w:tcPr>
            <w:tcW w:w="6880" w:type="dxa"/>
            <w:vAlign w:val="bottom"/>
          </w:tcPr>
          <w:p>
            <w:pPr>
              <w:spacing w:after="0"/>
              <w:rPr>
                <w:sz w:val="14"/>
                <w:szCs w:val="14"/>
                <w:color w:val="auto"/>
              </w:rPr>
            </w:pPr>
          </w:p>
        </w:tc>
        <w:tc>
          <w:tcPr>
            <w:tcW w:w="1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left="440" w:right="3239" w:hanging="430"/>
        <w:spacing w:after="0" w:line="234" w:lineRule="auto"/>
        <w:tabs>
          <w:tab w:leader="none" w:pos="44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Coca-Cola FEMSA Buenos Aires' collective bargaining agreement with an Argentine labor union.</w:t>
      </w:r>
    </w:p>
    <w:p>
      <w:pPr>
        <w:spacing w:after="0" w:line="173" w:lineRule="exact"/>
        <w:rPr>
          <w:rFonts w:ascii="Courier New" w:cs="Courier New" w:eastAsia="Courier New" w:hAnsi="Courier New"/>
          <w:sz w:val="15"/>
          <w:szCs w:val="15"/>
          <w:color w:val="auto"/>
        </w:rPr>
      </w:pPr>
    </w:p>
    <w:p>
      <w:pPr>
        <w:ind w:left="440" w:right="3399" w:hanging="430"/>
        <w:spacing w:after="0" w:line="235" w:lineRule="auto"/>
        <w:tabs>
          <w:tab w:leader="none" w:pos="44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union employees of Amoxxo. Numbers for FEMSA Comercio do not include non-management store employees, who are employed directly by each individual store.</w:t>
      </w:r>
    </w:p>
    <w:p>
      <w:pPr>
        <w:spacing w:after="0" w:line="174"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Each of the labor unions in Mexico is associated with one of 10 different national Mexican labor organizations. Our management believes that we have good relations with our employees and the various labor unions.</w:t>
      </w:r>
    </w:p>
    <w:p>
      <w:pPr>
        <w:spacing w:after="0" w:line="167"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Insurance Policies</w:t>
      </w:r>
    </w:p>
    <w:p>
      <w:pPr>
        <w:spacing w:after="0" w:line="173"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We maintain life insurance policies for all of our employees. These policies mitigate the risk of having to pay death benefits in the event of an industrial accident. We maintain a Directors' and Officers' Insurance Policy covering all Directors and certain key executive officers for liabilities incurred in their capacities as Directors and officers.</w:t>
      </w:r>
    </w:p>
    <w:p>
      <w:pPr>
        <w:spacing w:after="0" w:line="200" w:lineRule="exact"/>
        <w:rPr>
          <w:sz w:val="20"/>
          <w:szCs w:val="20"/>
          <w:color w:val="auto"/>
        </w:rPr>
      </w:pPr>
    </w:p>
    <w:p>
      <w:pPr>
        <w:spacing w:after="0" w:line="30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117</w:t>
      </w:r>
    </w:p>
    <w:p>
      <w:pPr>
        <w:sectPr>
          <w:pgSz w:w="11900" w:h="16838" w:orient="portrait"/>
          <w:cols w:equalWidth="0" w:num="1">
            <w:col w:w="10239"/>
          </w:cols>
          <w:pgMar w:left="220" w:top="792" w:right="1440" w:bottom="1440" w:gutter="0" w:footer="0" w:header="0"/>
        </w:sectPr>
      </w:pPr>
    </w:p>
    <w:bookmarkStart w:id="125" w:name="page126"/>
    <w:bookmarkEnd w:id="125"/>
    <w:p>
      <w:pPr>
        <w:spacing w:after="0"/>
        <w:tabs>
          <w:tab w:leader="none" w:pos="78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4"/>
          <w:szCs w:val="14"/>
          <w:color w:val="auto"/>
        </w:rPr>
        <w:t>MAJOR SHAREHOLDERS AND RELATED PARTY TRANSACTIONS</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Major Shareholders</w:t>
      </w:r>
    </w:p>
    <w:p>
      <w:pPr>
        <w:spacing w:after="0" w:line="173" w:lineRule="exact"/>
        <w:rPr>
          <w:sz w:val="20"/>
          <w:szCs w:val="20"/>
          <w:color w:val="auto"/>
        </w:rPr>
      </w:pPr>
    </w:p>
    <w:p>
      <w:pPr>
        <w:jc w:val="both"/>
        <w:ind w:right="3940" w:firstLine="437"/>
        <w:spacing w:after="0" w:line="235" w:lineRule="auto"/>
        <w:rPr>
          <w:sz w:val="20"/>
          <w:szCs w:val="20"/>
          <w:color w:val="auto"/>
        </w:rPr>
      </w:pPr>
      <w:r>
        <w:rPr>
          <w:rFonts w:ascii="Courier New" w:cs="Courier New" w:eastAsia="Courier New" w:hAnsi="Courier New"/>
          <w:sz w:val="15"/>
          <w:szCs w:val="15"/>
          <w:color w:val="auto"/>
        </w:rPr>
        <w:t>The following table identifies each owner of more than 5% of any class of our shares as of June 13, 2003. Except as described below, we are not aware of any holder of more than 5% of any class of our shares. Only the Series B Shares have full voting rights under our bylaws.</w:t>
      </w:r>
    </w:p>
    <w:p>
      <w:pPr>
        <w:spacing w:after="0" w:line="200" w:lineRule="exact"/>
        <w:rPr>
          <w:sz w:val="20"/>
          <w:szCs w:val="20"/>
          <w:color w:val="auto"/>
        </w:rPr>
      </w:pPr>
    </w:p>
    <w:p>
      <w:pPr>
        <w:spacing w:after="0" w:line="305"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Ownership of Capital Stock</w:t>
      </w:r>
    </w:p>
    <w:p>
      <w:pPr>
        <w:ind w:left="2720"/>
        <w:spacing w:after="0" w:line="237" w:lineRule="auto"/>
        <w:rPr>
          <w:sz w:val="20"/>
          <w:szCs w:val="20"/>
          <w:color w:val="auto"/>
        </w:rPr>
      </w:pPr>
      <w:r>
        <w:rPr>
          <w:rFonts w:ascii="Courier New" w:cs="Courier New" w:eastAsia="Courier New" w:hAnsi="Courier New"/>
          <w:sz w:val="15"/>
          <w:szCs w:val="15"/>
          <w:color w:val="auto"/>
        </w:rPr>
        <w:t>as of June 13, 2003</w:t>
      </w:r>
    </w:p>
    <w:p>
      <w:pPr>
        <w:sectPr>
          <w:pgSz w:w="11900" w:h="16838" w:orient="portrait"/>
          <w:cols w:equalWidth="0" w:num="1">
            <w:col w:w="10860"/>
          </w:cols>
          <w:pgMar w:left="220" w:top="785" w:right="819" w:bottom="1440" w:gutter="0" w:footer="0" w:header="0"/>
        </w:sectPr>
      </w:pPr>
    </w:p>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Series B Shares(1)</w:t>
      </w:r>
    </w:p>
    <w:p>
      <w:pPr>
        <w:spacing w:after="0" w:line="5"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4380"/>
        <w:spacing w:after="0"/>
        <w:rPr>
          <w:sz w:val="20"/>
          <w:szCs w:val="20"/>
          <w:color w:val="auto"/>
        </w:rPr>
      </w:pPr>
      <w:r>
        <w:rPr>
          <w:rFonts w:ascii="Courier New" w:cs="Courier New" w:eastAsia="Courier New" w:hAnsi="Courier New"/>
          <w:sz w:val="15"/>
          <w:szCs w:val="15"/>
          <w:color w:val="auto"/>
        </w:rPr>
        <w:t>Percent</w:t>
      </w:r>
    </w:p>
    <w:p>
      <w:pPr>
        <w:ind w:left="2980"/>
        <w:spacing w:after="0"/>
        <w:tabs>
          <w:tab w:leader="none" w:pos="4360" w:val="left"/>
        </w:tabs>
        <w:rPr>
          <w:sz w:val="20"/>
          <w:szCs w:val="20"/>
          <w:color w:val="auto"/>
        </w:rPr>
      </w:pPr>
      <w:r>
        <w:rPr>
          <w:rFonts w:ascii="Courier New" w:cs="Courier New" w:eastAsia="Courier New" w:hAnsi="Courier New"/>
          <w:sz w:val="15"/>
          <w:szCs w:val="15"/>
          <w:color w:val="auto"/>
        </w:rPr>
        <w:t>Shares Owned</w:t>
      </w:r>
      <w:r>
        <w:rPr>
          <w:sz w:val="20"/>
          <w:szCs w:val="20"/>
          <w:color w:val="auto"/>
        </w:rPr>
        <w:tab/>
      </w:r>
      <w:r>
        <w:rPr>
          <w:rFonts w:ascii="Courier New" w:cs="Courier New" w:eastAsia="Courier New" w:hAnsi="Courier New"/>
          <w:sz w:val="14"/>
          <w:szCs w:val="14"/>
          <w:color w:val="auto"/>
        </w:rPr>
        <w:t>of Class</w:t>
      </w:r>
    </w:p>
    <w:p>
      <w:pPr>
        <w:spacing w:after="0" w:line="5" w:lineRule="exact"/>
        <w:rPr>
          <w:sz w:val="20"/>
          <w:szCs w:val="20"/>
          <w:color w:val="auto"/>
        </w:rPr>
      </w:pPr>
    </w:p>
    <w:p>
      <w:pPr>
        <w:ind w:left="2980"/>
        <w:spacing w:after="0"/>
        <w:tabs>
          <w:tab w:leader="none" w:pos="42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Series D-B Shares(2)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Percent</w:t>
      </w:r>
    </w:p>
    <w:p>
      <w:pPr>
        <w:spacing w:after="0"/>
        <w:tabs>
          <w:tab w:leader="none" w:pos="1300" w:val="left"/>
        </w:tabs>
        <w:rPr>
          <w:sz w:val="20"/>
          <w:szCs w:val="20"/>
          <w:color w:val="auto"/>
        </w:rPr>
      </w:pPr>
      <w:r>
        <w:rPr>
          <w:rFonts w:ascii="Courier New" w:cs="Courier New" w:eastAsia="Courier New" w:hAnsi="Courier New"/>
          <w:sz w:val="15"/>
          <w:szCs w:val="15"/>
          <w:color w:val="auto"/>
        </w:rPr>
        <w:t>Shares Owned</w:t>
      </w:r>
      <w:r>
        <w:rPr>
          <w:sz w:val="20"/>
          <w:szCs w:val="20"/>
          <w:color w:val="auto"/>
        </w:rPr>
        <w:tab/>
      </w:r>
      <w:r>
        <w:rPr>
          <w:rFonts w:ascii="Courier New" w:cs="Courier New" w:eastAsia="Courier New" w:hAnsi="Courier New"/>
          <w:sz w:val="14"/>
          <w:szCs w:val="14"/>
          <w:color w:val="auto"/>
        </w:rPr>
        <w:t>of Class</w:t>
      </w:r>
    </w:p>
    <w:p>
      <w:pPr>
        <w:spacing w:after="0" w:line="5"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Series D-L Shares(3)</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Percent</w:t>
      </w:r>
    </w:p>
    <w:p>
      <w:pPr>
        <w:spacing w:after="0"/>
        <w:tabs>
          <w:tab w:leader="none" w:pos="1380" w:val="left"/>
        </w:tabs>
        <w:rPr>
          <w:sz w:val="20"/>
          <w:szCs w:val="20"/>
          <w:color w:val="auto"/>
        </w:rPr>
      </w:pPr>
      <w:r>
        <w:rPr>
          <w:rFonts w:ascii="Courier New" w:cs="Courier New" w:eastAsia="Courier New" w:hAnsi="Courier New"/>
          <w:sz w:val="15"/>
          <w:szCs w:val="15"/>
          <w:color w:val="auto"/>
        </w:rPr>
        <w:t>Shares Owned</w:t>
      </w:r>
      <w:r>
        <w:rPr>
          <w:sz w:val="20"/>
          <w:szCs w:val="20"/>
          <w:color w:val="auto"/>
        </w:rPr>
        <w:tab/>
      </w:r>
      <w:r>
        <w:rPr>
          <w:rFonts w:ascii="Courier New" w:cs="Courier New" w:eastAsia="Courier New" w:hAnsi="Courier New"/>
          <w:sz w:val="14"/>
          <w:szCs w:val="14"/>
          <w:color w:val="auto"/>
        </w:rPr>
        <w:t>of Class</w:t>
      </w:r>
    </w:p>
    <w:p>
      <w:pPr>
        <w:spacing w:after="0" w:line="5"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line="236" w:lineRule="auto"/>
        <w:rPr>
          <w:sz w:val="20"/>
          <w:szCs w:val="20"/>
          <w:color w:val="auto"/>
        </w:rPr>
      </w:pPr>
      <w:r>
        <w:rPr>
          <w:rFonts w:ascii="Courier New" w:cs="Courier New" w:eastAsia="Courier New" w:hAnsi="Courier New"/>
          <w:sz w:val="15"/>
          <w:szCs w:val="15"/>
          <w:color w:val="auto"/>
        </w:rPr>
        <w:t>Total Shares of FEMSA Common Stock ----------</w:t>
      </w:r>
    </w:p>
    <w:p>
      <w:pPr>
        <w:spacing w:after="0" w:line="168" w:lineRule="exact"/>
        <w:rPr>
          <w:sz w:val="20"/>
          <w:szCs w:val="20"/>
          <w:color w:val="auto"/>
        </w:rPr>
      </w:pPr>
    </w:p>
    <w:p>
      <w:pPr>
        <w:sectPr>
          <w:pgSz w:w="11900" w:h="16838" w:orient="portrait"/>
          <w:cols w:equalWidth="0" w:num="4">
            <w:col w:w="5080" w:space="260"/>
            <w:col w:w="2020" w:space="260"/>
            <w:col w:w="2100" w:space="260"/>
            <w:col w:w="880"/>
          </w:cols>
          <w:pgMar w:left="220" w:top="785" w:right="819"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Shareholder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Technical Committee and Trust</w:t>
      </w:r>
    </w:p>
    <w:p>
      <w:pPr>
        <w:sectPr>
          <w:pgSz w:w="11900" w:h="16838" w:orient="portrait"/>
          <w:cols w:equalWidth="0" w:num="1">
            <w:col w:w="10860"/>
          </w:cols>
          <w:pgMar w:left="220" w:top="785" w:right="819"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Participants under the Voting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1,473,334,215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53.8%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27.8%</w:t>
      </w:r>
    </w:p>
    <w:p>
      <w:pPr>
        <w:spacing w:after="0" w:line="9" w:lineRule="exact"/>
        <w:rPr>
          <w:sz w:val="20"/>
          <w:szCs w:val="20"/>
          <w:color w:val="auto"/>
        </w:rPr>
      </w:pPr>
    </w:p>
    <w:p>
      <w:pPr>
        <w:sectPr>
          <w:pgSz w:w="11900" w:h="16838" w:orient="portrait"/>
          <w:cols w:equalWidth="0" w:num="8">
            <w:col w:w="2540" w:space="540"/>
            <w:col w:w="1120" w:space="360"/>
            <w:col w:w="1020" w:space="720"/>
            <w:col w:w="100" w:space="600"/>
            <w:col w:w="860" w:space="720"/>
            <w:col w:w="80" w:space="620"/>
            <w:col w:w="420" w:space="720"/>
            <w:col w:w="440"/>
          </w:cols>
          <w:pgMar w:left="220" w:top="785" w:right="81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Trust(4).......................</w:t>
      </w:r>
    </w:p>
    <w:p>
      <w:pPr>
        <w:sectPr>
          <w:pgSz w:w="11900" w:h="16838" w:orient="portrait"/>
          <w:cols w:equalWidth="0" w:num="1">
            <w:col w:w="10860"/>
          </w:cols>
          <w:pgMar w:left="220" w:top="785" w:right="819"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International Inc.(5).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94,582,020</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5"/>
          <w:szCs w:val="15"/>
          <w:color w:val="auto"/>
        </w:rPr>
        <w:t>3.5%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189,164,040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14.8%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189,164,040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14.8%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8.9%</w:t>
      </w:r>
    </w:p>
    <w:p>
      <w:pPr>
        <w:spacing w:after="0" w:line="200" w:lineRule="exact"/>
        <w:rPr>
          <w:sz w:val="20"/>
          <w:szCs w:val="20"/>
          <w:color w:val="auto"/>
        </w:rPr>
      </w:pPr>
    </w:p>
    <w:p>
      <w:pPr>
        <w:sectPr>
          <w:pgSz w:w="11900" w:h="16838" w:orient="portrait"/>
          <w:cols w:equalWidth="0" w:num="8">
            <w:col w:w="2640" w:space="700"/>
            <w:col w:w="860" w:space="440"/>
            <w:col w:w="360" w:space="440"/>
            <w:col w:w="960" w:space="520"/>
            <w:col w:w="440" w:space="340"/>
            <w:col w:w="960" w:space="540"/>
            <w:col w:w="580" w:space="720"/>
            <w:col w:w="360"/>
          </w:cols>
          <w:pgMar w:left="220" w:top="785" w:right="819" w:bottom="1440" w:gutter="0" w:footer="0" w:header="0"/>
          <w:type w:val="continuous"/>
        </w:sectPr>
      </w:pPr>
    </w:p>
    <w:p>
      <w:pPr>
        <w:spacing w:after="0" w:line="309" w:lineRule="exact"/>
        <w:rPr>
          <w:sz w:val="20"/>
          <w:szCs w:val="20"/>
          <w:color w:val="auto"/>
        </w:rPr>
      </w:pPr>
    </w:p>
    <w:p>
      <w:pPr>
        <w:ind w:left="440" w:hanging="430"/>
        <w:spacing w:after="0"/>
        <w:tabs>
          <w:tab w:leader="none" w:pos="44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June 13, 2003, there were 2,737,740,090 Series B Shares outstanding.</w:t>
      </w:r>
    </w:p>
    <w:p>
      <w:pPr>
        <w:spacing w:after="0" w:line="9" w:lineRule="exact"/>
        <w:rPr>
          <w:rFonts w:ascii="Courier New" w:cs="Courier New" w:eastAsia="Courier New" w:hAnsi="Courier New"/>
          <w:sz w:val="14"/>
          <w:szCs w:val="14"/>
          <w:color w:val="auto"/>
        </w:rPr>
      </w:pPr>
    </w:p>
    <w:p>
      <w:pPr>
        <w:ind w:left="440" w:right="4900" w:hanging="430"/>
        <w:spacing w:after="0" w:line="234" w:lineRule="auto"/>
        <w:tabs>
          <w:tab w:leader="none" w:pos="44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June 13, 2003, there were 1,279,785,180 Series D-B Shares outstanding.</w:t>
      </w:r>
    </w:p>
    <w:p>
      <w:pPr>
        <w:spacing w:after="0" w:line="5" w:lineRule="exact"/>
        <w:rPr>
          <w:rFonts w:ascii="Courier New" w:cs="Courier New" w:eastAsia="Courier New" w:hAnsi="Courier New"/>
          <w:sz w:val="15"/>
          <w:szCs w:val="15"/>
          <w:color w:val="auto"/>
        </w:rPr>
      </w:pPr>
    </w:p>
    <w:p>
      <w:pPr>
        <w:ind w:left="440" w:right="4900" w:hanging="430"/>
        <w:spacing w:after="0" w:line="234" w:lineRule="auto"/>
        <w:tabs>
          <w:tab w:leader="none" w:pos="44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June 13, 2003, there were 1,279,785,180 Series D-L Shares outstanding.</w:t>
      </w:r>
    </w:p>
    <w:p>
      <w:pPr>
        <w:spacing w:after="0" w:line="5" w:lineRule="exact"/>
        <w:rPr>
          <w:rFonts w:ascii="Courier New" w:cs="Courier New" w:eastAsia="Courier New" w:hAnsi="Courier New"/>
          <w:sz w:val="15"/>
          <w:szCs w:val="15"/>
          <w:color w:val="auto"/>
        </w:rPr>
      </w:pPr>
    </w:p>
    <w:p>
      <w:pPr>
        <w:ind w:left="440" w:right="3860" w:hanging="430"/>
        <w:spacing w:after="0" w:line="254" w:lineRule="auto"/>
        <w:tabs>
          <w:tab w:leader="none" w:pos="44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a consequence of the Technical Committee's internal procedures, the Technical Committee, as a whole, is deemed to have the beneficial ownership with sole voting power of all the shares deposited in the Voting Trust and the Trust Participants (as defined below), as Technical Committee members, are deemed to have beneficial ownership with shared voting power over those same deposited shares. As of June 13, 2003, the trust participants under the Voting Trust (Irrevocable Trust No. F/29487-6 established at Bancomer, S.A., as Trustee), included: Max Michel Suberville, Eugenio Garza Laguera, Paulina Garza Gonda de Marroquin, Barbara Garza Gonda de Braniff, Mariana Garza Gonda de Trevino Bryan, Eva Gonda de Garza, Eva Garza Gonda de Fernandez, Consuelo Garza Laguera de Garza, Alfonso Garza Garza, Patricio Garza Garza, Juan Carlos Garza Garza, Eduardo Garza Garza, Eugenio Garza Garza, Alberto Bailleres, Maria Teresa G. de Bailleres, Inversiones Bursatiles Industriales, S.A. de C.V., Corbal, S.A. de C.V., Magdalena M. de David, Alepage, S.A., Bancomer, S.A. as Trustee under Trust No. F/29013-0, Max David Michel, Juan David Michel, Monique David de VanLathem, Renee Michel de Guichard, Magdalena Guichard Michel, Rene Guichard Michel, Miguel Guichard Michel, Graciano Guichard Michel, Juan Guichard Michel, Inversiones Franca, S.A. de C.V. and Bancomer, S.A., as Trustee under Trust No. F/29490-0 (together, the "Trust Participants").</w:t>
      </w:r>
    </w:p>
    <w:p>
      <w:pPr>
        <w:spacing w:after="0" w:line="6" w:lineRule="exact"/>
        <w:rPr>
          <w:rFonts w:ascii="Courier New" w:cs="Courier New" w:eastAsia="Courier New" w:hAnsi="Courier New"/>
          <w:sz w:val="14"/>
          <w:szCs w:val="14"/>
          <w:color w:val="auto"/>
        </w:rPr>
      </w:pPr>
    </w:p>
    <w:p>
      <w:pPr>
        <w:ind w:left="440" w:right="3940" w:hanging="430"/>
        <w:spacing w:after="0" w:line="234" w:lineRule="auto"/>
        <w:tabs>
          <w:tab w:leader="none" w:pos="44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Derived from a report of beneficial ownership of our shares filed with the SEC on May 14, 2003.</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Because of their ownership of a majority of the Series B Shares,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Technical Committee and Trust Participants may be deemed to control our company.</w:t>
      </w:r>
    </w:p>
    <w:p>
      <w:pPr>
        <w:spacing w:after="0" w:line="178" w:lineRule="exact"/>
        <w:rPr>
          <w:sz w:val="20"/>
          <w:szCs w:val="20"/>
          <w:color w:val="auto"/>
        </w:rPr>
      </w:pPr>
    </w:p>
    <w:p>
      <w:pPr>
        <w:ind w:right="3860" w:firstLine="437"/>
        <w:spacing w:after="0" w:line="235" w:lineRule="auto"/>
        <w:rPr>
          <w:sz w:val="20"/>
          <w:szCs w:val="20"/>
          <w:color w:val="auto"/>
        </w:rPr>
      </w:pPr>
      <w:r>
        <w:rPr>
          <w:rFonts w:ascii="Courier New" w:cs="Courier New" w:eastAsia="Courier New" w:hAnsi="Courier New"/>
          <w:sz w:val="15"/>
          <w:szCs w:val="15"/>
          <w:color w:val="auto"/>
        </w:rPr>
        <w:t>To the best of our knowledge, on June 13, 2003, 66.2% of BD units were held as ADRs through the ADR Depositary. According to the estimates provided by U.S. brokers to the ADR Depositary, on February 13, 2003 we had 2,750 stockholders registered as ADR holders.</w:t>
      </w:r>
    </w:p>
    <w:p>
      <w:pPr>
        <w:spacing w:after="0" w:line="16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Related-Party Transactions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Voting Trust</w:t>
      </w:r>
    </w:p>
    <w:p>
      <w:pPr>
        <w:spacing w:after="0" w:line="173" w:lineRule="exact"/>
        <w:rPr>
          <w:sz w:val="20"/>
          <w:szCs w:val="20"/>
          <w:color w:val="auto"/>
        </w:rPr>
      </w:pPr>
    </w:p>
    <w:p>
      <w:pPr>
        <w:ind w:right="3860" w:firstLine="437"/>
        <w:spacing w:after="0" w:line="255" w:lineRule="auto"/>
        <w:rPr>
          <w:sz w:val="20"/>
          <w:szCs w:val="20"/>
          <w:color w:val="auto"/>
        </w:rPr>
      </w:pPr>
      <w:r>
        <w:rPr>
          <w:rFonts w:ascii="Courier New" w:cs="Courier New" w:eastAsia="Courier New" w:hAnsi="Courier New"/>
          <w:sz w:val="14"/>
          <w:szCs w:val="14"/>
          <w:color w:val="auto"/>
        </w:rPr>
        <w:t>The Trust Participants, who are our principal shareholders, agreed in April 1998 to deposit a majority of their shares (the "Trust Assets") of FEMSA into the Voting Trust. The primary purpose of the Voting Trust is to permit the Trust Assets to be voted as a block, in accordance with the instructions of the Technical Committee. The Technical Committee is comprised of all of the Trust Participants. The number of B Units deposited by each Trust Participant (the proportional share of the Trust Assets of such participant) determines the number of votes that such Trust Participant has on the Technical Committee. Most matters are decided by a simple majority of the Trust Assets.</w:t>
      </w:r>
    </w:p>
    <w:p>
      <w:pPr>
        <w:spacing w:after="0" w:line="32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118</w:t>
      </w:r>
    </w:p>
    <w:p>
      <w:pPr>
        <w:sectPr>
          <w:pgSz w:w="11900" w:h="16838" w:orient="portrait"/>
          <w:cols w:equalWidth="0" w:num="1">
            <w:col w:w="10860"/>
          </w:cols>
          <w:pgMar w:left="220" w:top="785" w:right="819" w:bottom="1440" w:gutter="0" w:footer="0" w:header="0"/>
          <w:type w:val="continuous"/>
        </w:sectPr>
      </w:pPr>
    </w:p>
    <w:bookmarkStart w:id="126" w:name="page127"/>
    <w:bookmarkEnd w:id="126"/>
    <w:p>
      <w:pPr>
        <w:ind w:right="3239" w:firstLine="437"/>
        <w:spacing w:after="0" w:line="254" w:lineRule="auto"/>
        <w:rPr>
          <w:sz w:val="20"/>
          <w:szCs w:val="20"/>
          <w:color w:val="auto"/>
        </w:rPr>
      </w:pPr>
      <w:r>
        <w:rPr>
          <w:rFonts w:ascii="Courier New" w:cs="Courier New" w:eastAsia="Courier New" w:hAnsi="Courier New"/>
          <w:sz w:val="14"/>
          <w:szCs w:val="14"/>
          <w:color w:val="auto"/>
        </w:rPr>
        <w:t>The Trust Participants agreed to certain transfer restrictions with respect to the Trust Assets. During the ten-year term of the Voting Trust, Trust Assets may be transferred by Trust Participants to spouses and immediate family members and, subject to certain conditions, to companies that are 100% owned by Trust Participants ("Permitted Transferees"), provided in all cases that the transferee agrees to be bound by the terms of the Voting Trust. In the event that a Trust Participant wishes to sell part of its Trust Assets to someone other than a Permitted Transferee, the other Trust Participants have the right of first refusal to purchase the Trust Assets that such Trust Participant wishes to sell. If none of the Trust Participants elects to acquire the Trust Assets from the selling Trust Participant, the Technical Committee will have the right to nominate (subject to the approval of Technical Committee members representing 75% of the Trust Assets, excluding Trust Assets that are the subject of the sale) a purchaser for such Trust Assets. In the event that none of the Trust Participants or a nominated purchaser elects to acquire such Trust Assets, the selling Trust Participant will have the right to sell such Trust Assets to a third party on the same terms and conditions that were offered to the Trust Participants. Acquirors of Trust Assets will only be permitted to become parties to the Voting Trust upon the affirmative vote of Technical Committee members. In the event that a Trust Participant holding a majority of the Trust Assets elects to sell its Trust Assets, the other Trust Participants have "tag along" rights that will enable them to sell their Trust Assets to the acquiror of the selling Trust Participant's Trust Assets.</w:t>
      </w:r>
    </w:p>
    <w:p>
      <w:pPr>
        <w:spacing w:after="0" w:line="33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Interest of Management in Certain Transactions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We, along with certain of our subsidiaries, engage in financial and insurance coverage transactions, including the receipt of loans and credit line facilities, with subsidiaries of BBVA Bancomer, a financial services holding company of which Ricardo Guajardo Touche is the Chairman of the Board of Directors and Juan Carlos Braniff Hierro is Vice Chairman of the Board of Directors (both Messrs. Guajardo and Braniff are Directors of FEMSA). BBVA Bancomer is the administrative agent and is one of the lenders in a Ps. 837 million credit agreement entered by FEMSA Comercio. In addition, BBVA Bancomer is the lender of a Ps. 628 million credit agreement entered by FEMSA Empaques. BBVA Bancomer and its affiliates are also a lender under the Bridge Loan and one of the Term Loans and a purchaser of Mexican Certificados Bursatiles maturing in 2007, each of which was incurred in connection with the acquisition of Panamco. These loans were made in the ordinary course of business and on the same terms, including interest rates and collateral, as those prevailing at the time for comparable transactions with other parties and did not involve more than the normal risk of collectibility or present other unfavorable features.</w:t>
      </w:r>
    </w:p>
    <w:p>
      <w:pPr>
        <w:spacing w:after="0" w:line="16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We maintain an insurance policy covering auto insurance and medical expenses for executives issued by Grupo Nacional Provincial, S.A., an insurance company of which the Chairman of the Board and Chief Executive Officer is Alberto Bailleres, one of our Directors. The aggregate amount of premiums paid under these policies in nominal Pesos was approximately Ps. 71.5 million in 2002.</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We maintained insurance covering life and medical expenses for executives issued by Seguros Monterrey New York Life, S.A., an insurance company of which the vice-chairman of the board is Federico Reyes, our Executive Vice President of Planning and Finance. The aggregate amount of premiums paid under these policies was approximately Ps. 53.7 million. In addition, we paid during 2002 premiums of approximately Ps. 28.7 million for fidelity bonds issued by Fianzas Monterrey New York Life, S.A., a company for which Federico Reyes is the chairman of its review board.</w:t>
      </w:r>
    </w:p>
    <w:p>
      <w:pPr>
        <w:spacing w:after="0" w:line="177"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In 2002, FEMSA Comercio purchased Ps. 460 million in products for their stores from GIBSERSA, S.A. de C.V. (Bimbo), of which the Chief Executive Officer is Roberto Servitje, a Director of FEMSA.</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Jose Antonio Fernandez, Eva Garza de Fernandez, Ricardo Guajardo Touche and Lorenzo H. Zambrano, who are Directors of FEMSA, are also members of the Board of Directors of ITESM, which is a prestigious university that routinely receives donations from FEMSA and its subsidiaries.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Beer Sales to Labatt USA</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FEMSA Cerveza's affiliate, Labatt USA, is the importer of FEMSA Cerveza's brands in the United States. In 2002, exports through Labatt USA to the United States were approximately US$84 million. See "Item 4. Information on the Company--FEMSA Cerveza--FEMSA Cerveza Export Summary."</w:t>
      </w:r>
    </w:p>
    <w:p>
      <w:pPr>
        <w:spacing w:after="0" w:line="3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119</w:t>
      </w:r>
    </w:p>
    <w:p>
      <w:pPr>
        <w:sectPr>
          <w:pgSz w:w="11900" w:h="16838" w:orient="portrait"/>
          <w:cols w:equalWidth="0" w:num="1">
            <w:col w:w="10239"/>
          </w:cols>
          <w:pgMar w:left="220" w:top="623" w:right="1440" w:bottom="1440" w:gutter="0" w:footer="0" w:header="0"/>
        </w:sectPr>
      </w:pPr>
    </w:p>
    <w:bookmarkStart w:id="127" w:name="page128"/>
    <w:bookmarkEnd w:id="127"/>
    <w:p>
      <w:pPr>
        <w:ind w:left="440"/>
        <w:spacing w:after="0"/>
        <w:rPr>
          <w:sz w:val="20"/>
          <w:szCs w:val="20"/>
          <w:color w:val="auto"/>
        </w:rPr>
      </w:pPr>
      <w:r>
        <w:rPr>
          <w:rFonts w:ascii="Courier New" w:cs="Courier New" w:eastAsia="Courier New" w:hAnsi="Courier New"/>
          <w:sz w:val="15"/>
          <w:szCs w:val="15"/>
          <w:color w:val="auto"/>
        </w:rPr>
        <w:t>Business Transactions between Coca-Cola FEMSA and The Coca-Cola Company</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Coca-Cola FEMSA regularly engages in transactions with The Coca-Cola Company and its affiliates. In 2002, Coca-Cola FEMSA Buenos Aires purchased all of its can presentations from CICAN, a joint venture between Coca-Cola FEMSA Buenos Aires and the Coca-Cola bottlers in Argentina, Uruguay and Paraguay. In addition, Coca-Cola FEMSA Buenos Aires also purchased a portion of its plastic ingot requirements for producing plastic bottles and all of its returnable bottle requirements from CIPET. CIPET is a local subsidiary of Embotelladora Andina, S.A., a Coca-Cola bottler with operations in Argentina, in which The Coca-Cola Company has a substantial interest. Management believes that Coca-Cola FEMSA's purchasing practices result in prices comparable to those that would be obtained in arm's length negotiations with unaffiliated parties.</w:t>
      </w:r>
    </w:p>
    <w:p>
      <w:pPr>
        <w:spacing w:after="0" w:line="165"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Coca-Cola FEMSA and The Coca-Cola Company pay and reimburse each other for marketing expenditures under a cooperative marketing arrangement. In addition, The Coca-Cola Company has made payments to Coca-Cola FEMSA in connection with cold-drink equipment investments and other volume-driving investment programs. Coca-Cola FEMSA purchases all of its concentrate requirements for Coca-Cola trademark beverages from The Coca-Cola Company. Total payments by Coca-Cola FEMSA to The Coca-Cola Company for concentrates were approximately Ps. 2,558 million, Ps. 2,643 million and Ps. 2,586 million in 2002, 2001 and 2000, respectively. In each of 2002 and 2001, The Coca-Cola Company contributed approximately 42% of Coca-Cola FEMSA's advertising and marketing budget, which totaled approximately Ps. 714.8 million and Ps. 692.6 million. In each of 2002 and 2001, The Coca-Cola Company in addition contributed to Coca-Cola FEMSA's refrigerator equipment investment program.</w:t>
      </w:r>
    </w:p>
    <w:p>
      <w:pPr>
        <w:spacing w:after="0" w:line="16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subsidiaries of The Coca-Cola Company that held Panamco shares made specified undertakings to support and facilitate the Panamco acquisition for the benefit of Coca-Cola FEMSA. In consideration for these undertakings, Coca-Cola FEMSA made certain undertakings for the benefit of The Coca-Cola Company and its subsidiaries, including indemnity obligations with respect to specified matters relating to the accuracy of disclosure and the compliance with applicable law by Coca-Cola FEMSA's Board of Directors and the board of directors of Panamco and undertakings to take specified actions and refrain from specified others to facilitate the ability of The Coca-Cola Company to receive favorable tax treatment in connection with its participation in the acquisition. In connection with the execution of the acquisition agreement for Panamco, The Coca-Cola Company and FEMSA memorialized the understandings relating to specified operational and business issues that may affect Coca-Cola FEMSA following completion of the acquisition. A summary of these understandings is set forth under "Item 4. Information on the Company--Coca-Cola FEMSA--The Panamco Acquisition."</w:t>
      </w:r>
    </w:p>
    <w:p>
      <w:pPr>
        <w:spacing w:after="0" w:line="200" w:lineRule="exact"/>
        <w:rPr>
          <w:sz w:val="20"/>
          <w:szCs w:val="20"/>
          <w:color w:val="auto"/>
        </w:rPr>
      </w:pPr>
    </w:p>
    <w:p>
      <w:pPr>
        <w:spacing w:after="0" w:line="30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120</w:t>
      </w:r>
    </w:p>
    <w:p>
      <w:pPr>
        <w:sectPr>
          <w:pgSz w:w="11900" w:h="16838" w:orient="portrait"/>
          <w:cols w:equalWidth="0" w:num="1">
            <w:col w:w="10239"/>
          </w:cols>
          <w:pgMar w:left="220" w:top="617" w:right="1440" w:bottom="1440" w:gutter="0" w:footer="0" w:header="0"/>
        </w:sectPr>
      </w:pPr>
    </w:p>
    <w:bookmarkStart w:id="128" w:name="page129"/>
    <w:bookmarkEnd w:id="128"/>
    <w:p>
      <w:pPr>
        <w:spacing w:after="0"/>
        <w:tabs>
          <w:tab w:leader="none" w:pos="780"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4"/>
          <w:szCs w:val="14"/>
          <w:color w:val="auto"/>
        </w:rPr>
        <w:t>FINANCIAL INFORMATION</w:t>
      </w:r>
    </w:p>
    <w:p>
      <w:pPr>
        <w:spacing w:after="0" w:line="166"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Consolidated Financial Statements</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See pages F-1 through F-48, incorporated herein by reference.</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Dividend Policy</w:t>
      </w:r>
    </w:p>
    <w:p>
      <w:pPr>
        <w:spacing w:after="0" w:line="173"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For a discussion of our dividend policy, see "Item 3. Key Information-Dividends" and "Item 10. Additional Information-Dividend Rights."</w:t>
      </w:r>
    </w:p>
    <w:p>
      <w:pPr>
        <w:spacing w:after="0" w:line="167"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Legal Proceedings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are party to various legal proceedings in the ordinary course of business. Other than as disclosed in this Annual Report, we are not currently involved in any litigation or arbitration proceeding, including any proceeding that is pending or threatened of which we are aware, which we believe will have, or have had, a material adverse effect on our company.</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Tax Proceedings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We obtained a favorable resolution from the Mexican federal tax court in a lawsuit against the Mexican Ministry of Finance in an amount equal to Ps. 320 million with respect to income tax paid in prior years. Based on this ruling, we filed a request for reimbursement before the Mexican Ministry of Finance, and received from the Mexican tax authorities as of December 18, 2001 an amount equal to Ps. 215 million. The Mexican authorities contested the balance owed. We sought the full reimbursement of the amount owed to us, which together with interest and surcharges, is approximately Ps. 215 million. As of the date of this Annual Report, we have obtained a favorable ruling from the authorities and have requested reimbursement from the Ministry of Finance.</w:t>
      </w:r>
    </w:p>
    <w:p>
      <w:pPr>
        <w:spacing w:after="0" w:line="16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addition, due to adjustments to consolidated asset taxes derived from increased shareholdings in subsidiaries during 1998 and 1999, we calculated the asset tax receivable and filed for a refund. The tax authorities rejected the refund request. The company obtained a favorable decision during amparo proceedings. At December 31, 2002, the receivable amount was approximately Ps. 218 million.</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During the year 2002, and up to the date of this Annual Report, we and our subsidiaries participated in 12 tax nullity proceedings in connection with rulings of the Mexican tax authorities, involving either assessments against us or the refusal to reimburse tax balances in our favor. With respect to the assessments, the Mexican federal tax courts issued assessments against us in the amount of Ps. 2.6 million. With respect to the balances, which equal Ps. 32.1 million, as of December 31, 2002 we have obtained favorable rulings in the amount of Ps. 26.2 million. Other proceedings are pending in the Mexican tax courts related to exports to countries considered to be tax havens under Mexican law in the amount of Ps. 67.6 million. We believe that the resolution of these claims will not have a material adverse effect on our company.</w:t>
      </w:r>
    </w:p>
    <w:p>
      <w:pPr>
        <w:spacing w:after="0" w:line="16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During 2002, Coca-Cola FEMSA initiated an appeal related to the payment of Impuesto Especial Sobre Productos y Servicios ("Special Tax on Products and Services") paid in the amount of approximately Ps. 94 million applicable to inventories produced with HFCS. As of the date of this Annual Report, Coca-Cola FEMSA obtained a favorable decision from the applicable court, and the Mexican authorities have appealed the decision.</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Antitrust Proceedings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January 24, 2000, the Comision Federal de Competencia (the Federal Antitrust Commissions, or the "Mexican Antitrust Commission") notified FEMSA Cerveza that it was reviewing the pricing practices of the Mexican beer industry and requested information as a part of that review. On April 11, 2002, the Mexican Antitrust Commission issued a final decision recognizing that FEMSA Cerveza had not engaged in any illegal behavior. FEMSA Cerveza has agreed to inform the Mexican Antitrust Commission regarding its pricing practices for the next three years.</w:t>
      </w:r>
    </w:p>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121</w:t>
      </w:r>
    </w:p>
    <w:p>
      <w:pPr>
        <w:sectPr>
          <w:pgSz w:w="11900" w:h="16838" w:orient="portrait"/>
          <w:cols w:equalWidth="0" w:num="1">
            <w:col w:w="10239"/>
          </w:cols>
          <w:pgMar w:left="220" w:top="953" w:right="1440" w:bottom="1440" w:gutter="0" w:footer="0" w:header="0"/>
        </w:sectPr>
      </w:pPr>
    </w:p>
    <w:bookmarkStart w:id="129" w:name="page130"/>
    <w:bookmarkEnd w:id="129"/>
    <w:p>
      <w:pPr>
        <w:ind w:right="3239" w:firstLine="437"/>
        <w:spacing w:after="0" w:line="255" w:lineRule="auto"/>
        <w:rPr>
          <w:sz w:val="20"/>
          <w:szCs w:val="20"/>
          <w:color w:val="auto"/>
        </w:rPr>
      </w:pPr>
      <w:r>
        <w:rPr>
          <w:rFonts w:ascii="Courier New" w:cs="Courier New" w:eastAsia="Courier New" w:hAnsi="Courier New"/>
          <w:sz w:val="14"/>
          <w:szCs w:val="14"/>
          <w:color w:val="auto"/>
        </w:rPr>
        <w:t>In May 2000, the Mexican Antitrust Commission notified Coca-Cola FEMSA that it was investigating The Coca-Cola Company and the bottlers of Coca-Cola trademark beverages in Mexico, including Coca-Cola FEMSA. This investigation focuses on monopolistic practices within the soft drink industry in Mexico. On February 28, 2002, the Mexican Antitrust Commission notified Coca-Cola FEMSA of its decision, in which it found that monopolistic practices were committed by the bottlers of Coca-Cola trademark beverages, including Coca-Cola FEMSA, with respect to exclusivity arrangements with retailers. Coca-Cola FEMSA appealed the ruling before the Mexican Antitrust Commission, which confirmed its findings as of July 11, 2002. As of August 21, 2002, Coca-Cola FEMSA began amparo proceedings before Mexican federal courts to challenge the ruling. Coca-Cola FEMSA believes that in the event that the ruling of the Mexican Antitrust Commission becomes final, such decision will not have a material adverse effect on its financial condition, since no fines were imposed against Coca-Cola FEMSA and such contracts with retailers are immaterial as a percentage of Coca-Cola FEMSA's total sales. However, we cannot give any assurances that such legal actions will not negatively affect us in the future.</w:t>
      </w:r>
    </w:p>
    <w:p>
      <w:pPr>
        <w:spacing w:after="0" w:line="32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Rider 122</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On June 17, 2003, the Mexican Antitrust Commission announced that it was launching a separate investigation into the soft drink industry practice with respect to exclusivity arrangements in general. As of the date of this annual report, Coca-Cola FEMSA has not received any requests for information from the Mexican Antitrust Commission. We cannot give any assurances that any action taken as a result of this investigation will not negatively affect us in the future.</w:t>
      </w:r>
    </w:p>
    <w:p>
      <w:pPr>
        <w:spacing w:after="0" w:line="17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On June 18, 2003, the Mexican Antitrust Commission announced that it was launching a separate investigation into the beer industry practice of tied-customer arrangements. As of the date of this Annual Report, FEMSA Cerveza has not received any requests for information from the Mexican Antitrust Commission. We cannot give any assurances that any action taken as a result of this investigation will not negatively affect us in the future.</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Labatt USA Litigation</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On April 29, 2002, a subsidiary of FEMSA Cerveza in the United States, commenced litigation in the United States District Court for the Southern District of New York, in Manhattan, against Labatt, Labatt Holdings, Inc., Labatt USA, LF Holdings I, L.L.C., and Interbrew (which we refer to collectively as the "defendants") to prevent the integration of Beck's into the Labatt USA portfolio. FEMSA Cerveza believes that the proposed integration without its consent would violate its rights as indirect minority shareholder in Labatt USA.</w:t>
      </w:r>
    </w:p>
    <w:p>
      <w:pPr>
        <w:spacing w:after="0" w:line="166"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FEMSA Cerveza's subsidiary alleges that, pursuant to the terms of the Amended and Restated Limited Liability Company Agreement of LF Holdings I, L.L.C., one of the holding companies for Labatt USA, the integration cannot proceed without this subsidiary's prior approval (either by having at least one of its two directors on the board of LF Holdings I, L.L.C. vote in favor of the integration, or through an affirmative vote of its membership interests). At a meeting of the board of directors of LF Holdings I, L.L.C. on April 25, 2002, the proposed inclusion of Beck's was put to a vote of the board of directors, and the subsidiary's two directors voted against the proposed Beck's integration. Notwithstanding this vote, the defendants in the lawsuit indicated their intent to implement the board resolution against which FEMSA Cerveza's directors had voted.</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On April 29, 2002, FEMSA Cerveza's subsidiary moved the United States District Court for the Southern District of New York for a preliminary injunction, alleging that the subsidiary faced imminent irreparable harm as a result of the actions by the defendants to proceed with the inclusion of Beck's without their required approval. On May 23, 2002, the District Court entered a preliminary injunction order providing that the defendants in the litigation "are hereby enjoined during the pendency of these proceedings and from this date and time from taking any further actions in furtherance of the integration of Beck's into Labatt USA L.L.C." The court also ordered FEMSA Cerveza's subsidiary to "file a bond in the amount of $5,000,000 to indemnify the [d]efendants from any damage they may suffer should it be determined that this injunction should not have issued." The subsidiary filed the requisite bond on May 29, 2002, a date approved by the court.</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On May 24, 2002, the defendants filed a notice of appeal from the preliminary injunction order entered by the District Court on May 23, 2002. On May 28, 2002, the defendants filed with the United States Court of Appeals for the Second Circuit a motion for an expedited appeal schedule, which FEMSA Cerveza's subsidiary did not oppose. On May 31, 2002, the United States Court of Appeals set a schedule for an expedited appeal. The argument of the appeal took place on August 7, 2002. The Second Circuit has not yet issued a ruling on the defendants' appeal.</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Litigations related to Panamco</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At the time of the acquisition, Panamco and its subsidiaries were, and are still, subject to a number of significant and on-going legal proceedings, including antitrust, tax, labor, human rights and other claims. A description of the litigation is included in Panamco's Annual Report on Form 10-K filed with the Securities and Exchange Commission on March 28, 2003 and in Panamco's quarterly report on Form 10-Q filed with the Securities and Exchange Commission on May 6, 2003. Such reports do not constitute part of this Annual Report and are not incorporated by reference into this Annual Report. We are still in the process of conducting our own review of litigation pending against Panamco. Although no assurances can be given, we believe, based on the information available to us to date, that claims pending against Panamco are either without merit or will not result in a material adverse effect on our consolidated</w:t>
      </w:r>
    </w:p>
    <w:p>
      <w:pPr>
        <w:sectPr>
          <w:pgSz w:w="11900" w:h="16838" w:orient="portrait"/>
          <w:cols w:equalWidth="0" w:num="1">
            <w:col w:w="10239"/>
          </w:cols>
          <w:pgMar w:left="220" w:top="623" w:right="1440" w:bottom="0" w:gutter="0" w:footer="0" w:header="0"/>
        </w:sectPr>
      </w:pPr>
    </w:p>
    <w:bookmarkStart w:id="130" w:name="page131"/>
    <w:bookmarkEnd w:id="130"/>
    <w:p>
      <w:pPr>
        <w:spacing w:after="0"/>
        <w:rPr>
          <w:sz w:val="20"/>
          <w:szCs w:val="20"/>
          <w:color w:val="auto"/>
        </w:rPr>
      </w:pPr>
      <w:r>
        <w:rPr>
          <w:rFonts w:ascii="Courier New" w:cs="Courier New" w:eastAsia="Courier New" w:hAnsi="Courier New"/>
          <w:sz w:val="14"/>
          <w:szCs w:val="14"/>
          <w:color w:val="auto"/>
        </w:rPr>
        <w:t>financial condition or consolidated results.</w:t>
      </w:r>
    </w:p>
    <w:p>
      <w:pPr>
        <w:sectPr>
          <w:pgSz w:w="11900" w:h="16838" w:orient="portrait"/>
          <w:cols w:equalWidth="0" w:num="1">
            <w:col w:w="10239"/>
          </w:cols>
          <w:pgMar w:left="220" w:top="141" w:right="1440" w:bottom="1440" w:gutter="0" w:footer="0" w:header="0"/>
        </w:sectPr>
      </w:pPr>
    </w:p>
    <w:p>
      <w:pPr>
        <w:spacing w:after="0" w:line="200" w:lineRule="exact"/>
        <w:rPr>
          <w:sz w:val="20"/>
          <w:szCs w:val="20"/>
          <w:color w:val="auto"/>
        </w:rPr>
      </w:pPr>
    </w:p>
    <w:p>
      <w:pPr>
        <w:spacing w:after="0" w:line="31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122</w:t>
      </w:r>
    </w:p>
    <w:p>
      <w:pPr>
        <w:sectPr>
          <w:pgSz w:w="11900" w:h="16838" w:orient="portrait"/>
          <w:cols w:equalWidth="0" w:num="1">
            <w:col w:w="10239"/>
          </w:cols>
          <w:pgMar w:left="220" w:top="141" w:right="1440" w:bottom="1440" w:gutter="0" w:footer="0" w:header="0"/>
          <w:type w:val="continuous"/>
        </w:sectPr>
      </w:pPr>
    </w:p>
    <w:bookmarkStart w:id="131" w:name="page132"/>
    <w:bookmarkEnd w:id="131"/>
    <w:p>
      <w:pPr>
        <w:spacing w:after="0"/>
        <w:tabs>
          <w:tab w:leader="none" w:pos="780" w:val="left"/>
        </w:tabs>
        <w:rPr>
          <w:sz w:val="20"/>
          <w:szCs w:val="20"/>
          <w:color w:val="auto"/>
        </w:rPr>
      </w:pPr>
      <w:r>
        <w:rPr>
          <w:rFonts w:ascii="Courier New" w:cs="Courier New" w:eastAsia="Courier New" w:hAnsi="Courier New"/>
          <w:sz w:val="15"/>
          <w:szCs w:val="15"/>
          <w:color w:val="auto"/>
        </w:rPr>
        <w:t>ITEM 9.</w:t>
      </w:r>
      <w:r>
        <w:rPr>
          <w:sz w:val="20"/>
          <w:szCs w:val="20"/>
          <w:color w:val="auto"/>
        </w:rPr>
        <w:tab/>
      </w:r>
      <w:r>
        <w:rPr>
          <w:rFonts w:ascii="Courier New" w:cs="Courier New" w:eastAsia="Courier New" w:hAnsi="Courier New"/>
          <w:sz w:val="14"/>
          <w:szCs w:val="14"/>
          <w:color w:val="auto"/>
        </w:rPr>
        <w:t>THE OFFER AND LISTING</w:t>
      </w:r>
    </w:p>
    <w:p>
      <w:pPr>
        <w:spacing w:after="0" w:line="166"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Description of Securities</w:t>
      </w:r>
    </w:p>
    <w:p>
      <w:pPr>
        <w:spacing w:after="0" w:line="173" w:lineRule="exact"/>
        <w:rPr>
          <w:sz w:val="20"/>
          <w:szCs w:val="20"/>
          <w:color w:val="auto"/>
        </w:rPr>
      </w:pPr>
    </w:p>
    <w:p>
      <w:pPr>
        <w:jc w:val="both"/>
        <w:ind w:right="180" w:firstLine="437"/>
        <w:spacing w:after="0" w:line="235" w:lineRule="auto"/>
        <w:rPr>
          <w:sz w:val="20"/>
          <w:szCs w:val="20"/>
          <w:color w:val="auto"/>
        </w:rPr>
      </w:pPr>
      <w:r>
        <w:rPr>
          <w:rFonts w:ascii="Courier New" w:cs="Courier New" w:eastAsia="Courier New" w:hAnsi="Courier New"/>
          <w:sz w:val="15"/>
          <w:szCs w:val="15"/>
          <w:color w:val="auto"/>
        </w:rPr>
        <w:t>Our capital stock consists of Series B Shares with full voting rights and of Series D-B and D-L Shares with limited voting rights. Prior to May 11, 2008, the shares of our company are not separable and may be transferred only in the following forms:</w:t>
      </w:r>
    </w:p>
    <w:p>
      <w:pPr>
        <w:spacing w:after="0" w:line="169" w:lineRule="exact"/>
        <w:rPr>
          <w:sz w:val="20"/>
          <w:szCs w:val="20"/>
          <w:color w:val="auto"/>
        </w:rPr>
      </w:pPr>
    </w:p>
    <w:p>
      <w:pPr>
        <w:ind w:left="180" w:hanging="170"/>
        <w:spacing w:after="0"/>
        <w:tabs>
          <w:tab w:leader="none" w:pos="18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B Units, consisting of five Series B Shares; and</w:t>
      </w:r>
    </w:p>
    <w:p>
      <w:pPr>
        <w:spacing w:after="0" w:line="4" w:lineRule="exact"/>
        <w:rPr>
          <w:rFonts w:ascii="Courier New" w:cs="Courier New" w:eastAsia="Courier New" w:hAnsi="Courier New"/>
          <w:sz w:val="15"/>
          <w:szCs w:val="15"/>
          <w:color w:val="auto"/>
        </w:rPr>
      </w:pPr>
    </w:p>
    <w:p>
      <w:pPr>
        <w:ind w:left="440" w:right="100" w:hanging="430"/>
        <w:spacing w:after="0" w:line="234" w:lineRule="auto"/>
        <w:tabs>
          <w:tab w:leader="none" w:pos="178"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-BD Units, consisting of one Series B Share, two Series D-B Shares and two Series D-L Shares.</w:t>
      </w:r>
    </w:p>
    <w:p>
      <w:pPr>
        <w:spacing w:after="0" w:line="173" w:lineRule="exact"/>
        <w:rPr>
          <w:sz w:val="20"/>
          <w:szCs w:val="20"/>
          <w:color w:val="auto"/>
        </w:rPr>
      </w:pPr>
    </w:p>
    <w:p>
      <w:pPr>
        <w:ind w:right="180" w:firstLine="437"/>
        <w:spacing w:after="0" w:line="236" w:lineRule="auto"/>
        <w:rPr>
          <w:sz w:val="20"/>
          <w:szCs w:val="20"/>
          <w:color w:val="auto"/>
        </w:rPr>
      </w:pPr>
      <w:r>
        <w:rPr>
          <w:rFonts w:ascii="Courier New" w:cs="Courier New" w:eastAsia="Courier New" w:hAnsi="Courier New"/>
          <w:sz w:val="15"/>
          <w:szCs w:val="15"/>
          <w:color w:val="auto"/>
        </w:rPr>
        <w:t>On May 11, 2008, each Series D-B Share will automatically convert into one Series B Share with full voting rights, and each Series D-L Share will automatically convert into one Series L Share with limited voting rights. At that time, the BD Units and the B Units will cease to exist and the underlying Series B Shares and Series L Shares will be separated.</w:t>
      </w:r>
    </w:p>
    <w:p>
      <w:pPr>
        <w:spacing w:after="0" w:line="174" w:lineRule="exact"/>
        <w:rPr>
          <w:sz w:val="20"/>
          <w:szCs w:val="20"/>
          <w:color w:val="auto"/>
        </w:rPr>
      </w:pPr>
    </w:p>
    <w:p>
      <w:pPr>
        <w:ind w:right="260" w:firstLine="437"/>
        <w:spacing w:after="0" w:line="234" w:lineRule="auto"/>
        <w:rPr>
          <w:sz w:val="20"/>
          <w:szCs w:val="20"/>
          <w:color w:val="auto"/>
        </w:rPr>
      </w:pPr>
      <w:r>
        <w:rPr>
          <w:rFonts w:ascii="Courier New" w:cs="Courier New" w:eastAsia="Courier New" w:hAnsi="Courier New"/>
          <w:sz w:val="15"/>
          <w:szCs w:val="15"/>
          <w:color w:val="auto"/>
        </w:rPr>
        <w:t>The following table sets forth information regarding our capital stock as of June 13, 2003:</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Percentage</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Class</w:t>
            </w:r>
          </w:p>
        </w:tc>
        <w:tc>
          <w:tcPr>
            <w:tcW w:w="18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Number</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of Capital</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8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80" w:type="dxa"/>
            <w:vAlign w:val="bottom"/>
          </w:tcPr>
          <w:p>
            <w:pPr>
              <w:spacing w:after="0"/>
              <w:rPr>
                <w:sz w:val="20"/>
                <w:szCs w:val="20"/>
                <w:color w:val="auto"/>
              </w:rPr>
            </w:pPr>
            <w:r>
              <w:rPr>
                <w:rFonts w:ascii="Courier New" w:cs="Courier New" w:eastAsia="Courier New" w:hAnsi="Courier New"/>
                <w:sz w:val="15"/>
                <w:szCs w:val="15"/>
                <w:color w:val="auto"/>
              </w:rPr>
              <w:t>Series B Shares (no par value)...........</w:t>
            </w:r>
          </w:p>
        </w:tc>
        <w:tc>
          <w:tcPr>
            <w:tcW w:w="1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2,737,740,090</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51.68%</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Series D-B Shares (no par value).........</w:t>
            </w:r>
          </w:p>
        </w:tc>
        <w:tc>
          <w:tcPr>
            <w:tcW w:w="1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1,279,785,180</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24.16</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Series D-L Shares (no par value).........</w:t>
            </w:r>
          </w:p>
        </w:tc>
        <w:tc>
          <w:tcPr>
            <w:tcW w:w="1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1,279,785,180</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24.16</w:t>
            </w:r>
          </w:p>
        </w:tc>
      </w:tr>
      <w:tr>
        <w:trPr>
          <w:trHeight w:val="168"/>
        </w:trPr>
        <w:tc>
          <w:tcPr>
            <w:tcW w:w="39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Total Shares.....................</w:t>
            </w:r>
          </w:p>
        </w:tc>
        <w:tc>
          <w:tcPr>
            <w:tcW w:w="1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5,297,310,450</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3980" w:type="dxa"/>
            <w:vAlign w:val="bottom"/>
          </w:tcPr>
          <w:p>
            <w:pPr>
              <w:spacing w:after="0"/>
              <w:rPr>
                <w:sz w:val="14"/>
                <w:szCs w:val="14"/>
                <w:color w:val="auto"/>
              </w:rPr>
            </w:pPr>
          </w:p>
        </w:tc>
        <w:tc>
          <w:tcPr>
            <w:tcW w:w="1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80" w:type="dxa"/>
            <w:vAlign w:val="bottom"/>
          </w:tcPr>
          <w:p>
            <w:pPr>
              <w:spacing w:after="0"/>
              <w:rPr>
                <w:sz w:val="20"/>
                <w:szCs w:val="20"/>
                <w:color w:val="auto"/>
              </w:rPr>
            </w:pPr>
            <w:r>
              <w:rPr>
                <w:rFonts w:ascii="Courier New" w:cs="Courier New" w:eastAsia="Courier New" w:hAnsi="Courier New"/>
                <w:sz w:val="15"/>
                <w:szCs w:val="15"/>
                <w:color w:val="auto"/>
              </w:rPr>
              <w:t>Units</w:t>
            </w:r>
          </w:p>
        </w:tc>
        <w:tc>
          <w:tcPr>
            <w:tcW w:w="18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BD Units.................................</w:t>
            </w:r>
          </w:p>
        </w:tc>
        <w:tc>
          <w:tcPr>
            <w:tcW w:w="1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639,892,590</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60.40%</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B Units..................................</w:t>
            </w:r>
          </w:p>
        </w:tc>
        <w:tc>
          <w:tcPr>
            <w:tcW w:w="1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419,569,500</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39.60</w:t>
            </w:r>
          </w:p>
        </w:tc>
      </w:tr>
      <w:tr>
        <w:trPr>
          <w:trHeight w:val="168"/>
        </w:trPr>
        <w:tc>
          <w:tcPr>
            <w:tcW w:w="39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Total Units......................</w:t>
            </w:r>
          </w:p>
        </w:tc>
        <w:tc>
          <w:tcPr>
            <w:tcW w:w="1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1,059,462,090</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3980" w:type="dxa"/>
            <w:vAlign w:val="bottom"/>
          </w:tcPr>
          <w:p>
            <w:pPr>
              <w:spacing w:after="0"/>
              <w:rPr>
                <w:sz w:val="14"/>
                <w:szCs w:val="14"/>
                <w:color w:val="auto"/>
              </w:rPr>
            </w:pPr>
          </w:p>
        </w:tc>
        <w:tc>
          <w:tcPr>
            <w:tcW w:w="1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2900" w:right="1320" w:hanging="2890"/>
        <w:spacing w:after="0" w:line="465" w:lineRule="auto"/>
        <w:tabs>
          <w:tab w:leader="none" w:pos="538"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Series D-B and Series D-L Shares have limited voting rights. Trading Markets</w:t>
      </w:r>
    </w:p>
    <w:p>
      <w:pPr>
        <w:spacing w:after="0" w:line="14" w:lineRule="exact"/>
        <w:rPr>
          <w:sz w:val="20"/>
          <w:szCs w:val="20"/>
          <w:color w:val="auto"/>
        </w:rPr>
      </w:pPr>
    </w:p>
    <w:p>
      <w:pPr>
        <w:ind w:right="100" w:firstLine="437"/>
        <w:spacing w:after="0" w:line="236" w:lineRule="auto"/>
        <w:rPr>
          <w:sz w:val="20"/>
          <w:szCs w:val="20"/>
          <w:color w:val="auto"/>
        </w:rPr>
      </w:pPr>
      <w:r>
        <w:rPr>
          <w:rFonts w:ascii="Courier New" w:cs="Courier New" w:eastAsia="Courier New" w:hAnsi="Courier New"/>
          <w:sz w:val="15"/>
          <w:szCs w:val="15"/>
          <w:color w:val="auto"/>
        </w:rPr>
        <w:t>Prior to May 11, 1998, there was no market for the BD Units, the B Units or any of our shares. Since May 11, 1998, ADRs representing BD Units have been listed on the New York Stock Exchange, and the BD Units and the B Units have been listed on the Mexican Stock Exchange. Each ADR represents ten BD Units deposited under the ADR Deposit Agreement with the ADR Depositary.</w:t>
      </w:r>
    </w:p>
    <w:p>
      <w:pPr>
        <w:spacing w:after="0" w:line="174" w:lineRule="exact"/>
        <w:rPr>
          <w:sz w:val="20"/>
          <w:szCs w:val="20"/>
          <w:color w:val="auto"/>
        </w:rPr>
      </w:pPr>
    </w:p>
    <w:p>
      <w:pPr>
        <w:ind w:right="360" w:firstLine="437"/>
        <w:spacing w:after="0" w:line="235" w:lineRule="auto"/>
        <w:rPr>
          <w:sz w:val="20"/>
          <w:szCs w:val="20"/>
          <w:color w:val="auto"/>
        </w:rPr>
      </w:pPr>
      <w:r>
        <w:rPr>
          <w:rFonts w:ascii="Courier New" w:cs="Courier New" w:eastAsia="Courier New" w:hAnsi="Courier New"/>
          <w:sz w:val="15"/>
          <w:szCs w:val="15"/>
          <w:color w:val="auto"/>
        </w:rPr>
        <w:t>The New York Stock Exchange trading symbol for the ADRs is "FMX" and the Mexican Stock Exchange trading symbols are "FEMSA UBD" for the BD Units and "FEMSA UB" for the B Units.</w:t>
      </w:r>
    </w:p>
    <w:p>
      <w:pPr>
        <w:spacing w:after="0" w:line="174" w:lineRule="exact"/>
        <w:rPr>
          <w:sz w:val="20"/>
          <w:szCs w:val="20"/>
          <w:color w:val="auto"/>
        </w:rPr>
      </w:pPr>
    </w:p>
    <w:p>
      <w:pPr>
        <w:ind w:right="100" w:firstLine="437"/>
        <w:spacing w:after="0" w:line="236" w:lineRule="auto"/>
        <w:rPr>
          <w:sz w:val="20"/>
          <w:szCs w:val="20"/>
          <w:color w:val="auto"/>
        </w:rPr>
      </w:pPr>
      <w:r>
        <w:rPr>
          <w:rFonts w:ascii="Courier New" w:cs="Courier New" w:eastAsia="Courier New" w:hAnsi="Courier New"/>
          <w:sz w:val="15"/>
          <w:szCs w:val="15"/>
          <w:color w:val="auto"/>
        </w:rPr>
        <w:t>Fluctuations in the exchange rate between the Peso and the U.S. Dollar have affected the U.S. Dollar equivalent of the Peso price of our shares on the Mexican Stock Exchange and, consequently, have also affected the market price of our ADRs. See "Item 3. Selected Financial Information--Exchange Rate Information".</w:t>
      </w:r>
    </w:p>
    <w:p>
      <w:pPr>
        <w:spacing w:after="0" w:line="167"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Trading on the Mexican Stock Exchange</w:t>
      </w:r>
    </w:p>
    <w:p>
      <w:pPr>
        <w:spacing w:after="0" w:line="173" w:lineRule="exact"/>
        <w:rPr>
          <w:sz w:val="20"/>
          <w:szCs w:val="20"/>
          <w:color w:val="auto"/>
        </w:rPr>
      </w:pPr>
    </w:p>
    <w:p>
      <w:pPr>
        <w:ind w:right="100" w:firstLine="437"/>
        <w:spacing w:after="0" w:line="237" w:lineRule="auto"/>
        <w:rPr>
          <w:sz w:val="20"/>
          <w:szCs w:val="20"/>
          <w:color w:val="auto"/>
        </w:rPr>
      </w:pPr>
      <w:r>
        <w:rPr>
          <w:rFonts w:ascii="Courier New" w:cs="Courier New" w:eastAsia="Courier New" w:hAnsi="Courier New"/>
          <w:sz w:val="15"/>
          <w:szCs w:val="15"/>
          <w:color w:val="auto"/>
        </w:rPr>
        <w:t>The Mexican Stock Exchange, located in Mexico City, is the only stock exchange in Mexico. Founded in 1907, it is organized as a corporation whose shares are held by 30 brokerage firms, which are exclusively authorized to trade on the exchange. Trading on the Mexican Stock Exchange takes place principally through automated systems and is open between the hours of 8:30 a.m. and 3:00 p.m. Mexico City time, each business day. Trades in securities listed on the Mexican Stock Exchange can also be effected off the exchange. The Mexican Stock Exchange operates a system of automatic suspension of trading in shares of a particular issuer as a means of controlling excessive price volatility, but under current regulations this system does not apply to securities such as the BD Units that are directly or indirectly (for example, through ADRs) quoted on a stock exchange (including for these purposes the New York Stock Exchange) outside Mexico.</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Percentage of</w:t>
      </w:r>
    </w:p>
    <w:p>
      <w:pPr>
        <w:spacing w:after="0" w:line="237" w:lineRule="auto"/>
        <w:rPr>
          <w:sz w:val="20"/>
          <w:szCs w:val="20"/>
          <w:color w:val="auto"/>
        </w:rPr>
      </w:pPr>
      <w:r>
        <w:rPr>
          <w:rFonts w:ascii="Courier New" w:cs="Courier New" w:eastAsia="Courier New" w:hAnsi="Courier New"/>
          <w:sz w:val="15"/>
          <w:szCs w:val="15"/>
          <w:color w:val="auto"/>
        </w:rPr>
        <w:t>Voting(1)</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100.0%</w:t>
      </w:r>
    </w:p>
    <w:p>
      <w:pPr>
        <w:ind w:left="360"/>
        <w:spacing w:after="0" w:line="237" w:lineRule="auto"/>
        <w:rPr>
          <w:sz w:val="20"/>
          <w:szCs w:val="20"/>
          <w:color w:val="auto"/>
        </w:rPr>
      </w:pPr>
      <w:r>
        <w:rPr>
          <w:rFonts w:ascii="Courier New" w:cs="Courier New" w:eastAsia="Courier New" w:hAnsi="Courier New"/>
          <w:sz w:val="15"/>
          <w:szCs w:val="15"/>
          <w:color w:val="auto"/>
        </w:rPr>
        <w:t>0.0</w:t>
      </w:r>
    </w:p>
    <w:p>
      <w:pPr>
        <w:ind w:left="360"/>
        <w:spacing w:after="0" w:line="238" w:lineRule="auto"/>
        <w:rPr>
          <w:sz w:val="20"/>
          <w:szCs w:val="20"/>
          <w:color w:val="auto"/>
        </w:rPr>
      </w:pPr>
      <w:r>
        <w:rPr>
          <w:rFonts w:ascii="Courier New" w:cs="Courier New" w:eastAsia="Courier New" w:hAnsi="Courier New"/>
          <w:sz w:val="15"/>
          <w:szCs w:val="15"/>
          <w:color w:val="auto"/>
        </w:rPr>
        <w:t>0.0</w:t>
      </w:r>
    </w:p>
    <w:p>
      <w:pPr>
        <w:ind w:left="180"/>
        <w:spacing w:after="0" w:line="237" w:lineRule="auto"/>
        <w:rPr>
          <w:sz w:val="20"/>
          <w:szCs w:val="20"/>
          <w:color w:val="auto"/>
        </w:rPr>
      </w:pPr>
      <w:r>
        <w:rPr>
          <w:rFonts w:ascii="Courier New" w:cs="Courier New" w:eastAsia="Courier New" w:hAnsi="Courier New"/>
          <w:sz w:val="15"/>
          <w:szCs w:val="15"/>
          <w:color w:val="auto"/>
        </w:rPr>
        <w:t>100.0%</w:t>
      </w:r>
    </w:p>
    <w:p>
      <w:pPr>
        <w:ind w:left="100"/>
        <w:spacing w:after="0" w:line="238"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23.37%</w:t>
      </w:r>
    </w:p>
    <w:p>
      <w:pPr>
        <w:ind w:left="260"/>
        <w:spacing w:after="0" w:line="237" w:lineRule="auto"/>
        <w:rPr>
          <w:sz w:val="20"/>
          <w:szCs w:val="20"/>
          <w:color w:val="auto"/>
        </w:rPr>
      </w:pPr>
      <w:r>
        <w:rPr>
          <w:rFonts w:ascii="Courier New" w:cs="Courier New" w:eastAsia="Courier New" w:hAnsi="Courier New"/>
          <w:sz w:val="15"/>
          <w:szCs w:val="15"/>
          <w:color w:val="auto"/>
        </w:rPr>
        <w:t>76.63</w:t>
      </w:r>
    </w:p>
    <w:p>
      <w:pPr>
        <w:ind w:left="180"/>
        <w:spacing w:after="0" w:line="238" w:lineRule="auto"/>
        <w:rPr>
          <w:sz w:val="20"/>
          <w:szCs w:val="20"/>
          <w:color w:val="auto"/>
        </w:rPr>
      </w:pPr>
      <w:r>
        <w:rPr>
          <w:rFonts w:ascii="Courier New" w:cs="Courier New" w:eastAsia="Courier New" w:hAnsi="Courier New"/>
          <w:sz w:val="15"/>
          <w:szCs w:val="15"/>
          <w:color w:val="auto"/>
        </w:rPr>
        <w:t>100.0%</w:t>
      </w:r>
    </w:p>
    <w:p>
      <w:pPr>
        <w:ind w:left="100"/>
        <w:spacing w:after="0" w:line="237" w:lineRule="auto"/>
        <w:rPr>
          <w:sz w:val="20"/>
          <w:szCs w:val="20"/>
          <w:color w:val="auto"/>
        </w:rPr>
      </w:pPr>
      <w:r>
        <w:rPr>
          <w:rFonts w:ascii="Courier New" w:cs="Courier New" w:eastAsia="Courier New" w:hAnsi="Courier New"/>
          <w:sz w:val="15"/>
          <w:szCs w:val="15"/>
          <w:color w:val="auto"/>
        </w:rPr>
        <w:t>=======</w:t>
      </w:r>
    </w:p>
    <w:p>
      <w:pPr>
        <w:sectPr>
          <w:pgSz w:w="11900" w:h="16838" w:orient="portrait"/>
          <w:cols w:equalWidth="0" w:num="2">
            <w:col w:w="7100" w:space="600"/>
            <w:col w:w="2539"/>
          </w:cols>
          <w:pgMar w:left="220" w:top="953" w:right="1440" w:bottom="1440" w:gutter="0" w:footer="0" w:header="0"/>
        </w:sectPr>
      </w:pPr>
    </w:p>
    <w:bookmarkStart w:id="132" w:name="page133"/>
    <w:bookmarkEnd w:id="132"/>
    <w:p>
      <w:pPr>
        <w:ind w:right="3399" w:firstLine="437"/>
        <w:spacing w:after="0" w:line="236" w:lineRule="auto"/>
        <w:rPr>
          <w:sz w:val="20"/>
          <w:szCs w:val="20"/>
          <w:color w:val="auto"/>
        </w:rPr>
      </w:pPr>
      <w:r>
        <w:rPr>
          <w:rFonts w:ascii="Courier New" w:cs="Courier New" w:eastAsia="Courier New" w:hAnsi="Courier New"/>
          <w:sz w:val="15"/>
          <w:szCs w:val="15"/>
          <w:color w:val="auto"/>
        </w:rPr>
        <w:t>Settlement is effected two business days after a share transaction on the Mexican Stock Exchange. Deferred settlement, even by mutual agreement, is not permitted without the approval of the Comision Nacional Bancaria y de Valores (the "Mexican National Banking and Securities Commission"). Most securities traded on the Mexican Stock Exchange, including ours, are on deposit with Institucion para el Deposito de Valores, S.A. de C.V., a privately owned securities depositary that acts as a clearinghouse for Mexican Stock Exchange transactions.</w:t>
      </w:r>
    </w:p>
    <w:p>
      <w:pPr>
        <w:spacing w:after="0" w:line="17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Price History</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table below sets forth, for the periods indicated, the reported high and low sale prices for the BD Units and B Units on the Mexican Stock Exchange and the reported high and low sale prices for the ADRs on the New York Stock Exchange. Prices for the BD Units have been presented based on data provided by the Mexican Stock Exchange, which gives effect to the bundling of the BD Unit that resulted from the Reorganization as of May 11, 1998 and to the ten-for-one split of the shares as of June 30, 1998, for prices prior to such dates. Prices for the B Units and the ADRs have not been provided for dates prior to May 11, 1998 because, prior to the Reorganization, there were no shares of FEMSA listed on the Mexican Stock Exchange comparable to the B Units, and we had no ADRs listed on the New York Stock Exchange. Prices for the B Units and the ADRs from May 11, 1998 to June 30, 1998 have been presented based on information from the Mexican Stock Exchange and the New York Stock Exchange, which gives effect to the ten-for-one split of the shares as of June 30, 1998. See "Item 4. Information on the Company--Corporate Background" and "--The Reorganization."</w:t>
      </w:r>
    </w:p>
    <w:p>
      <w:pPr>
        <w:spacing w:after="0" w:line="200" w:lineRule="exact"/>
        <w:rPr>
          <w:sz w:val="20"/>
          <w:szCs w:val="20"/>
          <w:color w:val="auto"/>
        </w:rPr>
      </w:pPr>
    </w:p>
    <w:p>
      <w:pPr>
        <w:spacing w:after="0" w:line="29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124</w:t>
      </w:r>
    </w:p>
    <w:p>
      <w:pPr>
        <w:sectPr>
          <w:pgSz w:w="11900" w:h="16838" w:orient="portrait"/>
          <w:cols w:equalWidth="0" w:num="1">
            <w:col w:w="10239"/>
          </w:cols>
          <w:pgMar w:left="220" w:top="624" w:right="1440"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170"/>
        </w:trPr>
        <w:tc>
          <w:tcPr>
            <w:tcW w:w="3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20" w:type="dxa"/>
            <w:vAlign w:val="bottom"/>
          </w:tcPr>
          <w:p>
            <w:pPr>
              <w:ind w:left="260"/>
              <w:spacing w:after="0"/>
              <w:rPr>
                <w:sz w:val="20"/>
                <w:szCs w:val="20"/>
                <w:color w:val="auto"/>
              </w:rPr>
            </w:pPr>
            <w:r>
              <w:rPr>
                <w:rFonts w:ascii="Courier New" w:cs="Courier New" w:eastAsia="Courier New" w:hAnsi="Courier New"/>
                <w:sz w:val="15"/>
                <w:szCs w:val="15"/>
                <w:color w:val="auto"/>
              </w:rPr>
              <w:t>BD Units</w:t>
            </w:r>
          </w:p>
        </w:tc>
        <w:tc>
          <w:tcPr>
            <w:tcW w:w="15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8"/>
        </w:trPr>
        <w:tc>
          <w:tcPr>
            <w:tcW w:w="3240" w:type="dxa"/>
            <w:vAlign w:val="bottom"/>
          </w:tcPr>
          <w:p>
            <w:pPr>
              <w:spacing w:after="0"/>
              <w:rPr>
                <w:sz w:val="14"/>
                <w:szCs w:val="14"/>
                <w:color w:val="auto"/>
              </w:rPr>
            </w:pPr>
          </w:p>
        </w:tc>
        <w:tc>
          <w:tcPr>
            <w:tcW w:w="7100" w:type="dxa"/>
            <w:vAlign w:val="bottom"/>
            <w:gridSpan w:val="5"/>
          </w:tcPr>
          <w:p>
            <w:pPr>
              <w:ind w:left="440"/>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Average Daily</w:t>
            </w:r>
          </w:p>
        </w:tc>
      </w:tr>
      <w:tr>
        <w:trPr>
          <w:trHeight w:val="168"/>
        </w:trPr>
        <w:tc>
          <w:tcPr>
            <w:tcW w:w="3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Nominal Pesos</w:t>
            </w:r>
          </w:p>
        </w:tc>
        <w:tc>
          <w:tcPr>
            <w:tcW w:w="13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Trading Volume</w:t>
            </w:r>
          </w:p>
        </w:tc>
      </w:tr>
      <w:tr>
        <w:trPr>
          <w:trHeight w:val="168"/>
        </w:trPr>
        <w:tc>
          <w:tcPr>
            <w:tcW w:w="3240" w:type="dxa"/>
            <w:vAlign w:val="bottom"/>
          </w:tcPr>
          <w:p>
            <w:pPr>
              <w:spacing w:after="0"/>
              <w:rPr>
                <w:sz w:val="14"/>
                <w:szCs w:val="14"/>
                <w:color w:val="auto"/>
              </w:rPr>
            </w:pPr>
          </w:p>
        </w:tc>
        <w:tc>
          <w:tcPr>
            <w:tcW w:w="280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w w:val="70"/>
              </w:rPr>
              <w:t>-------------------------------------</w:t>
            </w:r>
          </w:p>
        </w:tc>
        <w:tc>
          <w:tcPr>
            <w:tcW w:w="13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(Units)</w:t>
            </w:r>
          </w:p>
        </w:tc>
      </w:tr>
      <w:tr>
        <w:trPr>
          <w:trHeight w:val="168"/>
        </w:trPr>
        <w:tc>
          <w:tcPr>
            <w:tcW w:w="3240" w:type="dxa"/>
            <w:vAlign w:val="bottom"/>
          </w:tcPr>
          <w:p>
            <w:pPr>
              <w:spacing w:after="0"/>
              <w:rPr>
                <w:sz w:val="14"/>
                <w:szCs w:val="14"/>
                <w:color w:val="auto"/>
              </w:rPr>
            </w:pP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High</w:t>
            </w:r>
          </w:p>
        </w:tc>
        <w:tc>
          <w:tcPr>
            <w:tcW w:w="1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Low</w:t>
            </w:r>
          </w:p>
        </w:tc>
        <w:tc>
          <w:tcPr>
            <w:tcW w:w="13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Close</w:t>
            </w:r>
          </w:p>
        </w:tc>
        <w:tc>
          <w:tcPr>
            <w:tcW w:w="15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Close US$(1)</w:t>
            </w:r>
          </w:p>
        </w:tc>
        <w:tc>
          <w:tcPr>
            <w:tcW w:w="1460" w:type="dxa"/>
            <w:vAlign w:val="bottom"/>
          </w:tcPr>
          <w:p>
            <w:pPr>
              <w:spacing w:after="0"/>
              <w:rPr>
                <w:sz w:val="14"/>
                <w:szCs w:val="14"/>
                <w:color w:val="auto"/>
              </w:rPr>
            </w:pPr>
          </w:p>
        </w:tc>
      </w:tr>
      <w:tr>
        <w:trPr>
          <w:trHeight w:val="168"/>
        </w:trPr>
        <w:tc>
          <w:tcPr>
            <w:tcW w:w="3240" w:type="dxa"/>
            <w:vAlign w:val="bottom"/>
          </w:tcPr>
          <w:p>
            <w:pPr>
              <w:spacing w:after="0"/>
              <w:rPr>
                <w:sz w:val="14"/>
                <w:szCs w:val="14"/>
                <w:color w:val="auto"/>
              </w:rPr>
            </w:pP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w:t>
            </w:r>
          </w:p>
        </w:tc>
        <w:tc>
          <w:tcPr>
            <w:tcW w:w="132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5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3240" w:type="dxa"/>
            <w:vAlign w:val="bottom"/>
          </w:tcPr>
          <w:p>
            <w:pPr>
              <w:spacing w:after="0"/>
              <w:rPr>
                <w:sz w:val="20"/>
                <w:szCs w:val="20"/>
                <w:color w:val="auto"/>
              </w:rPr>
            </w:pPr>
            <w:r>
              <w:rPr>
                <w:rFonts w:ascii="Courier New" w:cs="Courier New" w:eastAsia="Courier New" w:hAnsi="Courier New"/>
                <w:sz w:val="15"/>
                <w:szCs w:val="15"/>
                <w:color w:val="auto"/>
              </w:rPr>
              <w:t>1997(2).........................</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35.85</w:t>
            </w:r>
          </w:p>
        </w:tc>
        <w:tc>
          <w:tcPr>
            <w:tcW w:w="140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13.15</w:t>
            </w:r>
          </w:p>
        </w:tc>
        <w:tc>
          <w:tcPr>
            <w:tcW w:w="132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7"/>
              </w:rPr>
              <w:t>32.45</w:t>
            </w:r>
          </w:p>
        </w:tc>
        <w:tc>
          <w:tcPr>
            <w:tcW w:w="1520" w:type="dxa"/>
            <w:vAlign w:val="bottom"/>
          </w:tcPr>
          <w:p>
            <w:pPr>
              <w:jc w:val="right"/>
              <w:ind w:right="567"/>
              <w:spacing w:after="0"/>
              <w:rPr>
                <w:sz w:val="20"/>
                <w:szCs w:val="20"/>
                <w:color w:val="auto"/>
              </w:rPr>
            </w:pPr>
            <w:r>
              <w:rPr>
                <w:rFonts w:ascii="Courier New" w:cs="Courier New" w:eastAsia="Courier New" w:hAnsi="Courier New"/>
                <w:sz w:val="15"/>
                <w:szCs w:val="15"/>
                <w:color w:val="auto"/>
              </w:rPr>
              <w:t>4.02</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3,622,621</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1998(2).........................</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35.35</w:t>
            </w:r>
          </w:p>
        </w:tc>
        <w:tc>
          <w:tcPr>
            <w:tcW w:w="140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15.70</w:t>
            </w:r>
          </w:p>
        </w:tc>
        <w:tc>
          <w:tcPr>
            <w:tcW w:w="132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7"/>
              </w:rPr>
              <w:t>27.00</w:t>
            </w:r>
          </w:p>
        </w:tc>
        <w:tc>
          <w:tcPr>
            <w:tcW w:w="152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2.73</w:t>
            </w:r>
          </w:p>
        </w:tc>
        <w:tc>
          <w:tcPr>
            <w:tcW w:w="14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2,386,942</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1999............................</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42.60</w:t>
            </w:r>
          </w:p>
        </w:tc>
        <w:tc>
          <w:tcPr>
            <w:tcW w:w="140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19.00</w:t>
            </w:r>
          </w:p>
        </w:tc>
        <w:tc>
          <w:tcPr>
            <w:tcW w:w="132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7"/>
              </w:rPr>
              <w:t>42.30</w:t>
            </w:r>
          </w:p>
        </w:tc>
        <w:tc>
          <w:tcPr>
            <w:tcW w:w="152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4.46</w:t>
            </w:r>
          </w:p>
        </w:tc>
        <w:tc>
          <w:tcPr>
            <w:tcW w:w="14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1,791,831</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2000</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8"/>
        </w:trPr>
        <w:tc>
          <w:tcPr>
            <w:tcW w:w="3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First Quarter...............</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50.50</w:t>
            </w:r>
          </w:p>
        </w:tc>
        <w:tc>
          <w:tcPr>
            <w:tcW w:w="140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37.40</w:t>
            </w:r>
          </w:p>
        </w:tc>
        <w:tc>
          <w:tcPr>
            <w:tcW w:w="132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7"/>
              </w:rPr>
              <w:t>42.05</w:t>
            </w:r>
          </w:p>
        </w:tc>
        <w:tc>
          <w:tcPr>
            <w:tcW w:w="152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4.53</w:t>
            </w:r>
          </w:p>
        </w:tc>
        <w:tc>
          <w:tcPr>
            <w:tcW w:w="14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1,479,843</w:t>
            </w:r>
          </w:p>
        </w:tc>
      </w:tr>
      <w:tr>
        <w:trPr>
          <w:trHeight w:val="168"/>
        </w:trPr>
        <w:tc>
          <w:tcPr>
            <w:tcW w:w="3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Second Quarter..............</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45.00</w:t>
            </w:r>
          </w:p>
        </w:tc>
        <w:tc>
          <w:tcPr>
            <w:tcW w:w="140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29.50</w:t>
            </w:r>
          </w:p>
        </w:tc>
        <w:tc>
          <w:tcPr>
            <w:tcW w:w="132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7"/>
              </w:rPr>
              <w:t>42.25</w:t>
            </w:r>
          </w:p>
        </w:tc>
        <w:tc>
          <w:tcPr>
            <w:tcW w:w="152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4.29</w:t>
            </w:r>
          </w:p>
        </w:tc>
        <w:tc>
          <w:tcPr>
            <w:tcW w:w="14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1,586,508</w:t>
            </w:r>
          </w:p>
        </w:tc>
      </w:tr>
      <w:tr>
        <w:trPr>
          <w:trHeight w:val="168"/>
        </w:trPr>
        <w:tc>
          <w:tcPr>
            <w:tcW w:w="3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Third Quarter...............</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45.15</w:t>
            </w:r>
          </w:p>
        </w:tc>
        <w:tc>
          <w:tcPr>
            <w:tcW w:w="140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36.00</w:t>
            </w:r>
          </w:p>
        </w:tc>
        <w:tc>
          <w:tcPr>
            <w:tcW w:w="132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7"/>
              </w:rPr>
              <w:t>36.50</w:t>
            </w:r>
          </w:p>
        </w:tc>
        <w:tc>
          <w:tcPr>
            <w:tcW w:w="152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3.87</w:t>
            </w:r>
          </w:p>
        </w:tc>
        <w:tc>
          <w:tcPr>
            <w:tcW w:w="14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1,129,292</w:t>
            </w:r>
          </w:p>
        </w:tc>
      </w:tr>
      <w:tr>
        <w:trPr>
          <w:trHeight w:val="168"/>
        </w:trPr>
        <w:tc>
          <w:tcPr>
            <w:tcW w:w="3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Fourth Quarter..............</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37.80</w:t>
            </w:r>
          </w:p>
        </w:tc>
        <w:tc>
          <w:tcPr>
            <w:tcW w:w="140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24.60</w:t>
            </w:r>
          </w:p>
        </w:tc>
        <w:tc>
          <w:tcPr>
            <w:tcW w:w="132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7"/>
              </w:rPr>
              <w:t>28.60</w:t>
            </w:r>
          </w:p>
        </w:tc>
        <w:tc>
          <w:tcPr>
            <w:tcW w:w="152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2.97</w:t>
            </w:r>
          </w:p>
        </w:tc>
        <w:tc>
          <w:tcPr>
            <w:tcW w:w="14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1,044,383</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2001</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8"/>
        </w:trPr>
        <w:tc>
          <w:tcPr>
            <w:tcW w:w="3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First Quarter...............</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34.58</w:t>
            </w:r>
          </w:p>
        </w:tc>
        <w:tc>
          <w:tcPr>
            <w:tcW w:w="140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27.80</w:t>
            </w:r>
          </w:p>
        </w:tc>
        <w:tc>
          <w:tcPr>
            <w:tcW w:w="132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7"/>
              </w:rPr>
              <w:t>33.69</w:t>
            </w:r>
          </w:p>
        </w:tc>
        <w:tc>
          <w:tcPr>
            <w:tcW w:w="152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3.55</w:t>
            </w:r>
          </w:p>
        </w:tc>
        <w:tc>
          <w:tcPr>
            <w:tcW w:w="14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1,322,253</w:t>
            </w:r>
          </w:p>
        </w:tc>
      </w:tr>
      <w:tr>
        <w:trPr>
          <w:trHeight w:val="168"/>
        </w:trPr>
        <w:tc>
          <w:tcPr>
            <w:tcW w:w="3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Second Quarter..............</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41.60</w:t>
            </w:r>
          </w:p>
        </w:tc>
        <w:tc>
          <w:tcPr>
            <w:tcW w:w="140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32.65</w:t>
            </w:r>
          </w:p>
        </w:tc>
        <w:tc>
          <w:tcPr>
            <w:tcW w:w="132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7"/>
              </w:rPr>
              <w:t>38.50</w:t>
            </w:r>
          </w:p>
        </w:tc>
        <w:tc>
          <w:tcPr>
            <w:tcW w:w="152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4.25</w:t>
            </w:r>
          </w:p>
        </w:tc>
        <w:tc>
          <w:tcPr>
            <w:tcW w:w="14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1,040,000</w:t>
            </w:r>
          </w:p>
        </w:tc>
      </w:tr>
      <w:tr>
        <w:trPr>
          <w:trHeight w:val="168"/>
        </w:trPr>
        <w:tc>
          <w:tcPr>
            <w:tcW w:w="3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Third Quarter...............</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40.20</w:t>
            </w:r>
          </w:p>
        </w:tc>
        <w:tc>
          <w:tcPr>
            <w:tcW w:w="140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24.40</w:t>
            </w:r>
          </w:p>
        </w:tc>
        <w:tc>
          <w:tcPr>
            <w:tcW w:w="132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7"/>
              </w:rPr>
              <w:t>26.91</w:t>
            </w:r>
          </w:p>
        </w:tc>
        <w:tc>
          <w:tcPr>
            <w:tcW w:w="152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2.83</w:t>
            </w:r>
          </w:p>
        </w:tc>
        <w:tc>
          <w:tcPr>
            <w:tcW w:w="14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931,866</w:t>
            </w:r>
          </w:p>
        </w:tc>
      </w:tr>
      <w:tr>
        <w:trPr>
          <w:trHeight w:val="168"/>
        </w:trPr>
        <w:tc>
          <w:tcPr>
            <w:tcW w:w="3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Fourth Quarter..............</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33.76</w:t>
            </w:r>
          </w:p>
        </w:tc>
        <w:tc>
          <w:tcPr>
            <w:tcW w:w="140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26.68</w:t>
            </w:r>
          </w:p>
        </w:tc>
        <w:tc>
          <w:tcPr>
            <w:tcW w:w="132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7"/>
              </w:rPr>
              <w:t>31.02</w:t>
            </w:r>
          </w:p>
        </w:tc>
        <w:tc>
          <w:tcPr>
            <w:tcW w:w="152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3.39</w:t>
            </w:r>
          </w:p>
        </w:tc>
        <w:tc>
          <w:tcPr>
            <w:tcW w:w="14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1,288,041</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2002</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8"/>
        </w:trPr>
        <w:tc>
          <w:tcPr>
            <w:tcW w:w="3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First Quarter...............</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42.50</w:t>
            </w:r>
          </w:p>
        </w:tc>
        <w:tc>
          <w:tcPr>
            <w:tcW w:w="140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32.90</w:t>
            </w:r>
          </w:p>
        </w:tc>
        <w:tc>
          <w:tcPr>
            <w:tcW w:w="132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7"/>
              </w:rPr>
              <w:t>41.95</w:t>
            </w:r>
          </w:p>
        </w:tc>
        <w:tc>
          <w:tcPr>
            <w:tcW w:w="152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4.66</w:t>
            </w:r>
          </w:p>
        </w:tc>
        <w:tc>
          <w:tcPr>
            <w:tcW w:w="14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1,332,724</w:t>
            </w:r>
          </w:p>
        </w:tc>
      </w:tr>
      <w:tr>
        <w:trPr>
          <w:trHeight w:val="168"/>
        </w:trPr>
        <w:tc>
          <w:tcPr>
            <w:tcW w:w="3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Second Quarter..............</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46.50</w:t>
            </w:r>
          </w:p>
        </w:tc>
        <w:tc>
          <w:tcPr>
            <w:tcW w:w="140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36.95</w:t>
            </w:r>
          </w:p>
        </w:tc>
        <w:tc>
          <w:tcPr>
            <w:tcW w:w="132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7"/>
              </w:rPr>
              <w:t>39.05</w:t>
            </w:r>
          </w:p>
        </w:tc>
        <w:tc>
          <w:tcPr>
            <w:tcW w:w="152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3.91</w:t>
            </w:r>
          </w:p>
        </w:tc>
        <w:tc>
          <w:tcPr>
            <w:tcW w:w="14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1,001,819</w:t>
            </w:r>
          </w:p>
        </w:tc>
      </w:tr>
      <w:tr>
        <w:trPr>
          <w:trHeight w:val="168"/>
        </w:trPr>
        <w:tc>
          <w:tcPr>
            <w:tcW w:w="3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Third Quarter...............</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41.34</w:t>
            </w:r>
          </w:p>
        </w:tc>
        <w:tc>
          <w:tcPr>
            <w:tcW w:w="140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33.50</w:t>
            </w:r>
          </w:p>
        </w:tc>
        <w:tc>
          <w:tcPr>
            <w:tcW w:w="132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7"/>
              </w:rPr>
              <w:t>34.56</w:t>
            </w:r>
          </w:p>
        </w:tc>
        <w:tc>
          <w:tcPr>
            <w:tcW w:w="152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3.38</w:t>
            </w:r>
          </w:p>
        </w:tc>
        <w:tc>
          <w:tcPr>
            <w:tcW w:w="14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755,405</w:t>
            </w:r>
          </w:p>
        </w:tc>
      </w:tr>
      <w:tr>
        <w:trPr>
          <w:trHeight w:val="168"/>
        </w:trPr>
        <w:tc>
          <w:tcPr>
            <w:tcW w:w="3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Fourth Quarter..............</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39.50</w:t>
            </w:r>
          </w:p>
        </w:tc>
        <w:tc>
          <w:tcPr>
            <w:tcW w:w="140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34.35</w:t>
            </w:r>
          </w:p>
        </w:tc>
        <w:tc>
          <w:tcPr>
            <w:tcW w:w="132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7"/>
              </w:rPr>
              <w:t>37.93</w:t>
            </w:r>
          </w:p>
        </w:tc>
        <w:tc>
          <w:tcPr>
            <w:tcW w:w="152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3.64</w:t>
            </w:r>
          </w:p>
        </w:tc>
        <w:tc>
          <w:tcPr>
            <w:tcW w:w="14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733,989</w:t>
            </w:r>
          </w:p>
        </w:tc>
      </w:tr>
      <w:tr>
        <w:trPr>
          <w:trHeight w:val="168"/>
        </w:trPr>
        <w:tc>
          <w:tcPr>
            <w:tcW w:w="3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December....................</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39.50</w:t>
            </w:r>
          </w:p>
        </w:tc>
        <w:tc>
          <w:tcPr>
            <w:tcW w:w="140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36.90</w:t>
            </w:r>
          </w:p>
        </w:tc>
        <w:tc>
          <w:tcPr>
            <w:tcW w:w="132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7"/>
              </w:rPr>
              <w:t>37.93</w:t>
            </w:r>
          </w:p>
        </w:tc>
        <w:tc>
          <w:tcPr>
            <w:tcW w:w="152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3.64</w:t>
            </w:r>
          </w:p>
        </w:tc>
        <w:tc>
          <w:tcPr>
            <w:tcW w:w="14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392,730</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2003</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8"/>
        </w:trPr>
        <w:tc>
          <w:tcPr>
            <w:tcW w:w="3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January.....................</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38.45</w:t>
            </w:r>
          </w:p>
        </w:tc>
        <w:tc>
          <w:tcPr>
            <w:tcW w:w="140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35.90</w:t>
            </w:r>
          </w:p>
        </w:tc>
        <w:tc>
          <w:tcPr>
            <w:tcW w:w="132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7"/>
              </w:rPr>
              <w:t>36.65</w:t>
            </w:r>
          </w:p>
        </w:tc>
        <w:tc>
          <w:tcPr>
            <w:tcW w:w="152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3.36</w:t>
            </w:r>
          </w:p>
        </w:tc>
        <w:tc>
          <w:tcPr>
            <w:tcW w:w="14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486,768</w:t>
            </w:r>
          </w:p>
        </w:tc>
      </w:tr>
      <w:tr>
        <w:trPr>
          <w:trHeight w:val="168"/>
        </w:trPr>
        <w:tc>
          <w:tcPr>
            <w:tcW w:w="3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February....................</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37.00</w:t>
            </w:r>
          </w:p>
        </w:tc>
        <w:tc>
          <w:tcPr>
            <w:tcW w:w="140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33.30</w:t>
            </w:r>
          </w:p>
        </w:tc>
        <w:tc>
          <w:tcPr>
            <w:tcW w:w="132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7"/>
              </w:rPr>
              <w:t>35.76</w:t>
            </w:r>
          </w:p>
        </w:tc>
        <w:tc>
          <w:tcPr>
            <w:tcW w:w="152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3.24</w:t>
            </w:r>
          </w:p>
        </w:tc>
        <w:tc>
          <w:tcPr>
            <w:tcW w:w="14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706,947</w:t>
            </w:r>
          </w:p>
        </w:tc>
      </w:tr>
      <w:tr>
        <w:trPr>
          <w:trHeight w:val="168"/>
        </w:trPr>
        <w:tc>
          <w:tcPr>
            <w:tcW w:w="3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March.......................</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37.01</w:t>
            </w:r>
          </w:p>
        </w:tc>
        <w:tc>
          <w:tcPr>
            <w:tcW w:w="140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33.70</w:t>
            </w:r>
          </w:p>
        </w:tc>
        <w:tc>
          <w:tcPr>
            <w:tcW w:w="132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7"/>
              </w:rPr>
              <w:t>35.86</w:t>
            </w:r>
          </w:p>
        </w:tc>
        <w:tc>
          <w:tcPr>
            <w:tcW w:w="152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3.33</w:t>
            </w:r>
          </w:p>
        </w:tc>
        <w:tc>
          <w:tcPr>
            <w:tcW w:w="14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637,830</w:t>
            </w:r>
          </w:p>
        </w:tc>
      </w:tr>
      <w:tr>
        <w:trPr>
          <w:trHeight w:val="168"/>
        </w:trPr>
        <w:tc>
          <w:tcPr>
            <w:tcW w:w="3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April.......................</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39.24</w:t>
            </w:r>
          </w:p>
        </w:tc>
        <w:tc>
          <w:tcPr>
            <w:tcW w:w="140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34.80</w:t>
            </w:r>
          </w:p>
        </w:tc>
        <w:tc>
          <w:tcPr>
            <w:tcW w:w="132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7"/>
              </w:rPr>
              <w:t>38.90</w:t>
            </w:r>
          </w:p>
        </w:tc>
        <w:tc>
          <w:tcPr>
            <w:tcW w:w="152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3.77</w:t>
            </w:r>
          </w:p>
        </w:tc>
        <w:tc>
          <w:tcPr>
            <w:tcW w:w="14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628,435</w:t>
            </w:r>
          </w:p>
        </w:tc>
      </w:tr>
      <w:tr>
        <w:trPr>
          <w:trHeight w:val="168"/>
        </w:trPr>
        <w:tc>
          <w:tcPr>
            <w:tcW w:w="3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May.........................</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42.50</w:t>
            </w:r>
          </w:p>
        </w:tc>
        <w:tc>
          <w:tcPr>
            <w:tcW w:w="140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38.08</w:t>
            </w:r>
          </w:p>
        </w:tc>
        <w:tc>
          <w:tcPr>
            <w:tcW w:w="132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7"/>
              </w:rPr>
              <w:t>41.08</w:t>
            </w:r>
          </w:p>
        </w:tc>
        <w:tc>
          <w:tcPr>
            <w:tcW w:w="152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3.97</w:t>
            </w:r>
          </w:p>
        </w:tc>
        <w:tc>
          <w:tcPr>
            <w:tcW w:w="14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805,100</w:t>
            </w:r>
          </w:p>
        </w:tc>
      </w:tr>
    </w:tbl>
    <w:p>
      <w:pPr>
        <w:spacing w:after="0" w:line="341" w:lineRule="exact"/>
        <w:rPr>
          <w:sz w:val="20"/>
          <w:szCs w:val="20"/>
          <w:color w:val="auto"/>
        </w:rPr>
      </w:pPr>
    </w:p>
    <w:p>
      <w:pPr>
        <w:ind w:left="360" w:right="3420" w:hanging="350"/>
        <w:spacing w:after="0" w:line="261" w:lineRule="auto"/>
        <w:tabs>
          <w:tab w:leader="none" w:pos="36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the noon buying rate for the purchase of U.S. Dollars, as reported by the Federal Reserve Bank of New York at the close of each period.</w:t>
      </w:r>
    </w:p>
    <w:p>
      <w:pPr>
        <w:spacing w:after="0" w:line="159" w:lineRule="exact"/>
        <w:rPr>
          <w:rFonts w:ascii="Courier New" w:cs="Courier New" w:eastAsia="Courier New" w:hAnsi="Courier New"/>
          <w:sz w:val="14"/>
          <w:szCs w:val="14"/>
          <w:color w:val="auto"/>
        </w:rPr>
      </w:pPr>
    </w:p>
    <w:p>
      <w:pPr>
        <w:ind w:left="360" w:right="3420" w:hanging="350"/>
        <w:spacing w:after="0" w:line="235" w:lineRule="auto"/>
        <w:tabs>
          <w:tab w:leader="none" w:pos="36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Prices prior to June 30, 1998 have been adjusted to give effect to the ten-for-one split of our shares, and prices prior to May 11, 1998 have also been adjusted to give effect to the bundling of the BD Unit that resulted from the Reorganization.</w:t>
      </w:r>
    </w:p>
    <w:p>
      <w:pPr>
        <w:spacing w:after="0" w:line="3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125</w:t>
      </w:r>
    </w:p>
    <w:p>
      <w:pPr>
        <w:sectPr>
          <w:pgSz w:w="11900" w:h="16838" w:orient="portrait"/>
          <w:cols w:equalWidth="0" w:num="1">
            <w:col w:w="10340"/>
          </w:cols>
          <w:pgMar w:left="220" w:top="1290" w:right="1339"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170"/>
        </w:trPr>
        <w:tc>
          <w:tcPr>
            <w:tcW w:w="308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B Units</w:t>
            </w: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8"/>
        </w:trPr>
        <w:tc>
          <w:tcPr>
            <w:tcW w:w="3080" w:type="dxa"/>
            <w:vAlign w:val="bottom"/>
          </w:tcPr>
          <w:p>
            <w:pPr>
              <w:spacing w:after="0"/>
              <w:rPr>
                <w:sz w:val="14"/>
                <w:szCs w:val="14"/>
                <w:color w:val="auto"/>
              </w:rPr>
            </w:pPr>
          </w:p>
        </w:tc>
        <w:tc>
          <w:tcPr>
            <w:tcW w:w="7080" w:type="dxa"/>
            <w:vAlign w:val="bottom"/>
            <w:gridSpan w:val="5"/>
          </w:tcPr>
          <w:p>
            <w:pPr>
              <w:ind w:left="260"/>
              <w:spacing w:after="0" w:line="168" w:lineRule="exact"/>
              <w:rPr>
                <w:sz w:val="20"/>
                <w:szCs w:val="20"/>
                <w:color w:val="auto"/>
              </w:rPr>
            </w:pPr>
            <w:r>
              <w:rPr>
                <w:rFonts w:ascii="Courier New" w:cs="Courier New" w:eastAsia="Courier New" w:hAnsi="Courier New"/>
                <w:sz w:val="15"/>
                <w:szCs w:val="15"/>
                <w:color w:val="auto"/>
                <w:w w:val="96"/>
              </w:rPr>
              <w:t>--------------------------------------------- -------------- -----------------</w:t>
            </w:r>
          </w:p>
        </w:tc>
      </w:tr>
      <w:tr>
        <w:trPr>
          <w:trHeight w:val="168"/>
        </w:trPr>
        <w:tc>
          <w:tcPr>
            <w:tcW w:w="30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Average Daily</w:t>
            </w:r>
          </w:p>
        </w:tc>
      </w:tr>
      <w:tr>
        <w:trPr>
          <w:trHeight w:val="168"/>
        </w:trPr>
        <w:tc>
          <w:tcPr>
            <w:tcW w:w="30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Trading Volume</w:t>
            </w:r>
          </w:p>
        </w:tc>
      </w:tr>
      <w:tr>
        <w:trPr>
          <w:trHeight w:val="168"/>
        </w:trPr>
        <w:tc>
          <w:tcPr>
            <w:tcW w:w="30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Nominal Pesos</w:t>
            </w:r>
          </w:p>
        </w:tc>
        <w:tc>
          <w:tcPr>
            <w:tcW w:w="1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(Units)</w:t>
            </w:r>
          </w:p>
        </w:tc>
      </w:tr>
      <w:tr>
        <w:trPr>
          <w:trHeight w:val="168"/>
        </w:trPr>
        <w:tc>
          <w:tcPr>
            <w:tcW w:w="3080" w:type="dxa"/>
            <w:vAlign w:val="bottom"/>
          </w:tcPr>
          <w:p>
            <w:pPr>
              <w:spacing w:after="0"/>
              <w:rPr>
                <w:sz w:val="14"/>
                <w:szCs w:val="14"/>
                <w:color w:val="auto"/>
              </w:rPr>
            </w:pPr>
          </w:p>
        </w:tc>
        <w:tc>
          <w:tcPr>
            <w:tcW w:w="4100" w:type="dxa"/>
            <w:vAlign w:val="bottom"/>
            <w:gridSpan w:val="3"/>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8"/>
        </w:trPr>
        <w:tc>
          <w:tcPr>
            <w:tcW w:w="3080" w:type="dxa"/>
            <w:vAlign w:val="bottom"/>
          </w:tcPr>
          <w:p>
            <w:pPr>
              <w:spacing w:after="0"/>
              <w:rPr>
                <w:sz w:val="14"/>
                <w:szCs w:val="14"/>
                <w:color w:val="auto"/>
              </w:rPr>
            </w:pPr>
          </w:p>
        </w:tc>
        <w:tc>
          <w:tcPr>
            <w:tcW w:w="15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High</w:t>
            </w:r>
          </w:p>
        </w:tc>
        <w:tc>
          <w:tcPr>
            <w:tcW w:w="14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Low</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Close</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Close US$(1)</w:t>
            </w:r>
          </w:p>
        </w:tc>
        <w:tc>
          <w:tcPr>
            <w:tcW w:w="1540" w:type="dxa"/>
            <w:vAlign w:val="bottom"/>
          </w:tcPr>
          <w:p>
            <w:pPr>
              <w:spacing w:after="0"/>
              <w:rPr>
                <w:sz w:val="14"/>
                <w:szCs w:val="14"/>
                <w:color w:val="auto"/>
              </w:rPr>
            </w:pPr>
          </w:p>
        </w:tc>
      </w:tr>
      <w:tr>
        <w:trPr>
          <w:trHeight w:val="168"/>
        </w:trPr>
        <w:tc>
          <w:tcPr>
            <w:tcW w:w="3080" w:type="dxa"/>
            <w:vAlign w:val="bottom"/>
          </w:tcPr>
          <w:p>
            <w:pPr>
              <w:spacing w:after="0"/>
              <w:rPr>
                <w:sz w:val="14"/>
                <w:szCs w:val="14"/>
                <w:color w:val="auto"/>
              </w:rPr>
            </w:pPr>
          </w:p>
        </w:tc>
        <w:tc>
          <w:tcPr>
            <w:tcW w:w="15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15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1998(2).........................</w:t>
            </w:r>
          </w:p>
        </w:tc>
        <w:tc>
          <w:tcPr>
            <w:tcW w:w="15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33.00</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28.00</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33.00</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3.33</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142,470</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1999............................</w:t>
            </w:r>
          </w:p>
        </w:tc>
        <w:tc>
          <w:tcPr>
            <w:tcW w:w="15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37.00</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27.50</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37.00</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3.90</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1,573,512</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2000</w:t>
            </w:r>
          </w:p>
        </w:tc>
        <w:tc>
          <w:tcPr>
            <w:tcW w:w="1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8"/>
        </w:trPr>
        <w:tc>
          <w:tcPr>
            <w:tcW w:w="30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First Quarter...............</w:t>
            </w:r>
          </w:p>
        </w:tc>
        <w:tc>
          <w:tcPr>
            <w:tcW w:w="15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44.90</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38.00</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42.00</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4.52</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140,923</w:t>
            </w:r>
          </w:p>
        </w:tc>
      </w:tr>
      <w:tr>
        <w:trPr>
          <w:trHeight w:val="168"/>
        </w:trPr>
        <w:tc>
          <w:tcPr>
            <w:tcW w:w="30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Second Quarter..............</w:t>
            </w:r>
          </w:p>
        </w:tc>
        <w:tc>
          <w:tcPr>
            <w:tcW w:w="15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45.00</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31.30</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45.00</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4.57</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1,118,800</w:t>
            </w:r>
          </w:p>
        </w:tc>
      </w:tr>
      <w:tr>
        <w:trPr>
          <w:trHeight w:val="168"/>
        </w:trPr>
        <w:tc>
          <w:tcPr>
            <w:tcW w:w="30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Third Quarter...............</w:t>
            </w:r>
          </w:p>
        </w:tc>
        <w:tc>
          <w:tcPr>
            <w:tcW w:w="15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45.00</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38.50</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45.00</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4.77</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192,143</w:t>
            </w:r>
          </w:p>
        </w:tc>
      </w:tr>
      <w:tr>
        <w:trPr>
          <w:trHeight w:val="168"/>
        </w:trPr>
        <w:tc>
          <w:tcPr>
            <w:tcW w:w="30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Fourth Quarter..............</w:t>
            </w:r>
          </w:p>
        </w:tc>
        <w:tc>
          <w:tcPr>
            <w:tcW w:w="15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45.00</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38.70</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45.00</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4.68</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1,800</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2001</w:t>
            </w:r>
          </w:p>
        </w:tc>
        <w:tc>
          <w:tcPr>
            <w:tcW w:w="1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8"/>
        </w:trPr>
        <w:tc>
          <w:tcPr>
            <w:tcW w:w="30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First Quarter...............</w:t>
            </w:r>
          </w:p>
        </w:tc>
        <w:tc>
          <w:tcPr>
            <w:tcW w:w="15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44.96</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40.40</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43.50</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4.59</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2,750</w:t>
            </w:r>
          </w:p>
        </w:tc>
      </w:tr>
      <w:tr>
        <w:trPr>
          <w:trHeight w:val="168"/>
        </w:trPr>
        <w:tc>
          <w:tcPr>
            <w:tcW w:w="30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Second Quarter..............</w:t>
            </w:r>
          </w:p>
        </w:tc>
        <w:tc>
          <w:tcPr>
            <w:tcW w:w="15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43.50</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35.00</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37.50</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4.14</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43,235</w:t>
            </w:r>
          </w:p>
        </w:tc>
      </w:tr>
      <w:tr>
        <w:trPr>
          <w:trHeight w:val="168"/>
        </w:trPr>
        <w:tc>
          <w:tcPr>
            <w:tcW w:w="30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Third Quarter...............</w:t>
            </w:r>
          </w:p>
        </w:tc>
        <w:tc>
          <w:tcPr>
            <w:tcW w:w="15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39.98</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36.50</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38.30</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4.02</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4,914</w:t>
            </w:r>
          </w:p>
        </w:tc>
      </w:tr>
      <w:tr>
        <w:trPr>
          <w:trHeight w:val="168"/>
        </w:trPr>
        <w:tc>
          <w:tcPr>
            <w:tcW w:w="30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Fourth Quarter..............</w:t>
            </w:r>
          </w:p>
        </w:tc>
        <w:tc>
          <w:tcPr>
            <w:tcW w:w="15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38.50</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27.92</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36.10</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3.94</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248,409</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2002</w:t>
            </w:r>
          </w:p>
        </w:tc>
        <w:tc>
          <w:tcPr>
            <w:tcW w:w="1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8"/>
        </w:trPr>
        <w:tc>
          <w:tcPr>
            <w:tcW w:w="30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First Quarter...............</w:t>
            </w:r>
          </w:p>
        </w:tc>
        <w:tc>
          <w:tcPr>
            <w:tcW w:w="15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39.00</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34.00</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39.00</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4.33</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14,245</w:t>
            </w:r>
          </w:p>
        </w:tc>
      </w:tr>
      <w:tr>
        <w:trPr>
          <w:trHeight w:val="168"/>
        </w:trPr>
        <w:tc>
          <w:tcPr>
            <w:tcW w:w="30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Second Quarter..............</w:t>
            </w:r>
          </w:p>
        </w:tc>
        <w:tc>
          <w:tcPr>
            <w:tcW w:w="15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40.00</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39.00</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39.44</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3.95</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2,243</w:t>
            </w:r>
          </w:p>
        </w:tc>
      </w:tr>
      <w:tr>
        <w:trPr>
          <w:trHeight w:val="168"/>
        </w:trPr>
        <w:tc>
          <w:tcPr>
            <w:tcW w:w="30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Third Quarter...............</w:t>
            </w:r>
          </w:p>
        </w:tc>
        <w:tc>
          <w:tcPr>
            <w:tcW w:w="15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39.44</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38.00</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38.00</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3.72</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400</w:t>
            </w:r>
          </w:p>
        </w:tc>
      </w:tr>
      <w:tr>
        <w:trPr>
          <w:trHeight w:val="168"/>
        </w:trPr>
        <w:tc>
          <w:tcPr>
            <w:tcW w:w="30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Fourth Quarter..............</w:t>
            </w:r>
          </w:p>
        </w:tc>
        <w:tc>
          <w:tcPr>
            <w:tcW w:w="15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37.50</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34.60</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37.00</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3.55</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3,013</w:t>
            </w:r>
          </w:p>
        </w:tc>
      </w:tr>
      <w:tr>
        <w:trPr>
          <w:trHeight w:val="168"/>
        </w:trPr>
        <w:tc>
          <w:tcPr>
            <w:tcW w:w="30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December....................</w:t>
            </w:r>
          </w:p>
        </w:tc>
        <w:tc>
          <w:tcPr>
            <w:tcW w:w="15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37.00</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35.00</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37.00</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3.55</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3,425</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2003</w:t>
            </w:r>
          </w:p>
        </w:tc>
        <w:tc>
          <w:tcPr>
            <w:tcW w:w="1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8"/>
        </w:trPr>
        <w:tc>
          <w:tcPr>
            <w:tcW w:w="30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January.....................</w:t>
            </w:r>
          </w:p>
        </w:tc>
        <w:tc>
          <w:tcPr>
            <w:tcW w:w="15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36.70</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35.00</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36.70</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3.37</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30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February....................</w:t>
            </w:r>
          </w:p>
        </w:tc>
        <w:tc>
          <w:tcPr>
            <w:tcW w:w="15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35.99</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33.70</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35.40</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3.21</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1,120</w:t>
            </w:r>
          </w:p>
        </w:tc>
      </w:tr>
      <w:tr>
        <w:trPr>
          <w:trHeight w:val="168"/>
        </w:trPr>
        <w:tc>
          <w:tcPr>
            <w:tcW w:w="30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March.......................</w:t>
            </w:r>
          </w:p>
        </w:tc>
        <w:tc>
          <w:tcPr>
            <w:tcW w:w="15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36.90</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33.83</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36.30</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3.37</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1,716</w:t>
            </w:r>
          </w:p>
        </w:tc>
      </w:tr>
      <w:tr>
        <w:trPr>
          <w:trHeight w:val="168"/>
        </w:trPr>
        <w:tc>
          <w:tcPr>
            <w:tcW w:w="30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April.......................</w:t>
            </w:r>
          </w:p>
        </w:tc>
        <w:tc>
          <w:tcPr>
            <w:tcW w:w="15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39.10</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37.00</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39.10</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3.79</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0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May</w:t>
            </w:r>
          </w:p>
        </w:tc>
        <w:tc>
          <w:tcPr>
            <w:tcW w:w="15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39.10</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39.10</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39.10</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3.78</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w:t>
            </w:r>
          </w:p>
        </w:tc>
      </w:tr>
    </w:tbl>
    <w:p>
      <w:pPr>
        <w:spacing w:after="0" w:line="341" w:lineRule="exact"/>
        <w:rPr>
          <w:sz w:val="20"/>
          <w:szCs w:val="20"/>
          <w:color w:val="auto"/>
        </w:rPr>
      </w:pPr>
    </w:p>
    <w:p>
      <w:pPr>
        <w:ind w:left="360" w:right="3319" w:hanging="350"/>
        <w:spacing w:after="0" w:line="254" w:lineRule="auto"/>
        <w:tabs>
          <w:tab w:leader="none" w:pos="36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the noon buying rate for the purchase of U.S. Dollars, as reported by the Federal Reserve Bank of New York at the close of each period.</w:t>
      </w:r>
    </w:p>
    <w:p>
      <w:pPr>
        <w:ind w:left="360" w:right="3399" w:hanging="350"/>
        <w:spacing w:after="0" w:line="235" w:lineRule="auto"/>
        <w:tabs>
          <w:tab w:leader="none" w:pos="36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Prices for the B Units for 1998 have been calculated from May 11, 1998 to December 31, 1998. Prices from May 11, 1998 to June 30, 1998 have been adjusted to give effect to the ten-for-one split of our shares effected as of June 30, 1998.</w:t>
      </w:r>
    </w:p>
    <w:p>
      <w:pPr>
        <w:spacing w:after="0" w:line="200" w:lineRule="exact"/>
        <w:rPr>
          <w:sz w:val="20"/>
          <w:szCs w:val="20"/>
          <w:color w:val="auto"/>
        </w:rPr>
      </w:pPr>
    </w:p>
    <w:p>
      <w:pPr>
        <w:spacing w:after="0" w:line="30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126</w:t>
      </w:r>
    </w:p>
    <w:p>
      <w:pPr>
        <w:sectPr>
          <w:pgSz w:w="11900" w:h="16838" w:orient="portrait"/>
          <w:cols w:equalWidth="0" w:num="1">
            <w:col w:w="10239"/>
          </w:cols>
          <w:pgMar w:left="220" w:top="953" w:right="1440"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170"/>
        </w:trPr>
        <w:tc>
          <w:tcPr>
            <w:tcW w:w="30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9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ADRs(1)</w:t>
            </w:r>
          </w:p>
        </w:tc>
        <w:tc>
          <w:tcPr>
            <w:tcW w:w="176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8"/>
        </w:trPr>
        <w:tc>
          <w:tcPr>
            <w:tcW w:w="3080" w:type="dxa"/>
            <w:vAlign w:val="bottom"/>
          </w:tcPr>
          <w:p>
            <w:pPr>
              <w:spacing w:after="0"/>
              <w:rPr>
                <w:sz w:val="14"/>
                <w:szCs w:val="14"/>
                <w:color w:val="auto"/>
              </w:rPr>
            </w:pPr>
          </w:p>
        </w:tc>
        <w:tc>
          <w:tcPr>
            <w:tcW w:w="7160" w:type="dxa"/>
            <w:vAlign w:val="bottom"/>
            <w:gridSpan w:val="4"/>
          </w:tcPr>
          <w:p>
            <w:pPr>
              <w:ind w:left="260"/>
              <w:spacing w:after="0" w:line="168" w:lineRule="exact"/>
              <w:rPr>
                <w:sz w:val="20"/>
                <w:szCs w:val="20"/>
                <w:color w:val="auto"/>
              </w:rPr>
            </w:pPr>
            <w:r>
              <w:rPr>
                <w:rFonts w:ascii="Courier New" w:cs="Courier New" w:eastAsia="Courier New" w:hAnsi="Courier New"/>
                <w:sz w:val="15"/>
                <w:szCs w:val="15"/>
                <w:color w:val="auto"/>
                <w:w w:val="96"/>
              </w:rPr>
              <w:t>---------------------------------------------------------- --------------------</w:t>
            </w:r>
          </w:p>
        </w:tc>
      </w:tr>
      <w:tr>
        <w:trPr>
          <w:trHeight w:val="168"/>
        </w:trPr>
        <w:tc>
          <w:tcPr>
            <w:tcW w:w="30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Average Daily</w:t>
            </w:r>
          </w:p>
        </w:tc>
      </w:tr>
      <w:tr>
        <w:trPr>
          <w:trHeight w:val="168"/>
        </w:trPr>
        <w:tc>
          <w:tcPr>
            <w:tcW w:w="30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U.S. Dollars</w:t>
            </w:r>
          </w:p>
        </w:tc>
        <w:tc>
          <w:tcPr>
            <w:tcW w:w="1760" w:type="dxa"/>
            <w:vAlign w:val="bottom"/>
          </w:tcPr>
          <w:p>
            <w:pPr>
              <w:spacing w:after="0"/>
              <w:rPr>
                <w:sz w:val="14"/>
                <w:szCs w:val="14"/>
                <w:color w:val="auto"/>
              </w:rPr>
            </w:pP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Trading Volume</w:t>
            </w:r>
          </w:p>
        </w:tc>
      </w:tr>
      <w:tr>
        <w:trPr>
          <w:trHeight w:val="168"/>
        </w:trPr>
        <w:tc>
          <w:tcPr>
            <w:tcW w:w="3080" w:type="dxa"/>
            <w:vAlign w:val="bottom"/>
          </w:tcPr>
          <w:p>
            <w:pPr>
              <w:spacing w:after="0"/>
              <w:rPr>
                <w:sz w:val="14"/>
                <w:szCs w:val="14"/>
                <w:color w:val="auto"/>
              </w:rPr>
            </w:pPr>
          </w:p>
        </w:tc>
        <w:tc>
          <w:tcPr>
            <w:tcW w:w="5460" w:type="dxa"/>
            <w:vAlign w:val="bottom"/>
            <w:gridSpan w:val="3"/>
          </w:tcPr>
          <w:p>
            <w:pPr>
              <w:ind w:left="260"/>
              <w:spacing w:after="0" w:line="168" w:lineRule="exact"/>
              <w:rPr>
                <w:sz w:val="20"/>
                <w:szCs w:val="20"/>
                <w:color w:val="auto"/>
              </w:rPr>
            </w:pPr>
            <w:r>
              <w:rPr>
                <w:rFonts w:ascii="Courier New" w:cs="Courier New" w:eastAsia="Courier New" w:hAnsi="Courier New"/>
                <w:sz w:val="15"/>
                <w:szCs w:val="15"/>
                <w:color w:val="auto"/>
                <w:w w:val="99"/>
              </w:rPr>
              <w:t>----------------------------------------------------------</w:t>
            </w:r>
          </w:p>
        </w:tc>
        <w:tc>
          <w:tcPr>
            <w:tcW w:w="1700" w:type="dxa"/>
            <w:vAlign w:val="bottom"/>
          </w:tcPr>
          <w:p>
            <w:pPr>
              <w:spacing w:after="0"/>
              <w:rPr>
                <w:sz w:val="14"/>
                <w:szCs w:val="14"/>
                <w:color w:val="auto"/>
              </w:rPr>
            </w:pPr>
          </w:p>
        </w:tc>
      </w:tr>
      <w:tr>
        <w:trPr>
          <w:trHeight w:val="168"/>
        </w:trPr>
        <w:tc>
          <w:tcPr>
            <w:tcW w:w="3080" w:type="dxa"/>
            <w:vAlign w:val="bottom"/>
          </w:tcPr>
          <w:p>
            <w:pPr>
              <w:spacing w:after="0"/>
              <w:rPr>
                <w:sz w:val="14"/>
                <w:szCs w:val="14"/>
                <w:color w:val="auto"/>
              </w:rPr>
            </w:pPr>
          </w:p>
        </w:tc>
        <w:tc>
          <w:tcPr>
            <w:tcW w:w="174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High</w:t>
            </w:r>
          </w:p>
        </w:tc>
        <w:tc>
          <w:tcPr>
            <w:tcW w:w="196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Low</w:t>
            </w:r>
          </w:p>
        </w:tc>
        <w:tc>
          <w:tcPr>
            <w:tcW w:w="17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Close</w:t>
            </w:r>
          </w:p>
        </w:tc>
        <w:tc>
          <w:tcPr>
            <w:tcW w:w="17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(ADRs)</w:t>
            </w:r>
          </w:p>
        </w:tc>
      </w:tr>
      <w:tr>
        <w:trPr>
          <w:trHeight w:val="168"/>
        </w:trPr>
        <w:tc>
          <w:tcPr>
            <w:tcW w:w="3080" w:type="dxa"/>
            <w:vAlign w:val="bottom"/>
          </w:tcPr>
          <w:p>
            <w:pPr>
              <w:spacing w:after="0"/>
              <w:rPr>
                <w:sz w:val="14"/>
                <w:szCs w:val="14"/>
                <w:color w:val="auto"/>
              </w:rPr>
            </w:pPr>
          </w:p>
        </w:tc>
        <w:tc>
          <w:tcPr>
            <w:tcW w:w="7160" w:type="dxa"/>
            <w:vAlign w:val="bottom"/>
            <w:gridSpan w:val="4"/>
          </w:tcPr>
          <w:p>
            <w:pPr>
              <w:ind w:left="260"/>
              <w:spacing w:after="0" w:line="168" w:lineRule="exact"/>
              <w:rPr>
                <w:sz w:val="20"/>
                <w:szCs w:val="20"/>
                <w:color w:val="auto"/>
              </w:rPr>
            </w:pPr>
            <w:r>
              <w:rPr>
                <w:rFonts w:ascii="Courier New" w:cs="Courier New" w:eastAsia="Courier New" w:hAnsi="Courier New"/>
                <w:sz w:val="15"/>
                <w:szCs w:val="15"/>
                <w:color w:val="auto"/>
                <w:w w:val="96"/>
              </w:rPr>
              <w:t>------------------ ------------------- ------------------- --------------------</w:t>
            </w: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1740" w:type="dxa"/>
            <w:vAlign w:val="bottom"/>
          </w:tcPr>
          <w:p>
            <w:pPr>
              <w:ind w:left="860"/>
              <w:spacing w:after="0"/>
              <w:rPr>
                <w:sz w:val="20"/>
                <w:szCs w:val="20"/>
                <w:color w:val="auto"/>
              </w:rPr>
            </w:pPr>
            <w:r>
              <w:rPr>
                <w:rFonts w:ascii="Courier New" w:cs="Courier New" w:eastAsia="Courier New" w:hAnsi="Courier New"/>
                <w:sz w:val="15"/>
                <w:szCs w:val="15"/>
                <w:color w:val="auto"/>
              </w:rPr>
              <w:t>--</w:t>
            </w:r>
          </w:p>
        </w:tc>
        <w:tc>
          <w:tcPr>
            <w:tcW w:w="1960" w:type="dxa"/>
            <w:vAlign w:val="bottom"/>
          </w:tcPr>
          <w:p>
            <w:pPr>
              <w:ind w:left="780"/>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1998(2).........................</w:t>
            </w:r>
          </w:p>
        </w:tc>
        <w:tc>
          <w:tcPr>
            <w:tcW w:w="174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36.56</w:t>
            </w:r>
          </w:p>
        </w:tc>
        <w:tc>
          <w:tcPr>
            <w:tcW w:w="196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14.75</w:t>
            </w:r>
          </w:p>
        </w:tc>
        <w:tc>
          <w:tcPr>
            <w:tcW w:w="176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26.63</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143,355</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1999............................</w:t>
            </w:r>
          </w:p>
        </w:tc>
        <w:tc>
          <w:tcPr>
            <w:tcW w:w="174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44.88</w:t>
            </w:r>
          </w:p>
        </w:tc>
        <w:tc>
          <w:tcPr>
            <w:tcW w:w="196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22.25</w:t>
            </w:r>
          </w:p>
        </w:tc>
        <w:tc>
          <w:tcPr>
            <w:tcW w:w="176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44.50</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199,115</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2000</w:t>
            </w:r>
          </w:p>
        </w:tc>
        <w:tc>
          <w:tcPr>
            <w:tcW w:w="17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8"/>
        </w:trPr>
        <w:tc>
          <w:tcPr>
            <w:tcW w:w="30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First Quarter...............</w:t>
            </w:r>
          </w:p>
        </w:tc>
        <w:tc>
          <w:tcPr>
            <w:tcW w:w="174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54.63</w:t>
            </w:r>
          </w:p>
        </w:tc>
        <w:tc>
          <w:tcPr>
            <w:tcW w:w="196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39.31</w:t>
            </w:r>
          </w:p>
        </w:tc>
        <w:tc>
          <w:tcPr>
            <w:tcW w:w="176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45.00</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243,894</w:t>
            </w:r>
          </w:p>
        </w:tc>
      </w:tr>
      <w:tr>
        <w:trPr>
          <w:trHeight w:val="168"/>
        </w:trPr>
        <w:tc>
          <w:tcPr>
            <w:tcW w:w="30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Second Quarter..............</w:t>
            </w:r>
          </w:p>
        </w:tc>
        <w:tc>
          <w:tcPr>
            <w:tcW w:w="174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48.38</w:t>
            </w:r>
          </w:p>
        </w:tc>
        <w:tc>
          <w:tcPr>
            <w:tcW w:w="196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31.00</w:t>
            </w:r>
          </w:p>
        </w:tc>
        <w:tc>
          <w:tcPr>
            <w:tcW w:w="176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43.06</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202,146</w:t>
            </w:r>
          </w:p>
        </w:tc>
      </w:tr>
      <w:tr>
        <w:trPr>
          <w:trHeight w:val="168"/>
        </w:trPr>
        <w:tc>
          <w:tcPr>
            <w:tcW w:w="30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Third Quarter...............</w:t>
            </w:r>
          </w:p>
        </w:tc>
        <w:tc>
          <w:tcPr>
            <w:tcW w:w="174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46.75</w:t>
            </w:r>
          </w:p>
        </w:tc>
        <w:tc>
          <w:tcPr>
            <w:tcW w:w="196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38.81</w:t>
            </w:r>
          </w:p>
        </w:tc>
        <w:tc>
          <w:tcPr>
            <w:tcW w:w="176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39.00</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205,026</w:t>
            </w:r>
          </w:p>
        </w:tc>
      </w:tr>
      <w:tr>
        <w:trPr>
          <w:trHeight w:val="168"/>
        </w:trPr>
        <w:tc>
          <w:tcPr>
            <w:tcW w:w="30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Fourth Quarter..............</w:t>
            </w:r>
          </w:p>
        </w:tc>
        <w:tc>
          <w:tcPr>
            <w:tcW w:w="174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40.00</w:t>
            </w:r>
          </w:p>
        </w:tc>
        <w:tc>
          <w:tcPr>
            <w:tcW w:w="196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25.75</w:t>
            </w:r>
          </w:p>
        </w:tc>
        <w:tc>
          <w:tcPr>
            <w:tcW w:w="176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29.88</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208,895</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2001</w:t>
            </w:r>
          </w:p>
        </w:tc>
        <w:tc>
          <w:tcPr>
            <w:tcW w:w="17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8"/>
        </w:trPr>
        <w:tc>
          <w:tcPr>
            <w:tcW w:w="30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First Quarter...............</w:t>
            </w:r>
          </w:p>
        </w:tc>
        <w:tc>
          <w:tcPr>
            <w:tcW w:w="174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35.97</w:t>
            </w:r>
          </w:p>
        </w:tc>
        <w:tc>
          <w:tcPr>
            <w:tcW w:w="196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28.56</w:t>
            </w:r>
          </w:p>
        </w:tc>
        <w:tc>
          <w:tcPr>
            <w:tcW w:w="176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35.51</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264,263</w:t>
            </w:r>
          </w:p>
        </w:tc>
      </w:tr>
      <w:tr>
        <w:trPr>
          <w:trHeight w:val="168"/>
        </w:trPr>
        <w:tc>
          <w:tcPr>
            <w:tcW w:w="30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Second Quarter..............</w:t>
            </w:r>
          </w:p>
        </w:tc>
        <w:tc>
          <w:tcPr>
            <w:tcW w:w="174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45.49</w:t>
            </w:r>
          </w:p>
        </w:tc>
        <w:tc>
          <w:tcPr>
            <w:tcW w:w="196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34.70</w:t>
            </w:r>
          </w:p>
        </w:tc>
        <w:tc>
          <w:tcPr>
            <w:tcW w:w="176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42.81</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230,531</w:t>
            </w:r>
          </w:p>
        </w:tc>
      </w:tr>
      <w:tr>
        <w:trPr>
          <w:trHeight w:val="168"/>
        </w:trPr>
        <w:tc>
          <w:tcPr>
            <w:tcW w:w="30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Third Quarter...............</w:t>
            </w:r>
          </w:p>
        </w:tc>
        <w:tc>
          <w:tcPr>
            <w:tcW w:w="174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44.17</w:t>
            </w:r>
          </w:p>
        </w:tc>
        <w:tc>
          <w:tcPr>
            <w:tcW w:w="196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26.31</w:t>
            </w:r>
          </w:p>
        </w:tc>
        <w:tc>
          <w:tcPr>
            <w:tcW w:w="176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28.47</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206,914</w:t>
            </w:r>
          </w:p>
        </w:tc>
      </w:tr>
      <w:tr>
        <w:trPr>
          <w:trHeight w:val="168"/>
        </w:trPr>
        <w:tc>
          <w:tcPr>
            <w:tcW w:w="30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Fourth Quarter..............</w:t>
            </w:r>
          </w:p>
        </w:tc>
        <w:tc>
          <w:tcPr>
            <w:tcW w:w="174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36.69</w:t>
            </w:r>
          </w:p>
        </w:tc>
        <w:tc>
          <w:tcPr>
            <w:tcW w:w="196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28.50</w:t>
            </w:r>
          </w:p>
        </w:tc>
        <w:tc>
          <w:tcPr>
            <w:tcW w:w="176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34.55</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176,198</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2002</w:t>
            </w:r>
          </w:p>
        </w:tc>
        <w:tc>
          <w:tcPr>
            <w:tcW w:w="17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8"/>
        </w:trPr>
        <w:tc>
          <w:tcPr>
            <w:tcW w:w="30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First Quarter...............</w:t>
            </w:r>
          </w:p>
        </w:tc>
        <w:tc>
          <w:tcPr>
            <w:tcW w:w="174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47.30</w:t>
            </w:r>
          </w:p>
        </w:tc>
        <w:tc>
          <w:tcPr>
            <w:tcW w:w="196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34.10</w:t>
            </w:r>
          </w:p>
        </w:tc>
        <w:tc>
          <w:tcPr>
            <w:tcW w:w="176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47.15</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244,121</w:t>
            </w:r>
          </w:p>
        </w:tc>
      </w:tr>
      <w:tr>
        <w:trPr>
          <w:trHeight w:val="168"/>
        </w:trPr>
        <w:tc>
          <w:tcPr>
            <w:tcW w:w="30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Second Quarter..............</w:t>
            </w:r>
          </w:p>
        </w:tc>
        <w:tc>
          <w:tcPr>
            <w:tcW w:w="174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49.79</w:t>
            </w:r>
          </w:p>
        </w:tc>
        <w:tc>
          <w:tcPr>
            <w:tcW w:w="196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36.78</w:t>
            </w:r>
          </w:p>
        </w:tc>
        <w:tc>
          <w:tcPr>
            <w:tcW w:w="176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39.22</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243,161</w:t>
            </w:r>
          </w:p>
        </w:tc>
      </w:tr>
      <w:tr>
        <w:trPr>
          <w:trHeight w:val="168"/>
        </w:trPr>
        <w:tc>
          <w:tcPr>
            <w:tcW w:w="30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Third Quarter...............</w:t>
            </w:r>
          </w:p>
        </w:tc>
        <w:tc>
          <w:tcPr>
            <w:tcW w:w="174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42.23</w:t>
            </w:r>
          </w:p>
        </w:tc>
        <w:tc>
          <w:tcPr>
            <w:tcW w:w="196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33.25</w:t>
            </w:r>
          </w:p>
        </w:tc>
        <w:tc>
          <w:tcPr>
            <w:tcW w:w="176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33.80</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247,942</w:t>
            </w:r>
          </w:p>
        </w:tc>
      </w:tr>
      <w:tr>
        <w:trPr>
          <w:trHeight w:val="168"/>
        </w:trPr>
        <w:tc>
          <w:tcPr>
            <w:tcW w:w="30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Fourth Quarter..............</w:t>
            </w:r>
          </w:p>
        </w:tc>
        <w:tc>
          <w:tcPr>
            <w:tcW w:w="174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39.69</w:t>
            </w:r>
          </w:p>
        </w:tc>
        <w:tc>
          <w:tcPr>
            <w:tcW w:w="196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33.50</w:t>
            </w:r>
          </w:p>
        </w:tc>
        <w:tc>
          <w:tcPr>
            <w:tcW w:w="176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36.42</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181,301</w:t>
            </w:r>
          </w:p>
        </w:tc>
      </w:tr>
      <w:tr>
        <w:trPr>
          <w:trHeight w:val="168"/>
        </w:trPr>
        <w:tc>
          <w:tcPr>
            <w:tcW w:w="30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December....................</w:t>
            </w:r>
          </w:p>
        </w:tc>
        <w:tc>
          <w:tcPr>
            <w:tcW w:w="174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38.95</w:t>
            </w:r>
          </w:p>
        </w:tc>
        <w:tc>
          <w:tcPr>
            <w:tcW w:w="196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35.91</w:t>
            </w:r>
          </w:p>
        </w:tc>
        <w:tc>
          <w:tcPr>
            <w:tcW w:w="176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36.42</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143,690</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2003</w:t>
            </w:r>
          </w:p>
        </w:tc>
        <w:tc>
          <w:tcPr>
            <w:tcW w:w="17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8"/>
        </w:trPr>
        <w:tc>
          <w:tcPr>
            <w:tcW w:w="30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January.....................</w:t>
            </w:r>
          </w:p>
        </w:tc>
        <w:tc>
          <w:tcPr>
            <w:tcW w:w="174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36.93</w:t>
            </w:r>
          </w:p>
        </w:tc>
        <w:tc>
          <w:tcPr>
            <w:tcW w:w="196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32.95</w:t>
            </w:r>
          </w:p>
        </w:tc>
        <w:tc>
          <w:tcPr>
            <w:tcW w:w="176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33.50</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182,880</w:t>
            </w:r>
          </w:p>
        </w:tc>
      </w:tr>
      <w:tr>
        <w:trPr>
          <w:trHeight w:val="168"/>
        </w:trPr>
        <w:tc>
          <w:tcPr>
            <w:tcW w:w="30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February....................</w:t>
            </w:r>
          </w:p>
        </w:tc>
        <w:tc>
          <w:tcPr>
            <w:tcW w:w="174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34.00</w:t>
            </w:r>
          </w:p>
        </w:tc>
        <w:tc>
          <w:tcPr>
            <w:tcW w:w="196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30.60</w:t>
            </w:r>
          </w:p>
        </w:tc>
        <w:tc>
          <w:tcPr>
            <w:tcW w:w="176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32.25</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258,842</w:t>
            </w:r>
          </w:p>
        </w:tc>
      </w:tr>
      <w:tr>
        <w:trPr>
          <w:trHeight w:val="168"/>
        </w:trPr>
        <w:tc>
          <w:tcPr>
            <w:tcW w:w="30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March.......................</w:t>
            </w:r>
          </w:p>
        </w:tc>
        <w:tc>
          <w:tcPr>
            <w:tcW w:w="174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34.60</w:t>
            </w:r>
          </w:p>
        </w:tc>
        <w:tc>
          <w:tcPr>
            <w:tcW w:w="196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30.50</w:t>
            </w:r>
          </w:p>
        </w:tc>
        <w:tc>
          <w:tcPr>
            <w:tcW w:w="176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33.27</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190,924</w:t>
            </w:r>
          </w:p>
        </w:tc>
      </w:tr>
      <w:tr>
        <w:trPr>
          <w:trHeight w:val="168"/>
        </w:trPr>
        <w:tc>
          <w:tcPr>
            <w:tcW w:w="30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April.......................</w:t>
            </w:r>
          </w:p>
        </w:tc>
        <w:tc>
          <w:tcPr>
            <w:tcW w:w="174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38.21</w:t>
            </w:r>
          </w:p>
        </w:tc>
        <w:tc>
          <w:tcPr>
            <w:tcW w:w="196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32.82</w:t>
            </w:r>
          </w:p>
        </w:tc>
        <w:tc>
          <w:tcPr>
            <w:tcW w:w="176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37.96</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194,633</w:t>
            </w:r>
          </w:p>
        </w:tc>
      </w:tr>
      <w:tr>
        <w:trPr>
          <w:trHeight w:val="168"/>
        </w:trPr>
        <w:tc>
          <w:tcPr>
            <w:tcW w:w="30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May.........................</w:t>
            </w:r>
          </w:p>
        </w:tc>
        <w:tc>
          <w:tcPr>
            <w:tcW w:w="174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40.34</w:t>
            </w:r>
          </w:p>
        </w:tc>
        <w:tc>
          <w:tcPr>
            <w:tcW w:w="196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37.19</w:t>
            </w:r>
          </w:p>
        </w:tc>
        <w:tc>
          <w:tcPr>
            <w:tcW w:w="176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39.90</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238,048</w:t>
            </w:r>
          </w:p>
        </w:tc>
      </w:tr>
    </w:tbl>
    <w:p>
      <w:pPr>
        <w:spacing w:after="0" w:line="335" w:lineRule="exact"/>
        <w:rPr>
          <w:sz w:val="20"/>
          <w:szCs w:val="20"/>
          <w:color w:val="auto"/>
        </w:rPr>
      </w:pPr>
    </w:p>
    <w:p>
      <w:pPr>
        <w:ind w:left="440" w:hanging="430"/>
        <w:spacing w:after="0"/>
        <w:tabs>
          <w:tab w:leader="none" w:pos="44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ADR is comprised of ten BD Units.</w:t>
      </w:r>
    </w:p>
    <w:p>
      <w:pPr>
        <w:spacing w:after="0" w:line="172" w:lineRule="exact"/>
        <w:rPr>
          <w:rFonts w:ascii="Courier New" w:cs="Courier New" w:eastAsia="Courier New" w:hAnsi="Courier New"/>
          <w:sz w:val="15"/>
          <w:szCs w:val="15"/>
          <w:color w:val="auto"/>
        </w:rPr>
      </w:pPr>
    </w:p>
    <w:p>
      <w:pPr>
        <w:ind w:left="440" w:right="3320" w:hanging="430"/>
        <w:spacing w:after="0" w:line="235" w:lineRule="auto"/>
        <w:tabs>
          <w:tab w:leader="none" w:pos="44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Prices for the ADRs for 1998 have been calculated from May 11, 1998 to December 31, 1998. Prices from May 11, 1998 to June 30, 1998 have been adjusted to give effect to the ten-for-one split of our shares effected as of June 30, 1998.</w:t>
      </w:r>
    </w:p>
    <w:p>
      <w:pPr>
        <w:spacing w:after="0" w:line="3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127</w:t>
      </w:r>
    </w:p>
    <w:p>
      <w:pPr>
        <w:sectPr>
          <w:pgSz w:w="11900" w:h="16838" w:orient="portrait"/>
          <w:cols w:equalWidth="0" w:num="1">
            <w:col w:w="10240"/>
          </w:cols>
          <w:pgMar w:left="220" w:top="1290" w:right="1439" w:bottom="1440" w:gutter="0" w:footer="0" w:header="0"/>
        </w:sectPr>
      </w:pPr>
    </w:p>
    <w:bookmarkStart w:id="136" w:name="page137"/>
    <w:bookmarkEnd w:id="136"/>
    <w:p>
      <w:pPr>
        <w:spacing w:after="0"/>
        <w:rPr>
          <w:sz w:val="20"/>
          <w:szCs w:val="20"/>
          <w:color w:val="auto"/>
        </w:rPr>
      </w:pPr>
      <w:r>
        <w:rPr>
          <w:rFonts w:ascii="Courier New" w:cs="Courier New" w:eastAsia="Courier New" w:hAnsi="Courier New"/>
          <w:sz w:val="15"/>
          <w:szCs w:val="15"/>
          <w:color w:val="auto"/>
        </w:rPr>
        <w:t>ITEM 10. ADDITIONAL INFORMATION</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Bylaws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Below is a brief summary of certain significant provisions of our bylaws and applicable Mexican law. This description does not purport to be complete and is qualified in its entirety by reference to the bylaws and the provisions of applicable Mexican law. For a description of the provisions of our bylaws relating to the Board of Directors, Executive Committee and Examiners. See "Item</w:t>
      </w:r>
    </w:p>
    <w:p>
      <w:pPr>
        <w:spacing w:after="0" w:line="2" w:lineRule="exact"/>
        <w:rPr>
          <w:sz w:val="20"/>
          <w:szCs w:val="20"/>
          <w:color w:val="auto"/>
        </w:rPr>
      </w:pPr>
    </w:p>
    <w:p>
      <w:pPr>
        <w:ind w:left="2460" w:right="5599" w:hanging="2450"/>
        <w:spacing w:after="0" w:line="509" w:lineRule="auto"/>
        <w:tabs>
          <w:tab w:leader="none" w:pos="273"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Directors, Senior Management and Employees." Organization and Register</w:t>
      </w:r>
    </w:p>
    <w:p>
      <w:pPr>
        <w:ind w:right="3239" w:firstLine="437"/>
        <w:spacing w:after="0" w:line="236" w:lineRule="auto"/>
        <w:rPr>
          <w:sz w:val="20"/>
          <w:szCs w:val="20"/>
          <w:color w:val="auto"/>
        </w:rPr>
      </w:pPr>
      <w:r>
        <w:rPr>
          <w:rFonts w:ascii="Courier New" w:cs="Courier New" w:eastAsia="Courier New" w:hAnsi="Courier New"/>
          <w:sz w:val="15"/>
          <w:szCs w:val="15"/>
          <w:color w:val="auto"/>
        </w:rPr>
        <w:t>We are a sociedad anonima de capital variable organized in Mexico under the Ley General de Sociedades Mercantiles (the "Mexican General Corporations Law"). We were incorporated in 1936 under the name Valores Industriales, S.A., as a sociedad anonima. We were registered in the Public Registry of Commerce of Monterrey, N.L. on May 30, 1936 under Number 16, Page 168, Volume 79, Book 3, Second Auxiliary.</w:t>
      </w:r>
    </w:p>
    <w:p>
      <w:pPr>
        <w:spacing w:after="0" w:line="168"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Voting Rights and Certain Minority Rights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Each Series B Share entitles its holder to one vote at any of our ordinary or extraordinary general shareholders meetings. Holders of Series B Shares are entitled to elect at least eleven members of our Board of Directors, which shall constitute the majority of such Board at all times. Holders of Series D-B and D-L Shares are entitled to elect five members of our Board of Directors and, upon conversion of the Series D-L Shares to Series L Shares or upon issuance of Series L Shares, the holders of Series L Shares will be entitled to elect two members of the Board of Directors. Under Mexican law, a minority shareholder or group of shareholders voting in concert has the right to elect one Director and, if generally elected, one Alternate Director for each 10% of the capital stock of the company owned by such minority holder or group. None of our shares have cumulative voting rights.</w:t>
      </w:r>
    </w:p>
    <w:p>
      <w:pPr>
        <w:spacing w:after="0" w:line="16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Under our bylaws, the holders of Series D-B Shares, Series D-L Shares and Series L Shares are entitled to vote only on the following limited matters: (i) changes in our corporate form; (ii) any merger in which we are not the surviving entity or any merger with an entity whose principal corporate purposes are different from those of our company or our subsidiaries; (iii) change of nationality; (iv) dissolution and liquidation; and (v) the cancellation of the registration of our shares with the Special Section of the Registry or the removal of the listing of our shares from the Mexican Stock Exchange or any foreign exchange.</w:t>
      </w:r>
    </w:p>
    <w:p>
      <w:pPr>
        <w:spacing w:after="0" w:line="178"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Under Mexican law, holders of shares of any series are entitled to vote as a class in a special meeting governed by the same rules that apply to extraordinary meetings on any action that would impair the rights of holders of shares of such series, and a holder of shares of such series would be entitled to judicial relief against any action taken without such a vote. In certain cases, the Board of Directors, the examiner or a Mexican court could call a special meeting. A negative determination would be subject to judicial challenge by an affected shareholder, and the necessity of a class vote would ultimately be determined by a court. There are no procedures for determining whether a particular proposed shareholder action requires a class vote, and Mexican law does not provide extensive guidance on the criteria to be applied in making such a determination.</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Subject to the terms of the ADR Deposit Agreement, holders of ADRs may instruct the ADR Depositary with respect to voting the FEMSA shares comprising the BD Units underlying their ADRs.</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Shareholder Meetings</w:t>
      </w:r>
    </w:p>
    <w:p>
      <w:pPr>
        <w:spacing w:after="0" w:line="173"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General shareholders meetings may be ordinary meetings or extraordinary meetings. Extraordinary meetings are those called to consider certain matters specified in Article 182 of the Mexican Corporations Law and our bylaws. Such matters include: amendments to the bylaws, liquidation, dissolution, merger and transformation from one form of company to another, issuance of convertible debentures and increases and reductions of the fixed portion of the capital. General meetings called to consider all other matters are ordinary meetings. An ordinary meeting must be held at least once each year within the first four months following the end of the preceding fiscal year to (i) consider the approval of the financial statements of FEMSA and certain of our subsidiaries for the preceding fiscal year; (ii) to elect Directors and Examiners; and (iii) to determine their compensation and to determine the allocation of profits and losses of the preceding year. Generally, as a matter of Mexican law, holders of securities of limited voting rights are not entitled to attend shareholders meetings at which they are not entitled to vote. Holders of BD Units or B Units are entitled to attend all shareholders meetings (by virtue of the Series B Shares and Series D Shares included in such BD Units or B Units) and vote on matters that are subject to the vote of holders of the underlying shares.</w:t>
      </w:r>
    </w:p>
    <w:p>
      <w:pPr>
        <w:spacing w:after="0" w:line="33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128</w:t>
      </w:r>
    </w:p>
    <w:p>
      <w:pPr>
        <w:sectPr>
          <w:pgSz w:w="11900" w:h="16838" w:orient="portrait"/>
          <w:cols w:equalWidth="0" w:num="1">
            <w:col w:w="10239"/>
          </w:cols>
          <w:pgMar w:left="220" w:top="953" w:right="1440" w:bottom="1022" w:gutter="0" w:footer="0" w:header="0"/>
        </w:sectPr>
      </w:pPr>
    </w:p>
    <w:bookmarkStart w:id="137" w:name="page138"/>
    <w:bookmarkEnd w:id="137"/>
    <w:p>
      <w:pPr>
        <w:ind w:right="3239" w:firstLine="437"/>
        <w:spacing w:after="0" w:line="236" w:lineRule="auto"/>
        <w:rPr>
          <w:sz w:val="20"/>
          <w:szCs w:val="20"/>
          <w:color w:val="auto"/>
        </w:rPr>
      </w:pPr>
      <w:r>
        <w:rPr>
          <w:rFonts w:ascii="Courier New" w:cs="Courier New" w:eastAsia="Courier New" w:hAnsi="Courier New"/>
          <w:sz w:val="15"/>
          <w:szCs w:val="15"/>
          <w:color w:val="auto"/>
        </w:rPr>
        <w:t>The quorum for an ordinary meeting of the Series B Shares on first call is more than 50% of the Series B Shares, and action may be taken by a majority of the Series B Shares represented at such meeting. If a quorum is not available, a second or subsequent meeting may be called at which action may be taken by a majority of the Series B Shares present.</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quorum for an extraordinary meeting is at least 75% of the shares entitled to vote at that meeting, and action may be taken by a vote of the majority of the outstanding shares that are entitled to vote. If a quorum is not available, a second meeting may be called, at which the quorum will be the majority of the outstanding capital stock entitled to vote, and actions will be taken by holders of the majority of the outstanding capital stock entitled to vote.</w:t>
      </w:r>
    </w:p>
    <w:p>
      <w:pPr>
        <w:spacing w:after="0" w:line="17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Under Mexican law, holders of 20% of our outstanding shares entitled to vote on a particular item may judicially oppose resolutions adopted at a general meeting if the following conditions are met: (i) such holders file a complaint with a Mexican court within 15 days after the adjournment of the meeting at which such action was taken; (ii) such holders' complaint details the provisions of the Mexican law or the bylaws that are violated, and the reason for their claim; and (iii) such holders were not represented at the meeting when the action was taken or, if represented, voted against such action.</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Shareholders meetings may be called by the Board of Directors, the examiner and, under certain circumstances, a Mexican court. In addition, an ordinary meeting may be called by any holder of Series B Shares if an ordinary shareholders meeting has not been held within the preceding two fiscal years or if any action required under Mexican law to be taken at any ordinary shareholders meeting is not taken. The Board of Directors or the examiner may be required to call a shareholders meeting at the written request of the holders of 10% of the outstanding shares. In the event such meeting is not called within 15 days following the date of such request, a Mexican court may require such meeting to be called. A notice of meeting and an agenda must be published in the Periodico Oficial del Estado de Nuevo Leon (the "Official State Gazette") or a newspaper of general circulation in Monterrey, N.L., Mexico at least 15 days prior to the date set for the meeting. To attend a meeting, shareholders must deposit their shares with the company or with an institution for the deposit of securities prior to such meeting as indicated in the notice. If entitled to attend a meeting, a shareholder may be represented by an attorney-in-fact.</w:t>
      </w:r>
    </w:p>
    <w:p>
      <w:pPr>
        <w:spacing w:after="0" w:line="157"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Dividend Rights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At the annual ordinary general shareholders meeting, the Board of Directors submits the financial statements of the company for the previous fiscal year, together with a report thereon by the Board of Directors and the report of the examiner. Once the holders of Series B Shares have approved the financial statements, they determine the allocation of our net profits for the preceding year. Mexican law requires the allocation of at least 5% of such net profits to a legal reserve, which is not subsequently available for distribution, until the amount of the legal reserve equals 20% of our capital stock. Thereafter, the holders of Series B Shares may determine and allocate a certain percentage of net profits to any general or special reserve, including a reserve for open-market purchases of our shares. The remainder of net profits is available for distribution in the form of dividends to the shareholders.</w:t>
      </w:r>
    </w:p>
    <w:p>
      <w:pPr>
        <w:spacing w:after="0" w:line="16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Amounts allocated as dividends will be paid to the holders of capital stock of FEMSA in the following manner. Pursuant to the Reorganization, the bylaws provide that, before May 11, 2008, dividends will be allocated among the shares outstanding and fully paid at the time a dividend is declared in such manner that each Series D-B Share and Series D-L Share receives 125% of the dividend distributed in respect of each Series B Share. Holders of Series D-B Shares and Series D-L Shares are entitled to this dividend premium in connection with all dividends paid by us other than payments in connection with the liquidation of our company. On May 11, 2008, the Series D-B Shares will automatically convert into Series B Shares and Series D-L Shares will automatically convert into Series L Shares, which will not be entitled to a dividend premium. From and after May 11, 2008, the Series L Shares and Series B Shares that are outstanding and fully paid at the time a dividend is declared will be entitled to share equally in such dividend.</w:t>
      </w:r>
    </w:p>
    <w:p>
      <w:pPr>
        <w:spacing w:after="0" w:line="33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129</w:t>
      </w:r>
    </w:p>
    <w:p>
      <w:pPr>
        <w:sectPr>
          <w:pgSz w:w="11900" w:h="16838" w:orient="portrait"/>
          <w:cols w:equalWidth="0" w:num="1">
            <w:col w:w="10239"/>
          </w:cols>
          <w:pgMar w:left="220" w:top="623" w:right="1440" w:bottom="1440" w:gutter="0" w:footer="0" w:header="0"/>
        </w:sectPr>
      </w:pPr>
    </w:p>
    <w:bookmarkStart w:id="138" w:name="page139"/>
    <w:bookmarkEnd w:id="138"/>
    <w:p>
      <w:pPr>
        <w:ind w:left="1840"/>
        <w:spacing w:after="0"/>
        <w:rPr>
          <w:sz w:val="20"/>
          <w:szCs w:val="20"/>
          <w:color w:val="auto"/>
        </w:rPr>
      </w:pPr>
      <w:r>
        <w:rPr>
          <w:rFonts w:ascii="Courier New" w:cs="Courier New" w:eastAsia="Courier New" w:hAnsi="Courier New"/>
          <w:sz w:val="15"/>
          <w:szCs w:val="15"/>
          <w:color w:val="auto"/>
        </w:rPr>
        <w:t>Change in Capital and Withdrawal Rights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Our outstanding capital stock consists of both a fixed and a variable portion. The fixed portion of our capital stock may be increased or decreased only by an amendment of the bylaws adopted by a resolution of the holders of the Series B Shares at an extraordinary shareholders meeting or, in the case of a reduction of capital represented by the Series D-B, Series D-L or Series L Shares, a resolution of the holders of Series D-B, Series D-L or Series L Shares, as the case may be, at a special meeting of the holders of Series D-B, Series D-L or Series L Shares, as the case may be. The variable portion of our capital stock may be increased or decreased by resolution of an ordinary shareholders meeting. Capital increases and decreases must be recorded in our stock registry book and book of capital variations, if applicable.</w:t>
      </w:r>
    </w:p>
    <w:p>
      <w:pPr>
        <w:spacing w:after="0" w:line="180"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A capital stock increase may be effected through the issuance of new shares for payment in cash or in kind, or by capitalization of indebtedness or of certain items of shareholders' equity.</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Under our bylaws and the Mexican National Banking and Securities Commission regulations, variable capital may not be greater than ten times the minimum fixed portion of the capital stock specified in our bylaws. The fixed portion of our capital stock cannot be withdrawn.</w:t>
      </w:r>
    </w:p>
    <w:p>
      <w:pPr>
        <w:spacing w:after="0" w:line="175"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outstanding variable portion of our capital stock may be fully or partially withdrawn by the shareholders. Shareholders wishing to effect a total or partial withdrawal of the variable portion of their shares must notify us through an authenticated written notice to that effect. If the notice of withdrawal is received prior to the last quarter of the fiscal year, the withdrawal becomes effective at the end of the fiscal year in which the notice is given. Otherwise, the withdrawal becomes effective at the end of the following fiscal year. Upon an election by shareholders to withdraw their variable capital as described above, our share capital will be reduced.</w:t>
      </w:r>
    </w:p>
    <w:p>
      <w:pPr>
        <w:spacing w:after="0" w:line="165" w:lineRule="exact"/>
        <w:rPr>
          <w:sz w:val="20"/>
          <w:szCs w:val="20"/>
          <w:color w:val="auto"/>
        </w:rPr>
      </w:pPr>
    </w:p>
    <w:p>
      <w:pPr>
        <w:ind w:right="3399" w:firstLine="437"/>
        <w:spacing w:after="0" w:line="254" w:lineRule="auto"/>
        <w:rPr>
          <w:sz w:val="20"/>
          <w:szCs w:val="20"/>
          <w:color w:val="auto"/>
        </w:rPr>
      </w:pPr>
      <w:r>
        <w:rPr>
          <w:rFonts w:ascii="Courier New" w:cs="Courier New" w:eastAsia="Courier New" w:hAnsi="Courier New"/>
          <w:sz w:val="14"/>
          <w:szCs w:val="14"/>
          <w:color w:val="auto"/>
        </w:rPr>
        <w:t>Reimbursement of withdrawn shares is made at the lower of: (i) 95% of the average price per share quoted on the Mexican Stock Exchange during the 30 business days prior to the date on which the withdrawal becomes effective, and</w:t>
      </w:r>
    </w:p>
    <w:p>
      <w:pPr>
        <w:spacing w:after="0" w:line="1" w:lineRule="exact"/>
        <w:rPr>
          <w:sz w:val="20"/>
          <w:szCs w:val="20"/>
          <w:color w:val="auto"/>
        </w:rPr>
      </w:pPr>
    </w:p>
    <w:p>
      <w:pPr>
        <w:ind w:right="3239" w:firstLine="10"/>
        <w:spacing w:after="0" w:line="236" w:lineRule="auto"/>
        <w:tabs>
          <w:tab w:leader="none" w:pos="437"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book value per share as calculated from the company's financial statements (as approved at the annual ordinary general shareholders meeting) for the fiscal year at the end of which the withdrawal becomes effective. Shareholders exercising their withdrawal rights can request reimbursement by us on the day following the ordinary shareholders meeting at which the financial statements referred to above are approved.</w:t>
      </w:r>
    </w:p>
    <w:p>
      <w:pPr>
        <w:spacing w:after="0" w:line="17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Because the fixed capital cannot be withdrawn, requests for withdrawals are satisfied only to the extent of the available variable capital and in the order in which they are received; requests that are received simultaneously are fulfilled pro rata to the extent of the available variable capital.</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Any increase or decrease in our capital stock or any redemption or repurchase (described below) will be subject to the following limitations: (i) the Series B Shares will always represent at least 51% of the outstanding shares of capital stock and the Series D-L Shares and Series L Shares will never represent more than 25% of the outstanding shares of capital stock; (ii) before May 11, 2008, the Series D-B, Series D-L and Series L Shares will not exceed in the aggregate 49% of our capital stock; and (iii) from and after May 11, 2008, no Series D Shares will be outstanding, the Series L Shares will represent up to 25% of the capital stock and the Series B Shares will represent at least 75% of the capital stock.</w:t>
      </w:r>
    </w:p>
    <w:p>
      <w:pPr>
        <w:spacing w:after="0" w:line="17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Preemptive Rights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Except in limited circumstances under Mexican law, in the event of a capital increase, a holder of existing shares of a given series generally has a preferential right to subscribe to shares of the same series sufficient to maintain the holder's existing proportionate holding of shares of that series. Preemptive rights must be exercised during a term fixed by the shareholders at the meeting declaring the capital increase, which term must last at least 15 days following the publication of notice of the capital increase in the Official State Gazette. As a result of applicable United States securities laws, holders of ADRs may be restricted in their ability to participate in the exercise of preemptive rights under the terms of the ADR Deposit Agreement. Shares designated for issuance pursuant to a preemptive rights offering, with respect to which preemptive rights have not been exercised, may be sold by us to third parties on the same terms and conditions previously approved by the shareholders or the Board of Directors.</w:t>
      </w:r>
    </w:p>
    <w:p>
      <w:pPr>
        <w:spacing w:after="0" w:line="33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130</w:t>
      </w:r>
    </w:p>
    <w:p>
      <w:pPr>
        <w:sectPr>
          <w:pgSz w:w="11900" w:h="16838" w:orient="portrait"/>
          <w:cols w:equalWidth="0" w:num="1">
            <w:col w:w="10239"/>
          </w:cols>
          <w:pgMar w:left="220" w:top="617" w:right="1440" w:bottom="1440" w:gutter="0" w:footer="0" w:header="0"/>
        </w:sectPr>
      </w:pPr>
    </w:p>
    <w:bookmarkStart w:id="139" w:name="page140"/>
    <w:bookmarkEnd w:id="139"/>
    <w:p>
      <w:pPr>
        <w:ind w:right="3239" w:firstLine="437"/>
        <w:spacing w:after="0" w:line="237" w:lineRule="auto"/>
        <w:rPr>
          <w:sz w:val="20"/>
          <w:szCs w:val="20"/>
          <w:color w:val="auto"/>
        </w:rPr>
      </w:pPr>
      <w:r>
        <w:rPr>
          <w:rFonts w:ascii="Courier New" w:cs="Courier New" w:eastAsia="Courier New" w:hAnsi="Courier New"/>
          <w:sz w:val="15"/>
          <w:szCs w:val="15"/>
          <w:color w:val="auto"/>
        </w:rPr>
        <w:t>Article 81 of the Ley de Mercado de Valores (the "Mexican Securities Market Law") permits the issuance and sale of shares through a public offering without granting shareholders preemptive rights, if permitted by the bylaws and upon, among other things, express authorization of the Mexican National Banking and Securities Commission and the approval of the extraordinary shareholders meeting called for such purpose. Our bylaws permit the issuance and sale of shares in a public offering in accordance with Article 81 of the Mexican Securities Market Law. Such offer may not take place if shareholders representing 25% or more of the Series B Shares vote against such issuance. Any shareholder that votes against such issuance has the right to demand that we sell such shareholder's shares to the public at the same price at which the newly issued shares are to be sold.</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Limitations on Share Ownership</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Ownership by non-Mexican nationals of shares of Mexican enterprises is regulated by the 1993 Ley de Inversion Extranjera (the "Foreign Investment Law") and the regulations applicable thereto (the "Regulations"). The Comision Nacional de Inversion Extranjera (the National Commission on Foreign Investment or the "Foreign Investment Commission") is responsible for the administration of the Foreign Investment Law and the Regulations.</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As a general rule, the Foreign Investment Law allows foreign holdings of up to 100% of the capital stock of Mexican companies except for those engaged in certain specified restricted industries. The Foreign Investment Law and the Regulations require that Mexican shareholders retain the power to determine the administrative control and the management of corporations in industries in which special restrictions on foreign holdings are applicable. Foreign investment in our shares is not limited under either the Foreign Investment Law or the Regulations.</w:t>
      </w:r>
    </w:p>
    <w:p>
      <w:pPr>
        <w:spacing w:after="0" w:line="171"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Other Provisions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Redemption. We may redeem part of our shares for cancellation with retained earnings pursuant to a decision of an extraordinary shareholders meeting. Only shares subscribed and fully paid for may be redeemed. Any shares intended to be redeemed shall be purchased on the Mexican Stock Exchange in accordance with the Mexican Corporations Law and the Mexican Securities Market Law. No shares will be redeemed, if as a consequence of such redemption, the Series D-B, Series D-L and Series L Shares in the aggregate exceed the percentages permitted by the bylaws or if any such redemption will reduce fixed capital below its minimum.</w:t>
      </w:r>
    </w:p>
    <w:p>
      <w:pPr>
        <w:spacing w:after="0" w:line="166"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Repurchase of shares. We may repurchase shares of our capital stock on the Mexican Stock Exchange at prevailing market prices. Any such repurchase must be approved by the Board of Directors. The repurchased shares must be paid for with the proceeds of a special reserve account created for the repurchase of shares. Our capital stock would be reduced automatically in an amount equal to the value of each repurchased share; in the event that the purchase price of such shares exceeded the par value, the difference would be paid for with amounts allocated from the special reserve mentioned above. An ordinary shareholders meeting must approve the maximum amount of paid-in capital that may be affected as a result of the repurchase. We will hold any repurchased shares as treasury stock pending future sales thereof; any such sale could only be effected on the Mexican Stock Exchange. Our capital stock will be automatically increased upon the resale of such shares in an amount equal to their par value; any excess amounts will be allocated to the special reserve referred to above. The economic and voting rights corresponding to repurchased shares may not be exercised and such shares will not be deemed outstanding for purposes of calculating any quorum or vote at any shareholders meeting while such shares constitute treasury stock.</w:t>
      </w:r>
    </w:p>
    <w:p>
      <w:pPr>
        <w:spacing w:after="0" w:line="174"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Pursuant to judicial adjudication, we may acquire the shares of a shareholder in satisfaction of a debt owed by such shareholder to us; we must resell any shares so acquired within three months or our capital stock will be reduced and such shares canceled.</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Forfeiture of shares. As required by Mexican law, the bylaws provide that non-Mexican holders of FEMSA shares, BD Units and B Units (i) are considered as Mexican with respect to such shares that they acquire or hold and (ii) may not invoke the protection of their own governments in respect of the investment represented by those shares. Failure to comply with the bylaws may result in a penalty of forfeiture of a shareholder's capital interests in favor of the Mexican state. In the opinion of Lic. Carlos Aldrete, General Counsel of FEMSA, under this provision, a non-Mexican shareholder (including a non-Mexican holder of ADRs) is deemed to have agreed not to invoke the protection of its own government by asking such government to interpose a diplomatic claim against the Mexican state with respect to its rights as a shareholder, but is not deemed to have waived any other rights it may have, including any rights under the United States securities laws, with respect to its investment in our company. If a shareholder should invoke governmental protection in violation of this agreement, its shares could be forfeited to the Mexican state.</w:t>
      </w:r>
    </w:p>
    <w:p>
      <w:pPr>
        <w:spacing w:after="0" w:line="32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131</w:t>
      </w:r>
    </w:p>
    <w:p>
      <w:pPr>
        <w:sectPr>
          <w:pgSz w:w="11900" w:h="16838" w:orient="portrait"/>
          <w:cols w:equalWidth="0" w:num="1">
            <w:col w:w="10239"/>
          </w:cols>
          <w:pgMar w:left="220" w:top="623" w:right="1440" w:bottom="1440" w:gutter="0" w:footer="0" w:header="0"/>
        </w:sectPr>
      </w:pPr>
    </w:p>
    <w:bookmarkStart w:id="140" w:name="page141"/>
    <w:bookmarkEnd w:id="140"/>
    <w:p>
      <w:pPr>
        <w:jc w:val="both"/>
        <w:ind w:right="3319" w:firstLine="437"/>
        <w:spacing w:after="0" w:line="234" w:lineRule="auto"/>
        <w:rPr>
          <w:sz w:val="20"/>
          <w:szCs w:val="20"/>
          <w:color w:val="auto"/>
        </w:rPr>
      </w:pPr>
      <w:r>
        <w:rPr>
          <w:rFonts w:ascii="Courier New" w:cs="Courier New" w:eastAsia="Courier New" w:hAnsi="Courier New"/>
          <w:sz w:val="15"/>
          <w:szCs w:val="15"/>
          <w:color w:val="auto"/>
        </w:rPr>
        <w:t>Duration. The bylaws provide that the duration of our company is 99 years, commencing on May 30, 1936.</w:t>
      </w:r>
    </w:p>
    <w:p>
      <w:pPr>
        <w:spacing w:after="0" w:line="173" w:lineRule="exact"/>
        <w:rPr>
          <w:sz w:val="20"/>
          <w:szCs w:val="20"/>
          <w:color w:val="auto"/>
        </w:rPr>
      </w:pPr>
    </w:p>
    <w:p>
      <w:pPr>
        <w:jc w:val="both"/>
        <w:ind w:right="3319" w:firstLine="437"/>
        <w:spacing w:after="0" w:line="236" w:lineRule="auto"/>
        <w:rPr>
          <w:sz w:val="20"/>
          <w:szCs w:val="20"/>
          <w:color w:val="auto"/>
        </w:rPr>
      </w:pPr>
      <w:r>
        <w:rPr>
          <w:rFonts w:ascii="Courier New" w:cs="Courier New" w:eastAsia="Courier New" w:hAnsi="Courier New"/>
          <w:sz w:val="15"/>
          <w:szCs w:val="15"/>
          <w:color w:val="auto"/>
        </w:rPr>
        <w:t>Conflict of interest. Any shareholder that has a conflict of interest with respect to a transaction of our company is required to abstain from voting with respect to such transaction at the relevant shareholders meeting. A shareholder that votes on a business transaction in which its interests conflict with those of our company may be liable for damages, but only if the transaction would not have been approved without its vote.</w:t>
      </w:r>
    </w:p>
    <w:p>
      <w:pPr>
        <w:spacing w:after="0" w:line="175"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Under Mexican law, any Director who has a conflict of interest with FEMSA in any transaction must disclose such fact to the other Directors and abstain from voting. Any Director who violates such provisions will be liable for damages. Additionally, our Directors and statutory auditors may not represent shareholders in the shareholder meetings.</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Appraisal rights. Whenever the shareholders approve a change of corporate purpose, change of nationality or transformation from one corporate form to another of FEMSA, any shareholder entitled to vote on such change that has voted against it, may withdraw from FEMSA and redeem its shares receiving the amount calculated as specified under Mexican law attributable to its shares, provided that it exercises its right within 15 days following the adjournment of the meeting at which the change was approved. Under Mexican law, the amount which a withdrawing shareholder is entitled to receive is equal to its proportionate interest in our capital stock according to our most recent balance sheet approved by an ordinary general shareholders meeting.</w:t>
      </w:r>
    </w:p>
    <w:p>
      <w:pPr>
        <w:spacing w:after="0" w:line="16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Obligation of Majority Shareholders. In accordance with the Mexican Securities Market Law, persons deemed to control us, including our principal shareholders, will be required to make a public offer to repurchase any shares held by public minority shareholders in the event either we or the Mexican National Banking and Securities Commission cancels the listing of such shares with the Mexican Stock Exchange. Mexican law provides that any such repurchase will be made at the higher of the (i) average market price during the preceding 30 days or (ii) book value, as reflected in the last quarterly report filed with the Mexican National Banking and Securities Commission.</w:t>
      </w:r>
    </w:p>
    <w:p>
      <w:pPr>
        <w:spacing w:after="0" w:line="16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Liquidation. Upon dissolution of FEMSA, one or more liquidators must be appointed by an extraordinary general meeting of the shareholders to wind up its affairs. All fully paid and outstanding shares of capital stock will be entitled to participate equally in any distribution upon liquidation.</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Actions Against Directors. Action for civil liabilities against Directors may be initiated by resolution of an ordinary shareholders meeting. In the event the ordinary shareholders meeting decides to bring such action, the Directors against whom such action is to be brought will immediately cease to be Directors. Additionally, shareholders representing not less than 15% of the outstanding shares may directly exercise such action against the Directors, provided that (i) such shareholders shall not have voted against taking such action at the relevant shareholders meeting, and (ii) the claim covers all the damages alleged to have been caused to FEMSA and not only the portion corresponding to such shareholders. Any recovery of damages with respect to such action will be for the benefit of FEMSA.</w:t>
      </w:r>
    </w:p>
    <w:p>
      <w:pPr>
        <w:spacing w:after="0" w:line="180"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Limited Liability. Shareholders' liability for FEMSA's losses are limited to their shareholdings in our company.</w:t>
      </w:r>
    </w:p>
    <w:p>
      <w:pPr>
        <w:spacing w:after="0" w:line="16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Taxation</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following summary contains a description of certain U.S. federal income and Mexican federal tax consequences of the purchase, ownership and disposition of the ADRs by a holder that is a citizen or resident of the United States, a U.S. domestic corporation or a person or entity that otherwise will be subject to U.S. federal income tax on a net income basis in respect of the ADRs (a "U.S. holder"), but it does not purport to be a description of all of the possible tax considerations that may be relevant to a decision to purchase ADRs. In particular, this discussion does not address all Mexican or U.S. federal income tax considerations that may be relevant to a particular investor, nor does it address the special tax rules applicable to certain categories of investors, such as banks, dealers, traders who elect to mark to market, tax-exempt entities, insurance companies, investors who hold the ADRs as part of a hedge, straddle, conversion or integrated transaction or investors who have a "functional currency" other than the U.S. Dollar. This summary deals only with U.S. holders that will hold the ADRs as capital assets, but does not address the tax treatment of a U.S. holder that owns or is treated as owning 10% or more of the voting shares (including ADR's) of the company.</w:t>
      </w:r>
    </w:p>
    <w:p>
      <w:pPr>
        <w:spacing w:after="0" w:line="33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132</w:t>
      </w:r>
    </w:p>
    <w:p>
      <w:pPr>
        <w:sectPr>
          <w:pgSz w:w="11900" w:h="16838" w:orient="portrait"/>
          <w:cols w:equalWidth="0" w:num="1">
            <w:col w:w="10239"/>
          </w:cols>
          <w:pgMar w:left="220" w:top="624" w:right="1440" w:bottom="1440" w:gutter="0" w:footer="0" w:header="0"/>
        </w:sectPr>
      </w:pPr>
    </w:p>
    <w:bookmarkStart w:id="141" w:name="page142"/>
    <w:bookmarkEnd w:id="141"/>
    <w:p>
      <w:pPr>
        <w:ind w:right="3239" w:firstLine="437"/>
        <w:spacing w:after="0" w:line="255" w:lineRule="auto"/>
        <w:rPr>
          <w:sz w:val="20"/>
          <w:szCs w:val="20"/>
          <w:color w:val="auto"/>
        </w:rPr>
      </w:pPr>
      <w:r>
        <w:rPr>
          <w:rFonts w:ascii="Courier New" w:cs="Courier New" w:eastAsia="Courier New" w:hAnsi="Courier New"/>
          <w:sz w:val="14"/>
          <w:szCs w:val="14"/>
          <w:color w:val="auto"/>
        </w:rPr>
        <w:t>This summary is based upon tax laws of the United States and Mexico as in effect on the date of this Annual Report, including the provisions of the income tax treaty between the United States and Mexico (the "Tax Treaty"), which are subject to change. The summary does not address any tax consequences under the laws of any state or locality of Mexico or the United States or the laws of any taxing jurisdiction other than the federal laws of Mexico and the United States. Holders of the ADRs should consult their tax advisers as to the U.S., Mexican or other tax consequences of the purchase, ownership and disposition of ADRs, including, in particular, the effect of any foreign, state or local tax laws.</w:t>
      </w:r>
    </w:p>
    <w:p>
      <w:pPr>
        <w:spacing w:after="0" w:line="1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Mexican Taxation</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For purposes of this summary, the term "non-resident holder" means a holder that is not a resident of Mexico and that does not hold the ADRs in connection with the conduct of a trade or business through a permanent establishment or fixed base in Mexico. For purposes of Mexican taxation, an individual is a resident of Mexico if he or she has established his or her home in Mexico, unless he or she has resided in another country for more than 183 days (whether consecutive or not) during a calendar year, and can demonstrate that he or she has become a resident of that country for tax purposes. A legal entity is a resident of Mexico either if it is organized under the laws of Mexico or if it has its principal place of business or its place of effective management in Mexico. A Mexican citizen is presumed to be a resident of Mexico unless such a person can demonstrate that the contrary is true. If a legal entity or an individual is deemed to have a permanent establishment in Mexico for tax purposes, all income attributable to such a permanent establishment will be subject to Mexican taxes, in accordance with applicable tax laws.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Taxation of Dividends</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Under Mexican income tax law, dividends, either in cash or in kind, paid with respect to the company's shares represented by ADRs are not subject to Mexican withholding tax.</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Taxation of Dispositions of ADRs</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Gains from the sale or disposition of ADRs by non-resident holders will not be subject to Mexican withholding tax.</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Gains on the sale or other disposition of ADRs made in other circumstances generally would be subject to Mexican tax, regardless of the nationality or residence of the transferor. However, under the Tax Treaty, a holder that is eligible to claim the benefits of the Tax Treaty will be exempt from Mexican tax on gains realized on a sale or other disposition of ADRs in a transaction that is not carried out through the Mexican Stock Exchange or other approved securities markets, so long as the holder did not own, directly or indirectly, 25% or more of our total capital stock (including shares represented by ADRs) within the 12-month period preceding such sale or other disposition. Deposits of shares in exchange for ADRs and withdrawals of shares in exchange for ADRs will not give rise to Mexican tax.</w:t>
      </w:r>
    </w:p>
    <w:p>
      <w:pPr>
        <w:spacing w:after="0" w:line="180"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Mexican tax rules governing the taxation of gains of nonresident holders on dispositions of their ADRs were amended during 2002. Nonresident holders who disposed of their ADRs during 2002 should consult their own Mexican tax advisors for the Mexican tax treatment of such dispositions.</w:t>
      </w:r>
    </w:p>
    <w:p>
      <w:pPr>
        <w:spacing w:after="0" w:line="3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133</w:t>
      </w:r>
    </w:p>
    <w:p>
      <w:pPr>
        <w:sectPr>
          <w:pgSz w:w="11900" w:h="16838" w:orient="portrait"/>
          <w:cols w:equalWidth="0" w:num="1">
            <w:col w:w="10239"/>
          </w:cols>
          <w:pgMar w:left="220" w:top="624" w:right="1440" w:bottom="1440" w:gutter="0" w:footer="0" w:header="0"/>
        </w:sectPr>
      </w:pPr>
    </w:p>
    <w:bookmarkStart w:id="142" w:name="page143"/>
    <w:bookmarkEnd w:id="142"/>
    <w:p>
      <w:pPr>
        <w:spacing w:after="0"/>
        <w:rPr>
          <w:sz w:val="20"/>
          <w:szCs w:val="20"/>
          <w:color w:val="auto"/>
        </w:rPr>
      </w:pPr>
      <w:r>
        <w:rPr>
          <w:rFonts w:ascii="Courier New" w:cs="Courier New" w:eastAsia="Courier New" w:hAnsi="Courier New"/>
          <w:sz w:val="15"/>
          <w:szCs w:val="15"/>
          <w:color w:val="auto"/>
        </w:rPr>
        <w:t>Other Mexican Taxes</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There are no Mexican inheritance, gift, succession or value added taxes applicable to the ownership, transfer, exchange or disposition of ADRs. There are no Mexican stamp, issue, registration or similar taxes or duties payable by holders of the ADRs.</w:t>
      </w:r>
    </w:p>
    <w:p>
      <w:pPr>
        <w:spacing w:after="0" w:line="169"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United States Taxation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Taxation of Dividends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gross amount of any dividends paid with respect to our shares represented by ADRs generally will be included in the gross income of a U.S. holder as ordinary income on the day on which the dividends are received by the ADR Depositary and will not be eligible for the dividends received deduction allowed to corporations under the Internal Revenue Code of 1986, as amended. Dividends, which will be paid in Pesos, will be includible in the income of a U.S. holder in a U.S. Dollar amount calculated, in general, by reference to the exchange rate in effect on the date that they are received by the ADR Depositary (regardless of whether such Pesos are in fact converted into U.S. Dollars on such date). If such dividends are converted into U.S. Dollars on the date of receipt, a U.S. holder generally should not be required to recognize foreign currency gain or loss in respect of the dividends. Subject to certain exceptions for short-term and hedged positions, the U.S. Dollar amount of dividends received by an individual U.S. holder in respect of the ADRs after December 31, 2002 and before January 1, 2009 is subject to taxation at a maximum rate of 15%. U.S. holders should consult their own tax advisors regarding the availability of the reduced dividends tax rate in light of their own particular circumstances. U.S. holders should consult their tax advisors regarding the treatment of the foreign currency gain or loss, if any, on any Pesos received that are converted into U.S. Dollars on a date subsequent to the date of receipt. Dividends generally will constitute foreign source "passive income" or, in the case of certain U.S. holders, "financial services income" for U.S. foreign tax credit purposes.</w:t>
      </w:r>
    </w:p>
    <w:p>
      <w:pPr>
        <w:spacing w:after="0" w:line="177"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Distributions to holders of additional shares with respect to their ADRs that are made as part of a pro rata distribution to all of our shareholders generally will not be subject to U.S. federal income tax.</w:t>
      </w:r>
    </w:p>
    <w:p>
      <w:pPr>
        <w:spacing w:after="0" w:line="174"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A holder of ADRs that is, with respect to the United States, a foreign corporation or Non-U.S. holder generally will not be subject to U.S. federal income or withholding tax on dividends received on ADRs, unless such income is effectively connected with the conduct by the Non-U.S. holder of a trade or business in the United States.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Taxation of Capital Gains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 gain or loss realized by a U.S. holder on the sale or other disposition of ADRs will be subject to U.S. federal income taxation as capital gain or loss in an amount equal to the difference between the amount realized on the disposition and such U.S. holder's tax basis in the ADRs. Any such gain or loss will be a long-term capital gain or loss if the ADRs were held for more than one year on the date of such sale. Long-term capital gain recognized by a U.S. holder that is an individual is subject to lower rates of federal income taxation than ordinary income or short-term capital gain. The deduction of capital loss is subject to limitations for U.S. federal income tax purposes. Deposits and withdrawals of shares by U.S. holders in exchange for ADRs will not result in the realization of gain or loss for U.S. federal income tax purposes.</w:t>
      </w:r>
    </w:p>
    <w:p>
      <w:pPr>
        <w:spacing w:after="0" w:line="165" w:lineRule="exact"/>
        <w:rPr>
          <w:sz w:val="20"/>
          <w:szCs w:val="20"/>
          <w:color w:val="auto"/>
        </w:rPr>
      </w:pPr>
    </w:p>
    <w:p>
      <w:pPr>
        <w:jc w:val="both"/>
        <w:ind w:right="3239" w:firstLine="437"/>
        <w:spacing w:after="0" w:line="261" w:lineRule="auto"/>
        <w:rPr>
          <w:sz w:val="20"/>
          <w:szCs w:val="20"/>
          <w:color w:val="auto"/>
        </w:rPr>
      </w:pPr>
      <w:r>
        <w:rPr>
          <w:rFonts w:ascii="Courier New" w:cs="Courier New" w:eastAsia="Courier New" w:hAnsi="Courier New"/>
          <w:sz w:val="14"/>
          <w:szCs w:val="14"/>
          <w:color w:val="auto"/>
        </w:rPr>
        <w:t>Gain, if any, realized by a U.S. holder on the sale or other disposition of ADRs will be treated as U.S. source income for U.S. foreign tax credit purposes.</w:t>
      </w:r>
    </w:p>
    <w:p>
      <w:pPr>
        <w:spacing w:after="0" w:line="160"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 Non-U.S. holder of ADRs will not be subject to U.S. federal income or withholding tax on any gain realized on the sale of ADRs, unless (i) such gain is effectively connected with the conduct by the Non-U.S. holder of a trade or business in the United States, or (ii) in the case of gain realized by an individual Non-U.S. holder, the Non-U.S. holder is present in the United States for 183 days or more in the taxable year of the sale and certain other conditions are met.</w:t>
      </w:r>
    </w:p>
    <w:p>
      <w:pPr>
        <w:spacing w:after="0" w:line="33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134</w:t>
      </w:r>
    </w:p>
    <w:p>
      <w:pPr>
        <w:sectPr>
          <w:pgSz w:w="11900" w:h="16838" w:orient="portrait"/>
          <w:cols w:equalWidth="0" w:num="1">
            <w:col w:w="10239"/>
          </w:cols>
          <w:pgMar w:left="220" w:top="617" w:right="1440" w:bottom="1440" w:gutter="0" w:footer="0" w:header="0"/>
        </w:sectPr>
      </w:pPr>
    </w:p>
    <w:bookmarkStart w:id="143" w:name="page144"/>
    <w:bookmarkEnd w:id="143"/>
    <w:p>
      <w:pPr>
        <w:spacing w:after="0"/>
        <w:rPr>
          <w:sz w:val="20"/>
          <w:szCs w:val="20"/>
          <w:color w:val="auto"/>
        </w:rPr>
      </w:pPr>
      <w:r>
        <w:rPr>
          <w:rFonts w:ascii="Courier New" w:cs="Courier New" w:eastAsia="Courier New" w:hAnsi="Courier New"/>
          <w:sz w:val="15"/>
          <w:szCs w:val="15"/>
          <w:color w:val="auto"/>
        </w:rPr>
        <w:t>United States Backup Withholding and Information Reporting</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A U.S. holder of ADRs may, under certain circumstances, be subject to "backup withholding" with respect to certain payments to such U.S. holder, such as dividends, interest or the proceeds of a sale or disposition of ADRs, unless such holder (i) is a corporation or comes within certain exempt categories, and demonstrates this fact when so required, or (ii) provides a correct taxpayer identification number, certifies that it is not subject to backup withholding and otherwise complies with applicable requirements of the backup withholding rules. Any amount withheld under these rules does not constitute a separate tax and will be creditable against the holder's U.S. federal income tax liability. While Non-U.S. holders generally are exempt from backup withholding, a Non-U.S. holder may, in certain circumstances, be required to comply with certain information and identification procedures in order to prove this exemption.</w:t>
      </w:r>
    </w:p>
    <w:p>
      <w:pPr>
        <w:spacing w:after="0" w:line="158"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Material Contracts</w:t>
      </w:r>
    </w:p>
    <w:p>
      <w:pPr>
        <w:spacing w:after="0" w:line="173"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We and our subsidiaries are parties to a variety of material agreements with third parties, including shareholders' agreements, supply agreements and purchase and service agreements. Set forth below are summaries of such agreements. Because this is a summary, readers should not rely on these summaries in lieu of reading the actual agreements, which we have either filed or incorporated by reference in this Annual Report. See "Item 19. Exhibits."</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FEMSA Cerveza</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Shareholders' Agreement</w:t>
      </w:r>
    </w:p>
    <w:p>
      <w:pPr>
        <w:spacing w:after="0" w:line="173"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In connection with the subscription by Labatt of FEMSA Cerveza's capital stock, Emprex and Labatt agreed that FEMSA Cerveza would be managed as a joint venture. Accordingly, on September 12, 1994, Emprex, Labatt and FEMSA Cerveza entered into a shareholders' agreement (as amended, the "FEMSA Cerveza Shareholders' Agreement"), which, together with FEMSA Cerveza's bylaws, sets forth the basic governance structure under which FEMSA Cerveza operates.</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the FEMSA Cerveza Shareholders' Agreement, Emprex and Labatt (each, a "Principal Cerveza Shareholder" and collectively, the "Principal Cerveza Shareholders") confirm their agreement to the corporate governance provisions set forth in FEMSA Cerveza's bylaws relating to the composition of the Board of Directors and the executive officers of FEMSA Cerveza as well as to the election of the members of such Board and officers. In addition, the FEMSA Cerveza Shareholders' Agreement provides for the establishment of a management committee to advise on strategic decisions and policies and to review, approve and oversee important decisions of management, such as the approval of senior operating vice presidents and the implementation of the annual budget and the annual business plan.</w:t>
      </w:r>
    </w:p>
    <w:p>
      <w:pPr>
        <w:spacing w:after="0" w:line="18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Board of Directors of FEMSA Cerveza currently consists of fifteen Directors and nine Alternative Directors who were elected at the annual ordinary shareholders meeting for a renewable term of one year. Eleven Directors and seven Alternative Directors were appointed by Emprex and four Directors and Alternative Directors were appointed by Labatt.</w:t>
      </w:r>
    </w:p>
    <w:p>
      <w:pPr>
        <w:spacing w:after="0" w:line="174"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The management committee currently consists of nine members, one of whom is the Chief Executive Officer of FEMSA Cerveza (with one vote), four of whom were appointed by Emprex and four of whom were appointed by Labatt.</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FEMSA Cerveza Shareholders' Agreement gives each of Labatt and Emprex significant influence in the conduct of FEMSA Cerveza's business. In addition, Labatt has the power to veto certain actions requiring approval by the Board of Directors of FEMSA Cerveza, including amendments to the bylaws, reductions in capital stock, certain mergers or spin-offs, initiation of bankruptcy or similar proceedings, delisting any shares from the Mexican Stock Exchange and certain other matters if any of such other matters are presented to a shareholders meeting.</w:t>
      </w:r>
    </w:p>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135</w:t>
      </w:r>
    </w:p>
    <w:p>
      <w:pPr>
        <w:sectPr>
          <w:pgSz w:w="11900" w:h="16838" w:orient="portrait"/>
          <w:cols w:equalWidth="0" w:num="1">
            <w:col w:w="10239"/>
          </w:cols>
          <w:pgMar w:left="220" w:top="617" w:right="1440" w:bottom="1440" w:gutter="0" w:footer="0" w:header="0"/>
        </w:sectPr>
      </w:pPr>
    </w:p>
    <w:bookmarkStart w:id="144" w:name="page145"/>
    <w:bookmarkEnd w:id="144"/>
    <w:p>
      <w:pPr>
        <w:ind w:right="3319" w:firstLine="437"/>
        <w:spacing w:after="0" w:line="236" w:lineRule="auto"/>
        <w:rPr>
          <w:sz w:val="20"/>
          <w:szCs w:val="20"/>
          <w:color w:val="auto"/>
        </w:rPr>
      </w:pPr>
      <w:r>
        <w:rPr>
          <w:rFonts w:ascii="Courier New" w:cs="Courier New" w:eastAsia="Courier New" w:hAnsi="Courier New"/>
          <w:sz w:val="15"/>
          <w:szCs w:val="15"/>
          <w:color w:val="auto"/>
        </w:rPr>
        <w:t>In addition to the rights of first refusal provided for in FEMSA Cerveza's bylaws regarding proposed transfers of shares, the FEMSA Cerveza Shareholders' Agreement contemplates that a Principal Cerveza Shareholder may purchase the interest in FEMSA Cerveza of the other in the event of a change of control in a Principal Cerveza Shareholder.</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the event that (i) one of the Principal Cerveza Shareholders buys the other's interest in FEMSA Cerveza because of a change in control in the other Principal Cerveza Shareholder; (ii) Labatt's ownership of FEMSA Cerveza's shares of capital stock (other than certain limited voting shares) is reduced below 20% of all such shares; or (iii) Emprex ceases to have managing control of FEMSA Cerveza, and upon the request of the Principal Cerveza Shareholder whose interest is not so affected, the FEMSA Cerveza Shareholders' Agreement requires that FEMSA Cerveza's bylaws be amended to eliminate all share transfer restrictions and all super-majority voting and quorum requirements, after which the FEMSA Cerveza Shareholders' Agreement will terminate.</w:t>
      </w:r>
    </w:p>
    <w:p>
      <w:pPr>
        <w:spacing w:after="0" w:line="179"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The FEMSA Cerveza Shareholders' Agreement grants to the Principal Cerveza Shareholders registration and tag-along rights with respect to their shareholdings in FEMSA Cerveza. In addition, the FEMSA Cerveza Shareholders' Agreement provides for consultation between the Principal Cerveza Shareholders regarding potential investment opportunities in Latin America.</w:t>
      </w:r>
    </w:p>
    <w:p>
      <w:pPr>
        <w:spacing w:after="0" w:line="16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As part of the FEMSA Cerveza Shareholders' Agreement, the Principal Cerveza Shareholders have agreed not to compete with each other in Mexico or Canada and not to engage in the manufacturing, sale or distribution of Mexican or Canadian beers other than their respective brands. The Principal Cerveza Shareholders have also agreed to share their know-how, expertise and technology.</w:t>
      </w:r>
    </w:p>
    <w:p>
      <w:pPr>
        <w:spacing w:after="0" w:line="15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FEMSA Cerveza-Labatt U.S. Joint Venture Agreement</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On December 1, 1994, FEMSA Cerveza, Labatt and certain of their respective affiliates entered into a Joint Venture Agreement (the "U.S. Joint Venture Agreement") wherein they agreed to combine in Labatt USA, Labatt's business related to the brewing, importation, distribution and sale of beer and other malt beverages in the United States and FEMSA Cerveza's business related to the importation, distribution and sale of beer in the United States. Under the U.S. Joint Venture Agreement, Labatt and FEMSA Cerveza have 70% and 30% membership interests, respectively, in Labatt USA.</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U.S. Distributor Agreement</w:t>
      </w:r>
    </w:p>
    <w:p>
      <w:pPr>
        <w:spacing w:after="0" w:line="173"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In connection with the U.S. Joint Venture Agreement, Labatt, FEMSA Cerveza and certain of their respective affiliates (including Labatt USA) executed on December 1, 1994 an Exclusive Distributor Agreement (the "U.S. Distributor Agreement"). Under the U.S. Distributor Agreement, Labatt USA was appointed as the sole and exclusive importer, distributor, marketer and seller of CCM's brands in the United States. The term of the U.S. Distributor Agreement is 99 years, unless terminated earlier by FEMSA Cerveza (subject to the terms of the Members Agreement, as defined below) following a change of control of Labatt, a Prolonged Poor Performance (as defined in the Members Agreement) or a reduction of Labatt's shareholding in FEMSA Cerveza to less than 20% (other than a reduction resulting from certain permitted transfers). The U.S. Distributor Agreement requires that CCM and Labatt USA agree on a price for the purchase by Labatt USA of CCM's brands, which provides Labatt USA with a reasonable profit and CCM with a recovery of its costs and a reasonable contribution to overhead and profit.</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Members Agreement</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 connection with the U.S. Joint Venture Agreement, Labatt and FEMSA Cerveza executed a Principal Owners and Members Agreement, dated March 1, 1996, which, together with the limited liability agreements of Labatt USA, governs the relationship of the parties with respect to Labatt USA (the "Members Agreement"). The Members Agreement provides primarily for the events of termination of the U.S. Distributor Agreement, restrictions on transfers of membership interests, exit mechanisms (including certain puts and calls in case of termination of the U.S. Distributor Agreement, a change of control or a reduction of Labatt's shareholding in FEMSA Cerveza to less than 20%), and agreements with regard to certain matters related to the conduct of the business. The Members Agreement also requires a supermajority vote of six of the seven members of the Board of Directors to approve certain matters, such as distribution of profits policy, debt to capitalization ratio and annual marketing plans (including marketing expenses). Two members of the Board of Directors are appointed by FEMSA Cerveza and the other five members are appointed by Labatt. The Members Agreement also grants registration and tag-along rights to Labatt and FEMSA Cerveza with respect to their shareholdings in Labatt USA.</w:t>
      </w:r>
    </w:p>
    <w:p>
      <w:pPr>
        <w:spacing w:after="0" w:line="3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136</w:t>
      </w:r>
    </w:p>
    <w:p>
      <w:pPr>
        <w:sectPr>
          <w:pgSz w:w="11900" w:h="16838" w:orient="portrait"/>
          <w:cols w:equalWidth="0" w:num="1">
            <w:col w:w="10239"/>
          </w:cols>
          <w:pgMar w:left="220" w:top="624" w:right="1440" w:bottom="1440" w:gutter="0" w:footer="0" w:header="0"/>
        </w:sectPr>
      </w:pPr>
    </w:p>
    <w:bookmarkStart w:id="145" w:name="page146"/>
    <w:bookmarkEnd w:id="145"/>
    <w:p>
      <w:pPr>
        <w:ind w:right="3239" w:firstLine="437"/>
        <w:spacing w:after="0" w:line="255" w:lineRule="auto"/>
        <w:rPr>
          <w:sz w:val="20"/>
          <w:szCs w:val="20"/>
          <w:color w:val="auto"/>
        </w:rPr>
      </w:pPr>
      <w:r>
        <w:rPr>
          <w:rFonts w:ascii="Courier New" w:cs="Courier New" w:eastAsia="Courier New" w:hAnsi="Courier New"/>
          <w:sz w:val="14"/>
          <w:szCs w:val="14"/>
          <w:color w:val="auto"/>
        </w:rPr>
        <w:t>The executive committee of Labatt USA consists of five members, one of whom is the Chief Executive Officer of Labatt USA (with no vote), two of whom are appointed by FEMSA Cerveza and two of whom are appointed by Labatt. The executive committee has the authority to advise the joint venture on strategic decisions, such as the approval of senior operating vice presidents and to review, approve and oversee the annual business plan and budget. FEMSA Cerveza has the right to veto certain actions requiring the approval of the Board of Directors of Labatt USA, including the introduction of new lines of business, the acquisition or disposition of assets, the execution of material contracts with affiliates and the marketing expenses for Labatt's brands and CCM's brands.</w:t>
      </w:r>
    </w:p>
    <w:p>
      <w:pPr>
        <w:spacing w:after="0" w:line="1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Oxxo Distribution Agreement</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Pursuant to a distribution agreement (the "Oxxo Distribution Agreement"), dated September 12, 1994, FEMSA Cerveza (acting through certain of its operating subsidiaries) has appointed FEMSA Comercio as a non-exclusive distributor of the beer products produced and sold by CCM, and FEMSA Comercio has agreed to purchase all of its requirements for beer products from FEMSA Cerveza. The terms under which FEMSA Cerveza's products are sold to FEMSA Comercio, including pricing policy, are set forth in the Oxxo Distribution Agreement, provided, however, that if FEMSA Cerveza shall grant to any third party more favorable terms, such terms shall also be granted to FEMSA Comercio. The initial term of the Oxxo Distribution Agreement is ten years, and thereafter shall be automatically renewed for periods of five years, unless there is a material change in market conditions and either party gives notice of termination for that reason. The Oxxo Distribution Agreement may also be terminated in the event of a default or bankruptcy of either party.</w:t>
      </w:r>
    </w:p>
    <w:p>
      <w:pPr>
        <w:spacing w:after="0" w:line="32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Supply Agreement</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In connection with Labatt's investment in FEMSA Cerveza, on September 12, 1994, FEMSA Cerveza's principal operating subsidiaries entered into a supply agreement with FEMSA Empaques (the "FEMSA Cerveza Supply Agreement"). Pursuant to the FEMSA Cerveza Supply Agreement, FEMSA Cerveza has agreed to purchase all of its packaging and similar product requirements from FEMSA Empaques. The FEMSA Cerveza Supply Agreement provides that the transactions pursuant to the agreement will be at competitive prices and that FEMSA Empaques will supply FEMSA Cerveza in a continuous, adequate and reliable manner and at reasonable standards of quality, innovation and levels of service. If FEMSA Empaques is unable to satisfy fully FEMSA Cerveza's packaging requirements from FEMSA Empaques' own production, FEMSA Empaques is required to purchase the additional requirements from third party producers and sell such products to FEMSA Cerveza at the price paid by FEMSA Empaques plus the direct costs incurred by FEMSA Empaques in connection with such purchases. Furthermore, FEMSA Cerveza has granted FEMSA Empaques a "right of first offer" to supply FEMSA Cerveza with new packaging products as and when they are developed by FEMSA Empaques. The term of the FEMSA Cerveza Supply Agreement was extended to December 31, 2003, and the FEMSA Cerveza Supply Agreement will be automatically renewed for successive three-year periods, unless cancelled in accordance with its terms.</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Services Agreement</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1994, FEMSA Servicios and FEMSA Cerveza entered into a services agreement (the "FEMSA Cerveza Services Agreement") pursuant to which FEMSA Servicios provides certain legal, auditing and other management and professional services to FEMSA Cerveza on terms competitive with those of third party providers. The term of the FEMSA Cerveza Services Agreement is indefinite so long as FEMSA Cerveza continues to be a majority-owned subsidiary of Emprex.</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Logistics Management Agreement</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Logistica CCM has agreed with FEMSA Cerveza as of January 2, 1998 to provide it for a term of five years with integrated logistics services for (i) the deployment of raw and other materials (including cans and bottles) from certain suppliers of CCM to CCM's plants and warehouses; (ii) the movement of finished products from CCM's plants to its distribution centers; and (iii) the return of empty bottles to CCM's plants. Logistica CCM also provides maintenance services to CCM's transportation equipment.</w:t>
      </w:r>
    </w:p>
    <w:p>
      <w:pPr>
        <w:spacing w:after="0" w:line="33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137</w:t>
      </w:r>
    </w:p>
    <w:p>
      <w:pPr>
        <w:sectPr>
          <w:pgSz w:w="11900" w:h="16838" w:orient="portrait"/>
          <w:cols w:equalWidth="0" w:num="1">
            <w:col w:w="10239"/>
          </w:cols>
          <w:pgMar w:left="220" w:top="624" w:right="1440" w:bottom="1440" w:gutter="0" w:footer="0" w:header="0"/>
        </w:sectPr>
      </w:pPr>
    </w:p>
    <w:bookmarkStart w:id="146" w:name="page147"/>
    <w:bookmarkEnd w:id="146"/>
    <w:p>
      <w:pPr>
        <w:ind w:left="440"/>
        <w:spacing w:after="0"/>
        <w:rPr>
          <w:sz w:val="20"/>
          <w:szCs w:val="20"/>
          <w:color w:val="auto"/>
        </w:rPr>
      </w:pPr>
      <w:r>
        <w:rPr>
          <w:rFonts w:ascii="Courier New" w:cs="Courier New" w:eastAsia="Courier New" w:hAnsi="Courier New"/>
          <w:sz w:val="15"/>
          <w:szCs w:val="15"/>
          <w:color w:val="auto"/>
        </w:rPr>
        <w:t>Labatt Services Agreement</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Labatt has agreed with CCM as of December 31, 1999 to provide specialized services with respect to beer brewing, including, without limitation, information systems, distribution, operations, brewing, marketing and brand management. The agreement provides for a yearly amount payable in equal monthly installments. The provisions are automatically renewable for a one year term, subject to non-renewal by either party with notice to the other party.</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Coca-Cola FEMSA</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Shareholders' Agreement</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connection with the subscription by Inmex (an indirect subsidiary of The Coca-Cola Company) of 30% of Coca-Cola FEMSA's capital stock, FEMSA and The Coca-Cola Company agreed that Coca-Cola FEMSA would be managed as a joint venture. Accordingly, in June 1993, Emprex (a direct subsidiary of FEMSA), which is the direct holder of the Coca-Cola FEMSA Series A Shares, Inmex and The Coca-Cola Company entered into a shareholders' agreement. As a result of a spin-off (escision ) of Emprex, CIBSA became Coca-Cola FEMSA's sole shareholder. As of July 6, 2002, CIBSA, Emprex and Inmex entered into an amended and restated shareholders' agreement. This agreement was further amended in May 2003 to add as parties, two subsidiaries of The Coca-Cola Company that acquired Coca-Cola FEMSA shares in connection with the acquisition of Panamco (as amended, the "Coca-Cola FEMSA Shareholders' Agreement"). The Coca-Cola FEMSA Shareholder's Agreement together with Coca-Cola FEMSA's bylaws, sets forth the basic rules under which Coca-Cola FEMSA operates.</w:t>
      </w:r>
    </w:p>
    <w:p>
      <w:pPr>
        <w:spacing w:after="0" w:line="16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Coca-Cola FEMSA Shareholders' Agreement gives each of The Coca-Cola Company and CIBSA significant influence in the conduct of Coca-Cola FEMSA's business and gives them, together, the ability to control Coca-Cola FEMSA. CIBSA and The Coca-Cola Company together, or CIBSA acting alone in certain limited circumstances, will thus have the power to determine the outcome of all actions requiring approval by the Board of Directors of Coca-Cola FEMSA, and CIBSA and The Coca-Cola Company together, except in certain limited situations, will have the power to determine the outcome of all actions requiring approval of the shareholders of Coca-Cola FEMSA.</w:t>
      </w:r>
    </w:p>
    <w:p>
      <w:pPr>
        <w:spacing w:after="0" w:line="178"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Coca-Cola FEMSA Shareholders' Agreement sets forth the shareholders' understanding as to the effect of adverse actions taken by The Coca-Cola Company under the bottler agreements as set forth in Coca-Cola FEMSA's bylaws. Coca-Cola FEMSA's bylaws provide that a majority of the Directors appointed by CIBSA, upon making a reasonable, good faith determination that any action taken by The Coca-Cola Company under any bottler agreement between The Coca-Cola Company and Coca-Cola FEMSA or any of its subsidiaries is materially adverse to the business interests of Coca-Cola FEMSA, and the failure by The Coca-Cola Company to cure such action within 60 days of notice thereof, may declare at any time within 90 days after such adverse action a "Simple Majority Period." During the Simple Majority Period, certain decisions, which would ordinarily require the approval of two Directors appointed by The Coca-Cola Company, such as those relating to Coca-Cola FEMSA's business plans and those relating to a new line of business or the termination of an existing line of business, can be made by a simple majority vote of the Board of Directors of Coca-Cola FEMSA without obtaining the approval of any Director appointed by The Coca-Cola Company. A majority of the Directors appointed by CIBSA may terminate a Simple Majority Period, but once having done so, cannot declare another Simple Majority Period within a one-year period following that termination. If a Simple Majority Period persists for more than one year, the provisions of the Coca-Cola FEMSA Shareholders' Agreement addressing resolution of irreconcilable differences may be triggered.</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addition to the rights of first refusal provided for in Coca-Cola FEMSA's bylaws regarding proposed transfers of shares, the Coca-Cola FEMSA Shareholders' Agreement contemplates three circumstances under which either The Coca-Cola Company or CIBSA may purchase the interest of the other shareholder in Coca-Cola FEMSA: (i) a change in control of either Inmex or CIBSA; (ii) the existence of irreconcilable differences between CIBSA and The Coca-Cola Company; or (iii) the occurrence of certain specified defaults.</w:t>
      </w:r>
    </w:p>
    <w:p>
      <w:pPr>
        <w:spacing w:after="0" w:line="33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138</w:t>
      </w:r>
    </w:p>
    <w:p>
      <w:pPr>
        <w:sectPr>
          <w:pgSz w:w="11900" w:h="16838" w:orient="portrait"/>
          <w:cols w:equalWidth="0" w:num="1">
            <w:col w:w="10239"/>
          </w:cols>
          <w:pgMar w:left="220" w:top="617" w:right="1440" w:bottom="1440" w:gutter="0" w:footer="0" w:header="0"/>
        </w:sectPr>
      </w:pPr>
    </w:p>
    <w:bookmarkStart w:id="147" w:name="page148"/>
    <w:bookmarkEnd w:id="147"/>
    <w:p>
      <w:pPr>
        <w:ind w:right="3239" w:firstLine="437"/>
        <w:spacing w:after="0" w:line="254" w:lineRule="auto"/>
        <w:rPr>
          <w:sz w:val="20"/>
          <w:szCs w:val="20"/>
          <w:color w:val="auto"/>
        </w:rPr>
      </w:pPr>
      <w:r>
        <w:rPr>
          <w:rFonts w:ascii="Courier New" w:cs="Courier New" w:eastAsia="Courier New" w:hAnsi="Courier New"/>
          <w:sz w:val="14"/>
          <w:szCs w:val="14"/>
          <w:color w:val="auto"/>
        </w:rPr>
        <w:t>In the event that (i) CIBSA or The Coca-Cola Company buys the other's interest in Coca-Cola FEMSA under any of these circumstances, or (ii) The Coca-Cola Company's or CIBSA's ownership of Coca-Cola FEMSA's shares of capital stock (other than certain limited voting shares) is reduced below 20% of all such shares, and upon the request of the shareholder whose interest is not so reduced, the Coca-Cola FEMSA Shareholders' Agreement requires that Coca-Cola FEMSA's bylaws be amended to eliminate all share transfer restrictions and all super-majority voting and quorum requirements, after which the Coca-Cola FEMSA Shareholders' Agreement would terminate. In the event The Coca-Cola Company's or CIBSA's ownership of Coca-Cola FEMSA's shares of capital stock (other than certain limited voting shares) is reduced below 25% (but not below 20%) of all such shares, and upon the request of the shareholder whose interest is not so reduced, the Coca-Cola FEMSA Shareholders' Agreement requires that Coca-Cola FEMSA's bylaws be amended to eliminate all super-majority voting and quorum requirements, other than those relating to the share transfer restrictions. After elimination of super-majority voting and quorum restrictions upon a reduction of The Coca-Cola Company's ownership, Emprex acting alone could have the power to determine most actions requiring shareholder or board approval by virtue of its ownership of Coca-Cola FEMSA's Series A Shares.</w:t>
      </w:r>
    </w:p>
    <w:p>
      <w:pPr>
        <w:spacing w:after="0" w:line="34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Coca-Cola FEMSA Shareholders' Agreement also contains provisions relating to Coca-Cola FEMSA's growth. It provides that The Coca-Cola Company intends for Coca-Cola FEMSA to be one of a small number of its "anchor" bottlers in Latin America. In particular, the parties agreed that it is desirable for Coca-Cola FEMSA to expand by acquiring additional bottler territories in Mexico and other Latin American countries in the event that any become available ("horizontal growth"). In addition, The Coca-Cola Company has agreed, subject to a number of conditions, that if it obtains ownership of a bottler territory that would fit well within Coca-Cola FEMSA's operations, it will give Coca-Cola FEMSA the option to acquire such territory. The Coca-Cola Company has also agreed to support prudent and sound modifications to Coca-Cola FEMSA's capital structure to support horizontal growth. The Coca-Cola Company's agreement as to horizontal growth would cease to be in effect upon (i) the elimination of certain super-majority voting requirements in the event The Coca-Cola Company's or Emprex's ownership of Coca-Cola FEMSA's shares of capital stock (other than certain limited voting shares) is reduced below 25% of all such shares as described above, or (ii) The Coca-Cola Company's election to terminate the agreement following a specified default.</w:t>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Bottler Agreements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Bottler agreements are the standard contracts that The Coca-Cola Company enters into with bottlers outside the United States for the sale of concentrates for certain Coca-Cola trademark beverages. Coca-Cola FEMSA manufactures, packages, distributes and sells soft drink beverages and bottled water in its Mexican Territories under two Mexican bottler agreements it entered into with The Coca-Cola Company. Coca-Cola FEMSA also manufactures, packages, distributes and sells soft drink beverages and bottled water in its Buenos Aires Territory under its Buenos Aires bottler agreement.</w:t>
      </w:r>
    </w:p>
    <w:p>
      <w:pPr>
        <w:spacing w:after="0" w:line="166"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These bottler agreements provide that Coca-Cola FEMSA will purchase its entire requirement of concentrates for Coca-Cola trademark beverages from The Coca-Cola Company and other authorized suppliers at prices, with terms of payment, and on other terms and conditions of supply as determined from time to time by The Coca-Cola Company at its sole discretion. Although the price multipliers used to calculate the cost of concentrate and the currency of payment, among other terms, are set by The Coca-Cola Company at its sole discretion, Coca-Cola FEMSA sets the price of products sold to retailers at its discretion, subject to the applicability of price restraints. Coca-Cola FEMSA has the exclusive right to distribute Coca-Cola trademark beverages for sale in its territories in authorized containers of the nature prescribed by the bottler agreements and currently used by Coca-Cola FEMSA. These containers include various configurations of cans and returnable and non-returnable bottles made of glass, plastic and fountain containers. See "Item 4. Information on the Company--Coca-Cola FEMSA--Sales."</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bottler agreements include an acknowledgment by Coca-Cola FEMSA that</w:t>
      </w:r>
    </w:p>
    <w:p>
      <w:pPr>
        <w:spacing w:after="0" w:line="237" w:lineRule="auto"/>
        <w:rPr>
          <w:sz w:val="20"/>
          <w:szCs w:val="20"/>
          <w:color w:val="auto"/>
        </w:rPr>
      </w:pPr>
      <w:r>
        <w:rPr>
          <w:rFonts w:ascii="Courier New" w:cs="Courier New" w:eastAsia="Courier New" w:hAnsi="Courier New"/>
          <w:sz w:val="15"/>
          <w:szCs w:val="15"/>
          <w:color w:val="auto"/>
        </w:rPr>
        <w:t>The Coca-Cola Company is the sole owner of the trademarks that identify the</w:t>
      </w:r>
    </w:p>
    <w:p>
      <w:pPr>
        <w:spacing w:after="0" w:line="238" w:lineRule="auto"/>
        <w:rPr>
          <w:sz w:val="20"/>
          <w:szCs w:val="20"/>
          <w:color w:val="auto"/>
        </w:rPr>
      </w:pPr>
      <w:r>
        <w:rPr>
          <w:rFonts w:ascii="Courier New" w:cs="Courier New" w:eastAsia="Courier New" w:hAnsi="Courier New"/>
          <w:sz w:val="15"/>
          <w:szCs w:val="15"/>
          <w:color w:val="auto"/>
        </w:rPr>
        <w:t>Coca-Cola trademark beverages and of the secret formulas with which The</w:t>
      </w:r>
    </w:p>
    <w:p>
      <w:pPr>
        <w:spacing w:after="0" w:line="237" w:lineRule="auto"/>
        <w:rPr>
          <w:sz w:val="20"/>
          <w:szCs w:val="20"/>
          <w:color w:val="auto"/>
        </w:rPr>
      </w:pPr>
      <w:r>
        <w:rPr>
          <w:rFonts w:ascii="Courier New" w:cs="Courier New" w:eastAsia="Courier New" w:hAnsi="Courier New"/>
          <w:sz w:val="15"/>
          <w:szCs w:val="15"/>
          <w:color w:val="auto"/>
        </w:rPr>
        <w:t>Coca-Cola Company's concentrates are made. Subject to Coca-Cola FEMSA's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exclusive right to distribute Coca-Cola trademark beverages in its territories,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Coca-Cola Company reserves the right to import and export Coca-Cola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trademark beverages to and from Mexico and Argentina. Coca-Cola FEMSA's bottler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agreements do not contain restrictions on The Coca-Cola Company's ability to set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price of concentrates charged to bottlers and do not impose minimum</w:t>
      </w:r>
    </w:p>
    <w:p>
      <w:pPr>
        <w:spacing w:after="0" w:line="237" w:lineRule="auto"/>
        <w:rPr>
          <w:sz w:val="20"/>
          <w:szCs w:val="20"/>
          <w:color w:val="auto"/>
        </w:rPr>
      </w:pPr>
      <w:r>
        <w:rPr>
          <w:rFonts w:ascii="Courier New" w:cs="Courier New" w:eastAsia="Courier New" w:hAnsi="Courier New"/>
          <w:sz w:val="15"/>
          <w:szCs w:val="15"/>
          <w:color w:val="auto"/>
        </w:rPr>
        <w:t>marketing obligations on The Coca-Cola Company. The prices at which Coca-Cola</w:t>
      </w:r>
    </w:p>
    <w:p>
      <w:pPr>
        <w:spacing w:after="0" w:line="238" w:lineRule="auto"/>
        <w:rPr>
          <w:sz w:val="20"/>
          <w:szCs w:val="20"/>
          <w:color w:val="auto"/>
        </w:rPr>
      </w:pPr>
      <w:r>
        <w:rPr>
          <w:rFonts w:ascii="Courier New" w:cs="Courier New" w:eastAsia="Courier New" w:hAnsi="Courier New"/>
          <w:sz w:val="15"/>
          <w:szCs w:val="15"/>
          <w:color w:val="auto"/>
        </w:rPr>
        <w:t>FEMSA purchases concentrates under the bottler agreements may vary materially</w:t>
      </w:r>
    </w:p>
    <w:p>
      <w:pPr>
        <w:spacing w:after="0" w:line="237" w:lineRule="auto"/>
        <w:rPr>
          <w:sz w:val="20"/>
          <w:szCs w:val="20"/>
          <w:color w:val="auto"/>
        </w:rPr>
      </w:pPr>
      <w:r>
        <w:rPr>
          <w:rFonts w:ascii="Courier New" w:cs="Courier New" w:eastAsia="Courier New" w:hAnsi="Courier New"/>
          <w:sz w:val="15"/>
          <w:szCs w:val="15"/>
          <w:color w:val="auto"/>
        </w:rPr>
        <w:t>from the prices Coca-Cola FEMSA has historically paid, including during the</w:t>
      </w:r>
    </w:p>
    <w:p>
      <w:pPr>
        <w:spacing w:after="0" w:line="238" w:lineRule="auto"/>
        <w:rPr>
          <w:sz w:val="20"/>
          <w:szCs w:val="20"/>
          <w:color w:val="auto"/>
        </w:rPr>
      </w:pPr>
      <w:r>
        <w:rPr>
          <w:rFonts w:ascii="Courier New" w:cs="Courier New" w:eastAsia="Courier New" w:hAnsi="Courier New"/>
          <w:sz w:val="15"/>
          <w:szCs w:val="15"/>
          <w:color w:val="auto"/>
        </w:rPr>
        <w:t>periods covered by our financial information attached to this Annual Report.</w:t>
      </w:r>
    </w:p>
    <w:p>
      <w:pPr>
        <w:spacing w:after="0" w:line="237" w:lineRule="auto"/>
        <w:rPr>
          <w:sz w:val="20"/>
          <w:szCs w:val="20"/>
          <w:color w:val="auto"/>
        </w:rPr>
      </w:pPr>
      <w:r>
        <w:rPr>
          <w:rFonts w:ascii="Courier New" w:cs="Courier New" w:eastAsia="Courier New" w:hAnsi="Courier New"/>
          <w:sz w:val="15"/>
          <w:szCs w:val="15"/>
          <w:color w:val="auto"/>
        </w:rPr>
        <w:t>Under Coca-Cola FEMSA's bylaws and the shareholders' agreement, however, 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adverse action by The Coca-Cola Company under any of the bottler agreements may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 in a suspension of certain veto rights of the directors ("Series D</w:t>
      </w:r>
    </w:p>
    <w:p>
      <w:pPr>
        <w:spacing w:after="0" w:line="237" w:lineRule="auto"/>
        <w:rPr>
          <w:sz w:val="20"/>
          <w:szCs w:val="20"/>
          <w:color w:val="auto"/>
        </w:rPr>
      </w:pPr>
      <w:r>
        <w:rPr>
          <w:rFonts w:ascii="Courier New" w:cs="Courier New" w:eastAsia="Courier New" w:hAnsi="Courier New"/>
          <w:sz w:val="15"/>
          <w:szCs w:val="15"/>
          <w:color w:val="auto"/>
        </w:rPr>
        <w:t>Directors") appointed by The Coca-Cola Company through Inmex. This provision</w:t>
      </w:r>
    </w:p>
    <w:p>
      <w:pPr>
        <w:spacing w:after="0" w:line="238" w:lineRule="auto"/>
        <w:rPr>
          <w:sz w:val="20"/>
          <w:szCs w:val="20"/>
          <w:color w:val="auto"/>
        </w:rPr>
      </w:pPr>
      <w:r>
        <w:rPr>
          <w:rFonts w:ascii="Courier New" w:cs="Courier New" w:eastAsia="Courier New" w:hAnsi="Courier New"/>
          <w:sz w:val="15"/>
          <w:szCs w:val="15"/>
          <w:color w:val="auto"/>
        </w:rPr>
        <w:t>affords Coca-Cola FEMSA limited protection against The Coca-Cola Company's</w:t>
      </w:r>
    </w:p>
    <w:p>
      <w:pPr>
        <w:spacing w:after="0" w:line="237" w:lineRule="auto"/>
        <w:rPr>
          <w:sz w:val="20"/>
          <w:szCs w:val="20"/>
          <w:color w:val="auto"/>
        </w:rPr>
      </w:pPr>
      <w:r>
        <w:rPr>
          <w:rFonts w:ascii="Courier New" w:cs="Courier New" w:eastAsia="Courier New" w:hAnsi="Courier New"/>
          <w:sz w:val="15"/>
          <w:szCs w:val="15"/>
          <w:color w:val="auto"/>
        </w:rPr>
        <w:t>ability to raise concentrate prices. See "Item 10. Additional</w:t>
      </w:r>
    </w:p>
    <w:p>
      <w:pPr>
        <w:spacing w:after="0" w:line="238" w:lineRule="auto"/>
        <w:rPr>
          <w:sz w:val="20"/>
          <w:szCs w:val="20"/>
          <w:color w:val="auto"/>
        </w:rPr>
      </w:pPr>
      <w:r>
        <w:rPr>
          <w:rFonts w:ascii="Courier New" w:cs="Courier New" w:eastAsia="Courier New" w:hAnsi="Courier New"/>
          <w:sz w:val="15"/>
          <w:szCs w:val="15"/>
          <w:color w:val="auto"/>
        </w:rPr>
        <w:t>Information--Material Contracts--Coca-Cola FEMSA--Shareholders' Agreement.</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139</w:t>
      </w:r>
    </w:p>
    <w:p>
      <w:pPr>
        <w:sectPr>
          <w:pgSz w:w="11900" w:h="16838" w:orient="portrait"/>
          <w:cols w:equalWidth="0" w:num="1">
            <w:col w:w="10239"/>
          </w:cols>
          <w:pgMar w:left="220" w:top="623" w:right="1440" w:bottom="685" w:gutter="0" w:footer="0" w:header="0"/>
        </w:sectPr>
      </w:pPr>
    </w:p>
    <w:bookmarkStart w:id="148" w:name="page149"/>
    <w:bookmarkEnd w:id="148"/>
    <w:p>
      <w:pPr>
        <w:ind w:right="3239" w:firstLine="437"/>
        <w:spacing w:after="0" w:line="254" w:lineRule="auto"/>
        <w:rPr>
          <w:sz w:val="20"/>
          <w:szCs w:val="20"/>
          <w:color w:val="auto"/>
        </w:rPr>
      </w:pPr>
      <w:r>
        <w:rPr>
          <w:rFonts w:ascii="Courier New" w:cs="Courier New" w:eastAsia="Courier New" w:hAnsi="Courier New"/>
          <w:sz w:val="14"/>
          <w:szCs w:val="14"/>
          <w:color w:val="auto"/>
        </w:rPr>
        <w:t>The Coca-Cola Company has the ability, at its sole discretion, to reformulate any of the Coca-Cola trademark beverages and to discontinue any of the Coca-Cola trademark beverages, subject to certain limitations, so long as all Coca-Cola trademark beverages are not discontinued. The Coca-Cola Company may also introduce new beverages in Coca-Cola FEMSA's territories; in that event, Coca-Cola FEMSA will have, under the supplemental agreements discussed below, the right of first refusal with respect to the manufacturing, packaging, distribution and sale of such new beverages subject to the same obligations as then exist with respect to the Coca-Cola trademark beverages under the bottler agreements. The bottler agreements prohibit Coca-Cola FEMSA from producing or handling cola products other than those of The Coca-Cola Company, or other products or packages that would imitate, infringe upon or cause confusion with the products, trade dress, containers or trademarks of The Coca-Cola Company, or from acquiring or holding an interest in a party that engages in such activities. The bottler agreements also prohibit us from bottling any soft drink product except under the authority of, or with the consent of, The Coca-Cola Company. The bottler agreements also impose restrictions concerning the use of certain trademarks, authorized containers, packaging and labeling of The Coca-Cola Company so as to conform to policies prescribed by The Coca-Cola Company. In particular, Coca-Cola FEMSA is obligated to:</w:t>
      </w:r>
    </w:p>
    <w:p>
      <w:pPr>
        <w:spacing w:after="0" w:line="343" w:lineRule="exact"/>
        <w:rPr>
          <w:sz w:val="20"/>
          <w:szCs w:val="20"/>
          <w:color w:val="auto"/>
        </w:rPr>
      </w:pPr>
    </w:p>
    <w:p>
      <w:pPr>
        <w:ind w:left="440" w:right="3059" w:hanging="430"/>
        <w:spacing w:after="0" w:line="236" w:lineRule="auto"/>
        <w:tabs>
          <w:tab w:leader="none" w:pos="178"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-maintain such plant and equipment, staff and distribution facilities as are capable of manufacturing, packaging and distributing the Coca-Cola trademark beverages in authorized containers in accordance with Coca-Cola FEMSA's bottler agreements and in sufficient quantities to satisfy fully the demand for these beverages in Coca-Cola FEMSA's territories;</w:t>
      </w:r>
    </w:p>
    <w:p>
      <w:pPr>
        <w:spacing w:after="0" w:line="173" w:lineRule="exact"/>
        <w:rPr>
          <w:rFonts w:ascii="Courier New" w:cs="Courier New" w:eastAsia="Courier New" w:hAnsi="Courier New"/>
          <w:sz w:val="15"/>
          <w:szCs w:val="15"/>
          <w:color w:val="auto"/>
        </w:rPr>
      </w:pPr>
    </w:p>
    <w:p>
      <w:pPr>
        <w:ind w:left="440" w:right="3399" w:hanging="430"/>
        <w:spacing w:after="0" w:line="234" w:lineRule="auto"/>
        <w:tabs>
          <w:tab w:leader="none" w:pos="178"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-undertake adequate quality control measures prescribed by The Coca-Cola Company;</w:t>
      </w:r>
    </w:p>
    <w:p>
      <w:pPr>
        <w:spacing w:after="0" w:line="173" w:lineRule="exact"/>
        <w:rPr>
          <w:rFonts w:ascii="Courier New" w:cs="Courier New" w:eastAsia="Courier New" w:hAnsi="Courier New"/>
          <w:sz w:val="15"/>
          <w:szCs w:val="15"/>
          <w:color w:val="auto"/>
        </w:rPr>
      </w:pPr>
    </w:p>
    <w:p>
      <w:pPr>
        <w:ind w:left="440" w:right="3399" w:hanging="430"/>
        <w:spacing w:after="0" w:line="235" w:lineRule="auto"/>
        <w:tabs>
          <w:tab w:leader="none" w:pos="178"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-develop, stimulate and satisfy fully the demand for Coca-Cola trademark beverages using all approved means, which include the spending of advertising and other marketing funds;</w:t>
      </w:r>
    </w:p>
    <w:p>
      <w:pPr>
        <w:spacing w:after="0" w:line="173" w:lineRule="exact"/>
        <w:rPr>
          <w:rFonts w:ascii="Courier New" w:cs="Courier New" w:eastAsia="Courier New" w:hAnsi="Courier New"/>
          <w:sz w:val="15"/>
          <w:szCs w:val="15"/>
          <w:color w:val="auto"/>
        </w:rPr>
      </w:pPr>
    </w:p>
    <w:p>
      <w:pPr>
        <w:ind w:left="440" w:right="3319" w:hanging="430"/>
        <w:spacing w:after="0" w:line="235" w:lineRule="auto"/>
        <w:tabs>
          <w:tab w:leader="none" w:pos="178"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-maintain such sound financial capacity as may be reasonably necessary to assure performance by Coca-Cola FEMSA and its affiliates of Coca-Cola FEMSA's obligations to The Coca-Cola Company; and</w:t>
      </w:r>
    </w:p>
    <w:p>
      <w:pPr>
        <w:spacing w:after="0" w:line="173" w:lineRule="exact"/>
        <w:rPr>
          <w:rFonts w:ascii="Courier New" w:cs="Courier New" w:eastAsia="Courier New" w:hAnsi="Courier New"/>
          <w:sz w:val="15"/>
          <w:szCs w:val="15"/>
          <w:color w:val="auto"/>
        </w:rPr>
      </w:pPr>
    </w:p>
    <w:p>
      <w:pPr>
        <w:ind w:left="440" w:right="3499" w:hanging="430"/>
        <w:spacing w:after="0" w:line="261" w:lineRule="auto"/>
        <w:tabs>
          <w:tab w:leader="none" w:pos="178"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submit annually to The Coca-Cola Company, Coca-Cola FEMSA's marketing, management, promotional and advertising plans for the ensuing year.</w:t>
      </w:r>
    </w:p>
    <w:p>
      <w:pPr>
        <w:spacing w:after="0" w:line="160"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Coca-Cola Company has no obligation to participate in expenditures for advertising and marketing, but it may, at its discretion, contribute to such expenditures and undertake independent advertising and marketing activities, as well as cooperative advertising and sales promotion programs that would require Coca-Cola FEMSA's cooperation and support. In each of the past five years, The Coca-Cola Company has contributed approximately half of Coca-Cola FEMSA's advertising and marketing budget in the Mexican Territories and, since September 1994, approximately half of such budget in the Buenos Aires Territory. Although Coca-Cola FEMSA believes that The Coca-Cola Company intends to continue to provide cooperative advertising funds, it is not obligated to do so under the bottler agreements. Consequently, future levels of advertising and marketing support provided by The Coca-Cola Company may vary materially from the levels historically provided. See Item 10. Additional Information--Material Contracts--Coca-Cola FEMSA--Shareholders' Agreement.</w:t>
      </w:r>
    </w:p>
    <w:p>
      <w:pPr>
        <w:spacing w:after="0" w:line="16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Coca-Cola FEMSA's two Mexican bottler agreements have terms of ten years and will each expire on June 20, 2013. The Buenos Aires bottler agreement has a term of ten years and will expire on September 1, 2004. The bottler agreements are automatically renewable for ten-year terms, subject to non-renewal by either party with notice to the other party. The bottler agreements are subject to termination by The Coca-Cola Company in the event of default by Coca-Cola FEMSA. The event of default provisions limiting the change in ownership or control of Coca-Cola FEMSA and the assignment or transfer of the bottler agreements are designed to preclude any person not acceptable to The Coca-Cola Company from obtaining an assignment of a bottler agreement or from acquiring Coca-Cola FEMSA, and are independent of similar rights of Inmex set forth in the Coca-Cola FEMSA shareholders' agreement. These provisions may prevent changes in Coca-Cola FEMSA's principal shareholders (as discussed below), including mergers or acquisitions involving sales or dispositions of Coca-Cola FEMSA's capital stock, without the consent of The Coca-Cola Company. See Item 10. Additional Information--Material Contracts--Coca-Cola FEMSA--Shareholders' Agreement.</w:t>
      </w:r>
    </w:p>
    <w:p>
      <w:pPr>
        <w:spacing w:after="0" w:line="32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140</w:t>
      </w:r>
    </w:p>
    <w:p>
      <w:pPr>
        <w:sectPr>
          <w:pgSz w:w="11900" w:h="16838" w:orient="portrait"/>
          <w:cols w:equalWidth="0" w:num="1">
            <w:col w:w="10239"/>
          </w:cols>
          <w:pgMar w:left="220" w:top="623" w:right="1440" w:bottom="1440" w:gutter="0" w:footer="0" w:header="0"/>
        </w:sectPr>
      </w:pPr>
    </w:p>
    <w:bookmarkStart w:id="149" w:name="page150"/>
    <w:bookmarkEnd w:id="149"/>
    <w:p>
      <w:pPr>
        <w:ind w:right="3319" w:firstLine="437"/>
        <w:spacing w:after="0" w:line="255" w:lineRule="auto"/>
        <w:rPr>
          <w:sz w:val="20"/>
          <w:szCs w:val="20"/>
          <w:color w:val="auto"/>
        </w:rPr>
      </w:pPr>
      <w:r>
        <w:rPr>
          <w:rFonts w:ascii="Courier New" w:cs="Courier New" w:eastAsia="Courier New" w:hAnsi="Courier New"/>
          <w:sz w:val="14"/>
          <w:szCs w:val="14"/>
          <w:color w:val="auto"/>
        </w:rPr>
        <w:t>In connection with Coca-Cola FEMSA's bottler agreements, Coca-Cola FEMSA also entered into a tradename licensing agreement with The Coca-Cola Company on June 21, 1993, pursuant to which Coca-Cola FEMSA is authorized to use certain trademark names of The Coca-Cola Company. The agreement has an indefinite term, but is terminated if Coca-Cola FEMSA ceases to manufacture, market, sell and distribute Coca-Cola products pursuant to the bottler agreements or if the Coca-Cola FEMSA shareholders' agreement is terminated. The Coca-Cola Company also has the right to terminate the license agreement if Coca-Cola FEMSA uses its trademark names in a manner not authorized by the bottler agreements.</w:t>
      </w:r>
    </w:p>
    <w:p>
      <w:pPr>
        <w:spacing w:after="0" w:line="16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Coca-Cola FEMSA entered into two supplemental agreements with The Coca-Cola Company on June 21, 1993 and September 1, 1994, which together clarify and expand certain provisions of Coca-Cola FEMSA's bottler agreements. Among other things, the supplemental agreements:</w:t>
      </w:r>
    </w:p>
    <w:p>
      <w:pPr>
        <w:spacing w:after="0" w:line="169" w:lineRule="exact"/>
        <w:rPr>
          <w:sz w:val="20"/>
          <w:szCs w:val="20"/>
          <w:color w:val="auto"/>
        </w:rPr>
      </w:pPr>
    </w:p>
    <w:p>
      <w:pPr>
        <w:ind w:left="180" w:hanging="170"/>
        <w:spacing w:after="0"/>
        <w:tabs>
          <w:tab w:leader="none" w:pos="18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specify that Coca-Cola FEMSA has a right of first refusal with respect to</w:t>
      </w:r>
    </w:p>
    <w:p>
      <w:pPr>
        <w:spacing w:after="0" w:line="4" w:lineRule="exact"/>
        <w:rPr>
          <w:rFonts w:ascii="Courier New" w:cs="Courier New" w:eastAsia="Courier New" w:hAnsi="Courier New"/>
          <w:sz w:val="15"/>
          <w:szCs w:val="15"/>
          <w:color w:val="auto"/>
        </w:rPr>
      </w:pPr>
    </w:p>
    <w:p>
      <w:pPr>
        <w:ind w:left="440" w:right="349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production and distribution of certain new trademark products of The Coca-Cola Company in the territories;</w:t>
      </w:r>
    </w:p>
    <w:p>
      <w:pPr>
        <w:spacing w:after="0" w:line="173" w:lineRule="exact"/>
        <w:rPr>
          <w:rFonts w:ascii="Courier New" w:cs="Courier New" w:eastAsia="Courier New" w:hAnsi="Courier New"/>
          <w:sz w:val="15"/>
          <w:szCs w:val="15"/>
          <w:color w:val="auto"/>
        </w:rPr>
      </w:pPr>
    </w:p>
    <w:p>
      <w:pPr>
        <w:ind w:left="440" w:right="3239" w:hanging="430"/>
        <w:spacing w:after="0" w:line="234" w:lineRule="auto"/>
        <w:tabs>
          <w:tab w:leader="none" w:pos="178"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-detail the calculation of certain payments upon the occurrence of certain breaches;</w:t>
      </w:r>
    </w:p>
    <w:p>
      <w:pPr>
        <w:spacing w:after="0" w:line="166"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describe certain rights of first negotiation and first refusal of The</w:t>
      </w:r>
    </w:p>
    <w:p>
      <w:pPr>
        <w:ind w:left="4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Coca-Cola Company upon termination of any of the bottler agreements;</w:t>
      </w:r>
    </w:p>
    <w:p>
      <w:pPr>
        <w:spacing w:after="0" w:line="173" w:lineRule="exact"/>
        <w:rPr>
          <w:rFonts w:ascii="Courier New" w:cs="Courier New" w:eastAsia="Courier New" w:hAnsi="Courier New"/>
          <w:sz w:val="15"/>
          <w:szCs w:val="15"/>
          <w:color w:val="auto"/>
        </w:rPr>
      </w:pPr>
    </w:p>
    <w:p>
      <w:pPr>
        <w:ind w:left="440" w:right="3059" w:hanging="430"/>
        <w:spacing w:after="0" w:line="234" w:lineRule="auto"/>
        <w:tabs>
          <w:tab w:leader="none" w:pos="178"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-set forth procedural details for notification and communication relating to specific provisions of the bottler agreements; and</w:t>
      </w:r>
    </w:p>
    <w:p>
      <w:pPr>
        <w:spacing w:after="0" w:line="173" w:lineRule="exact"/>
        <w:rPr>
          <w:rFonts w:ascii="Courier New" w:cs="Courier New" w:eastAsia="Courier New" w:hAnsi="Courier New"/>
          <w:sz w:val="15"/>
          <w:szCs w:val="15"/>
          <w:color w:val="auto"/>
        </w:rPr>
      </w:pPr>
    </w:p>
    <w:p>
      <w:pPr>
        <w:ind w:left="440" w:right="3499" w:hanging="430"/>
        <w:spacing w:after="0" w:line="235" w:lineRule="auto"/>
        <w:tabs>
          <w:tab w:leader="none" w:pos="178"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that The Coca-Cola Company may authorize other distributors of fountain syrup within the territories and will reimburse Coca-Cola FEMSA for documented costs relating to enforcement actions to protect certain trademarks of The Coca-Cola Company.</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arrangements between The Coca-Cola Company and the Panamco bottling territories are also governed by bottler agreements. These agreements have different expiration dates and provide The Coca-Cola Company with rights and protections that are similar to those provided to it under Coca-Cola FEMSA's bottler agreements. The bottler agreements covering Panamco's Mexican Territories have a uniform term ending in 2005, while the Panamco bottler agreements in Guatemala, Nicaragua, Costa Rica, Panama, Venezuela, Colombia and Brazil have five year terms.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FEMSA Empaques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Ball Licensing Agreement</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Famosa has entered into a number of licensing agreements pursuant to which it has licensed technology pertaining to the manufacture of can bodies and can ends. Effective as of April 1, 2002, Famosa entered into a new Proprietary Technology Licensing Agreement between Ball and Famosa (the "Ball Licensing Agreement"). The terms and conditions of the new Ball Licensing Agreement are basically the same as those contained in the licensing agreement dated as of January 1, 1997. Famosa continues to have the exclusive right to use, in Mexico, technology developed by Ball for the manufacture of drawn and ironed aluminum and tin-plated steel cans and convenience end closures for such cans for beer and soft drink products. The Ball Licensing Agreement also provides Famosa with a non-exclusive right to sell such cans and end closures manufactured pursuant to the Ball Licensing Agreement throughout the world, other than in the United States and Canada. In addition, the Ball Licensing Agreement incorporates the terms of the Proprietary Technology Cross Licensing Agreement executed with Ball on January 1, 1997 (the "Cross Licensing Agreement") pursuant to which Famosa obtained, for as long as the Ball Licensing Agreement is exclusive, an exclusive right to use technology developed by Ball's other licensees with respect to the manufacture of cans and can ends. The term of the Ball Licensing Agreement shall expire March 31, 2007.</w:t>
      </w:r>
    </w:p>
    <w:p>
      <w:pPr>
        <w:spacing w:after="0" w:line="200" w:lineRule="exact"/>
        <w:rPr>
          <w:sz w:val="20"/>
          <w:szCs w:val="20"/>
          <w:color w:val="auto"/>
        </w:rPr>
      </w:pPr>
    </w:p>
    <w:p>
      <w:pPr>
        <w:spacing w:after="0" w:line="30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141</w:t>
      </w:r>
    </w:p>
    <w:p>
      <w:pPr>
        <w:sectPr>
          <w:pgSz w:w="11900" w:h="16838" w:orient="portrait"/>
          <w:cols w:equalWidth="0" w:num="1">
            <w:col w:w="10239"/>
          </w:cols>
          <w:pgMar w:left="220" w:top="624" w:right="1440" w:bottom="1440" w:gutter="0" w:footer="0" w:header="0"/>
        </w:sectPr>
      </w:pPr>
    </w:p>
    <w:bookmarkStart w:id="150" w:name="page151"/>
    <w:bookmarkEnd w:id="150"/>
    <w:p>
      <w:pPr>
        <w:ind w:left="440"/>
        <w:spacing w:after="0"/>
        <w:rPr>
          <w:sz w:val="20"/>
          <w:szCs w:val="20"/>
          <w:color w:val="auto"/>
        </w:rPr>
      </w:pPr>
      <w:r>
        <w:rPr>
          <w:rFonts w:ascii="Courier New" w:cs="Courier New" w:eastAsia="Courier New" w:hAnsi="Courier New"/>
          <w:sz w:val="15"/>
          <w:szCs w:val="15"/>
          <w:color w:val="auto"/>
        </w:rPr>
        <w:t>Glass Technology Agreement</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Sivesa entered into an Advanced Technology Agreement dated July 21, 1987, as amended on July 7, 1992 (the "Advanced Technology Agreement"), with Glastechnik Winckler &amp; Co. GMBH ("Glastechnik"), a German company based in Hamburg, Germany and Heye Glass, a German limited partnership based in Obernkirchen, Germany. Under the Advanced Technology Agreement, Heye Glass undertook to train the technical personnel of Sivesa in the operation and maintenance of certain equipment provided by Glastechnik, and to supervise and assist during the construction and commissioning of such equipment. The Advanced Technology Agreement was renewed before its expiration and is effective until July 20, 2009.</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Logistics Management Agreement</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As of January 2000, FEMSA Logistica has agreed to provide FEMSA Empaques, for a term of 5 years, with integrated logistics services for the deployment of beverage cans from FEMSA Empaques' Toluca beverage can plant to CCM's Orizaba plant.</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Logistica</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Oracle License Agreement</w:t>
      </w:r>
    </w:p>
    <w:p>
      <w:pPr>
        <w:spacing w:after="0" w:line="173"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In August 2000, FEMSA Logistica entered into a license agreement with Oracle, that grants FEMSA Logistica a perpetual license to use the following three modules in order to build an electronic logistics and transportation exchange: (a) the marketplace module, an electronic platform for sale transactions over the internet; (b) the supply chain module, an electronic platform that allows participants within the supply chain to participate in inventory management and other logistics operations; and (c) the logistics module, an electronic platform for the direct purchase of freight services by bidding or catalog sales. The agreement requires an initial payment by FEMSA Logistica of approximately US$1.3 million, but additional license payments may be required if volume on the three exchanges exceeds specified levels.</w:t>
      </w:r>
    </w:p>
    <w:p>
      <w:pPr>
        <w:spacing w:after="0" w:line="15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Perfil Corporativo</w:t>
      </w:r>
    </w:p>
    <w:p>
      <w:pPr>
        <w:spacing w:after="0" w:line="173"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On November 2, 2001, Coca-Cola FEMSA entered into two franchise bottling agreements with Promotora de Marcas Nacionales, S.A. de C.V., a subsidiary of Perfil Corporativo, under which Coca-Cola FEMSA became the sole franchisee for the production, bottling, distribution and sale of Mundet brands in the Valley of Mexico and most of its Southeast Mexico Territory. Each franchise agreement has a term of ten years and will expire on November 2, 2011. The bottling provisions are automatically renewable for ten-year terms, subject to non-renewal by either party with notice to the other party. Other terms and conditions of the franchise agreements are similar to the current arrangements that Coca-Cola FEMSA has entered into with The Coca-Cola Company for the bottling and distribution of Coca-Cola trademark soft drink beverages.</w:t>
      </w:r>
    </w:p>
    <w:p>
      <w:pPr>
        <w:spacing w:after="0" w:line="158"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Documents on Display</w:t>
      </w:r>
    </w:p>
    <w:p>
      <w:pPr>
        <w:spacing w:after="0" w:line="173"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The materials referred to in this Annual Report, the Annual Report itself and the exhibits hereto, may be inspected and copied at the SEC's public reference room in Washington, D.C. Please call the SEC at 1-800-SEC-0330 for further information on the public reference room. In addition, we began making filings with the SEC Electronic Data Gathering, Analysis and Retrieval System ("EDGAR") in 2002. Any filings made electronically will be available to the public over the internet at the SEC's web site at http://www.sec.gov.</w:t>
      </w:r>
    </w:p>
    <w:p>
      <w:pPr>
        <w:spacing w:after="0" w:line="200" w:lineRule="exact"/>
        <w:rPr>
          <w:sz w:val="20"/>
          <w:szCs w:val="20"/>
          <w:color w:val="auto"/>
        </w:rPr>
      </w:pPr>
    </w:p>
    <w:p>
      <w:pPr>
        <w:spacing w:after="0" w:line="29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142</w:t>
      </w:r>
    </w:p>
    <w:p>
      <w:pPr>
        <w:sectPr>
          <w:pgSz w:w="11900" w:h="16838" w:orient="portrait"/>
          <w:cols w:equalWidth="0" w:num="1">
            <w:col w:w="10239"/>
          </w:cols>
          <w:pgMar w:left="220" w:top="617" w:right="1440" w:bottom="1440" w:gutter="0" w:footer="0" w:header="0"/>
        </w:sectPr>
      </w:pPr>
    </w:p>
    <w:bookmarkStart w:id="151" w:name="page152"/>
    <w:bookmarkEnd w:id="151"/>
    <w:p>
      <w:pPr>
        <w:spacing w:after="0"/>
        <w:rPr>
          <w:sz w:val="20"/>
          <w:szCs w:val="20"/>
          <w:color w:val="auto"/>
        </w:rPr>
      </w:pPr>
      <w:r>
        <w:rPr>
          <w:rFonts w:ascii="Courier New" w:cs="Courier New" w:eastAsia="Courier New" w:hAnsi="Courier New"/>
          <w:sz w:val="15"/>
          <w:szCs w:val="15"/>
          <w:color w:val="auto"/>
        </w:rPr>
        <w:t>ITEM 11. QUANTITATIVE AND QUALITATIVE DISCLOSURES ABOUT MARKET RISK</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Our business activities require the holding or issuing of financial instruments that expose us to market risks related to changes in interest rates, foreign currency exchange rates, equity risk and commodity price risk.</w:t>
      </w:r>
    </w:p>
    <w:p>
      <w:pPr>
        <w:spacing w:after="0" w:line="167"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Interest Rate Risk</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Interest rate risk exists principally with respect to our indebtedness that bears interest at floating rates. At December 31, 2002, we had outstanding indebtedness of Ps. 10,679 million, of which 29.8% bore interest at fixed interest rates and 70.2% bore interest at variable interest rates. Swap contracts held by us effectively switch a portion of our variable-rate indebtedness into fixed-rate indebtedness. Consequently, as of December 31, 2002 we had 50.6% of fixed-rate debt and 49.4% of variable-rate debt. The interest rate on our variable rate debt is determined by reference to LIBOR, Cetes, U.S. treasury bonds and TIIE (the Tasa de Interes Interbancaria de Equilibrio or Equilibrium Interbank Interest Rate). If these reference rates increase, our interest payments would consequently increase.</w:t>
      </w:r>
    </w:p>
    <w:p>
      <w:pPr>
        <w:spacing w:after="0" w:line="180"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table below provides information about our financial instruments that are sensitive to changes in interest rates, including interest rate swaps and debt obligations. For debt obligations, the table presents principal payments and related weighted average interest rates by expected maturity dates. For interest rate swaps, the table presents notional amounts and weighted average interest rates by expected (contractual) maturity dates. Notional amounts are used to calculate the contractual payments to be exchanged under the contract. Weighted average variable rates are based on the reference rates on December 31, 2002, plus spreads, contracted by us. The instruments' actual payments are denominated in U.S. Dollars and Pesos. All the payments in the table are presented in Pesos, our reporting currency, utilizing the December 31, 2002 exchange rate of 10.459 Pesos per U.S. Dollar.</w:t>
      </w:r>
    </w:p>
    <w:p>
      <w:pPr>
        <w:spacing w:after="0" w:line="16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table below also includes the fair value of long-term bank loans and syndicated loans which is based on the discounted value of contractual cash flows. The discount rate is estimated using rates currently offered for debt with similar terms and remaining maturities. Furthermore, the fair value of long-term notes payable is based on quoted market prices, and the fair value of the interest rate swaps is estimated based on quoted market prices to terminate the contracts on December 31, 2002. As of December 31, 2002, this represents an additional payment amount of Ps. 123 million.</w:t>
      </w:r>
    </w:p>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143</w:t>
      </w:r>
    </w:p>
    <w:p>
      <w:pPr>
        <w:sectPr>
          <w:pgSz w:w="11900" w:h="16838" w:orient="portrait"/>
          <w:cols w:equalWidth="0" w:num="1">
            <w:col w:w="10239"/>
          </w:cols>
          <w:pgMar w:left="220" w:top="953" w:right="1440" w:bottom="1440" w:gutter="0" w:footer="0" w:header="0"/>
        </w:sectPr>
      </w:pPr>
    </w:p>
    <w:bookmarkStart w:id="152" w:name="page153"/>
    <w:bookmarkEnd w:id="152"/>
    <w:p>
      <w:pPr>
        <w:jc w:val="center"/>
        <w:ind w:right="3140"/>
        <w:spacing w:after="0"/>
        <w:rPr>
          <w:sz w:val="20"/>
          <w:szCs w:val="20"/>
          <w:color w:val="auto"/>
        </w:rPr>
      </w:pPr>
      <w:r>
        <w:rPr>
          <w:rFonts w:ascii="Courier New" w:cs="Courier New" w:eastAsia="Courier New" w:hAnsi="Courier New"/>
          <w:sz w:val="15"/>
          <w:szCs w:val="15"/>
          <w:color w:val="auto"/>
        </w:rPr>
        <w:t>Principal by Year of Maturity</w:t>
      </w:r>
    </w:p>
    <w:p>
      <w:pPr>
        <w:jc w:val="center"/>
        <w:ind w:right="3220"/>
        <w:spacing w:after="0" w:line="237" w:lineRule="auto"/>
        <w:rPr>
          <w:sz w:val="20"/>
          <w:szCs w:val="20"/>
          <w:color w:val="auto"/>
        </w:rPr>
      </w:pPr>
      <w:r>
        <w:rPr>
          <w:rFonts w:ascii="Courier New" w:cs="Courier New" w:eastAsia="Courier New" w:hAnsi="Courier New"/>
          <w:sz w:val="15"/>
          <w:szCs w:val="15"/>
          <w:color w:val="auto"/>
        </w:rPr>
        <w:t>At December 31, 2002</w:t>
      </w:r>
    </w:p>
    <w:p>
      <w:pPr>
        <w:jc w:val="center"/>
        <w:ind w:right="3220"/>
        <w:spacing w:after="0" w:line="238" w:lineRule="auto"/>
        <w:rPr>
          <w:sz w:val="20"/>
          <w:szCs w:val="20"/>
          <w:color w:val="auto"/>
        </w:rPr>
      </w:pPr>
      <w:r>
        <w:rPr>
          <w:rFonts w:ascii="Courier New" w:cs="Courier New" w:eastAsia="Courier New" w:hAnsi="Courier New"/>
          <w:sz w:val="15"/>
          <w:szCs w:val="15"/>
          <w:color w:val="auto"/>
        </w:rPr>
        <w:t>Millions of Constant Pesos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At December 31,</w:t>
            </w:r>
          </w:p>
        </w:tc>
      </w:tr>
      <w:tr>
        <w:trPr>
          <w:trHeight w:val="168"/>
        </w:trPr>
        <w:tc>
          <w:tcPr>
            <w:tcW w:w="2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360" w:type="dxa"/>
            <w:vAlign w:val="bottom"/>
            <w:gridSpan w:val="3"/>
          </w:tcPr>
          <w:p>
            <w:pPr>
              <w:jc w:val="right"/>
              <w:ind w:right="187"/>
              <w:spacing w:after="0" w:line="168" w:lineRule="exact"/>
              <w:rPr>
                <w:sz w:val="20"/>
                <w:szCs w:val="20"/>
                <w:color w:val="auto"/>
              </w:rPr>
            </w:pPr>
            <w:r>
              <w:rPr>
                <w:rFonts w:ascii="Courier New" w:cs="Courier New" w:eastAsia="Courier New" w:hAnsi="Courier New"/>
                <w:sz w:val="15"/>
                <w:szCs w:val="15"/>
                <w:color w:val="auto"/>
              </w:rPr>
              <w:t>At December 31, 2002</w:t>
            </w: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2001</w:t>
            </w:r>
          </w:p>
        </w:tc>
        <w:tc>
          <w:tcPr>
            <w:tcW w:w="560" w:type="dxa"/>
            <w:vAlign w:val="bottom"/>
          </w:tcPr>
          <w:p>
            <w:pPr>
              <w:spacing w:after="0"/>
              <w:rPr>
                <w:sz w:val="14"/>
                <w:szCs w:val="14"/>
                <w:color w:val="auto"/>
              </w:rPr>
            </w:pPr>
          </w:p>
        </w:tc>
      </w:tr>
      <w:tr>
        <w:trPr>
          <w:trHeight w:val="168"/>
        </w:trPr>
        <w:tc>
          <w:tcPr>
            <w:tcW w:w="2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4"/>
              </w:rPr>
              <w:t>2008</w:t>
            </w:r>
          </w:p>
        </w:tc>
        <w:tc>
          <w:tcPr>
            <w:tcW w:w="5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and</w:t>
            </w:r>
          </w:p>
        </w:tc>
        <w:tc>
          <w:tcPr>
            <w:tcW w:w="660" w:type="dxa"/>
            <w:vAlign w:val="bottom"/>
          </w:tcPr>
          <w:p>
            <w:pPr>
              <w:spacing w:after="0"/>
              <w:rPr>
                <w:sz w:val="14"/>
                <w:szCs w:val="14"/>
                <w:color w:val="auto"/>
              </w:rPr>
            </w:pPr>
          </w:p>
        </w:tc>
        <w:tc>
          <w:tcPr>
            <w:tcW w:w="8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Fair</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Carrying</w:t>
            </w:r>
          </w:p>
        </w:tc>
        <w:tc>
          <w:tcPr>
            <w:tcW w:w="5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Fair</w:t>
            </w:r>
          </w:p>
        </w:tc>
      </w:tr>
      <w:tr>
        <w:trPr>
          <w:trHeight w:val="168"/>
        </w:trPr>
        <w:tc>
          <w:tcPr>
            <w:tcW w:w="210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2003</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2004</w:t>
            </w:r>
          </w:p>
        </w:tc>
        <w:tc>
          <w:tcPr>
            <w:tcW w:w="780" w:type="dxa"/>
            <w:vAlign w:val="bottom"/>
          </w:tcPr>
          <w:p>
            <w:pPr>
              <w:jc w:val="center"/>
              <w:ind w:left="207"/>
              <w:spacing w:after="0" w:line="168" w:lineRule="exact"/>
              <w:rPr>
                <w:sz w:val="20"/>
                <w:szCs w:val="20"/>
                <w:color w:val="auto"/>
              </w:rPr>
            </w:pPr>
            <w:r>
              <w:rPr>
                <w:rFonts w:ascii="Courier New" w:cs="Courier New" w:eastAsia="Courier New" w:hAnsi="Courier New"/>
                <w:sz w:val="15"/>
                <w:szCs w:val="15"/>
                <w:color w:val="auto"/>
                <w:w w:val="94"/>
              </w:rPr>
              <w:t>2005</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2006</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2007</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thereafter</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w:t>
            </w:r>
          </w:p>
        </w:tc>
        <w:tc>
          <w:tcPr>
            <w:tcW w:w="8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Value</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Value</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Value</w:t>
            </w:r>
          </w:p>
        </w:tc>
      </w:tr>
      <w:tr>
        <w:trPr>
          <w:trHeight w:val="168"/>
        </w:trPr>
        <w:tc>
          <w:tcPr>
            <w:tcW w:w="210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center"/>
              <w:ind w:left="207"/>
              <w:spacing w:after="0" w:line="168" w:lineRule="exact"/>
              <w:rPr>
                <w:sz w:val="20"/>
                <w:szCs w:val="20"/>
                <w:color w:val="auto"/>
              </w:rPr>
            </w:pPr>
            <w:r>
              <w:rPr>
                <w:rFonts w:ascii="Courier New" w:cs="Courier New" w:eastAsia="Courier New" w:hAnsi="Courier New"/>
                <w:sz w:val="15"/>
                <w:szCs w:val="15"/>
                <w:color w:val="auto"/>
                <w:w w:val="94"/>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w w:val="99"/>
              </w:rPr>
              <w:t>----------</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100" w:type="dxa"/>
            <w:vAlign w:val="bottom"/>
          </w:tcPr>
          <w:p>
            <w:pPr>
              <w:spacing w:after="0"/>
              <w:rPr>
                <w:sz w:val="20"/>
                <w:szCs w:val="20"/>
                <w:color w:val="auto"/>
              </w:rPr>
            </w:pPr>
            <w:r>
              <w:rPr>
                <w:rFonts w:ascii="Courier New" w:cs="Courier New" w:eastAsia="Courier New" w:hAnsi="Courier New"/>
                <w:sz w:val="15"/>
                <w:szCs w:val="15"/>
                <w:color w:val="auto"/>
              </w:rPr>
              <w:t>Fixed Rate Debt</w:t>
            </w: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2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U.S. Dollars.........</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1,046</w:t>
            </w:r>
          </w:p>
        </w:tc>
        <w:tc>
          <w:tcPr>
            <w:tcW w:w="780" w:type="dxa"/>
            <w:vAlign w:val="bottom"/>
          </w:tcPr>
          <w:p>
            <w:pPr>
              <w:jc w:val="center"/>
              <w:ind w:left="207"/>
              <w:spacing w:after="0" w:line="168" w:lineRule="exact"/>
              <w:rPr>
                <w:sz w:val="20"/>
                <w:szCs w:val="20"/>
                <w:color w:val="auto"/>
              </w:rPr>
            </w:pPr>
            <w:r>
              <w:rPr>
                <w:rFonts w:ascii="Courier New" w:cs="Courier New" w:eastAsia="Courier New" w:hAnsi="Courier New"/>
                <w:sz w:val="15"/>
                <w:szCs w:val="15"/>
                <w:color w:val="auto"/>
                <w:w w:val="99"/>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2,092</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5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3,180</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3,601</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2,994</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3,314</w:t>
            </w:r>
          </w:p>
        </w:tc>
      </w:tr>
      <w:tr>
        <w:trPr>
          <w:trHeight w:val="168"/>
        </w:trPr>
        <w:tc>
          <w:tcPr>
            <w:tcW w:w="2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jc w:val="center"/>
              <w:ind w:left="207"/>
              <w:spacing w:after="0" w:line="168" w:lineRule="exact"/>
              <w:rPr>
                <w:sz w:val="20"/>
                <w:szCs w:val="20"/>
                <w:color w:val="auto"/>
              </w:rPr>
            </w:pPr>
            <w:r>
              <w:rPr>
                <w:rFonts w:ascii="Courier New" w:cs="Courier New" w:eastAsia="Courier New" w:hAnsi="Courier New"/>
                <w:sz w:val="15"/>
                <w:szCs w:val="15"/>
                <w:color w:val="auto"/>
                <w:w w:val="99"/>
              </w:rPr>
              <w:t>--</w:t>
            </w:r>
          </w:p>
        </w:tc>
        <w:tc>
          <w:tcPr>
            <w:tcW w:w="6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5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2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Weighted average</w:t>
            </w: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2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rate.................</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w:t>
            </w:r>
          </w:p>
        </w:tc>
        <w:tc>
          <w:tcPr>
            <w:tcW w:w="780" w:type="dxa"/>
            <w:vAlign w:val="bottom"/>
          </w:tcPr>
          <w:p>
            <w:pPr>
              <w:jc w:val="center"/>
              <w:ind w:left="207"/>
              <w:spacing w:after="0" w:line="168" w:lineRule="exact"/>
              <w:rPr>
                <w:sz w:val="20"/>
                <w:szCs w:val="20"/>
                <w:color w:val="auto"/>
              </w:rPr>
            </w:pPr>
            <w:r>
              <w:rPr>
                <w:rFonts w:ascii="Courier New" w:cs="Courier New" w:eastAsia="Courier New" w:hAnsi="Courier New"/>
                <w:sz w:val="15"/>
                <w:szCs w:val="15"/>
                <w:color w:val="auto"/>
                <w:w w:val="99"/>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5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9.1%</w:t>
            </w:r>
          </w:p>
        </w:tc>
        <w:tc>
          <w:tcPr>
            <w:tcW w:w="88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9.0%</w:t>
            </w:r>
          </w:p>
        </w:tc>
        <w:tc>
          <w:tcPr>
            <w:tcW w:w="560" w:type="dxa"/>
            <w:vAlign w:val="bottom"/>
          </w:tcPr>
          <w:p>
            <w:pPr>
              <w:spacing w:after="0"/>
              <w:rPr>
                <w:sz w:val="14"/>
                <w:szCs w:val="14"/>
                <w:color w:val="auto"/>
              </w:rPr>
            </w:pPr>
          </w:p>
        </w:tc>
      </w:tr>
      <w:tr>
        <w:trPr>
          <w:trHeight w:val="168"/>
        </w:trPr>
        <w:tc>
          <w:tcPr>
            <w:tcW w:w="2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jc w:val="center"/>
              <w:ind w:left="207"/>
              <w:spacing w:after="0" w:line="168" w:lineRule="exact"/>
              <w:rPr>
                <w:sz w:val="20"/>
                <w:szCs w:val="20"/>
                <w:color w:val="auto"/>
              </w:rPr>
            </w:pPr>
            <w:r>
              <w:rPr>
                <w:rFonts w:ascii="Courier New" w:cs="Courier New" w:eastAsia="Courier New" w:hAnsi="Courier New"/>
                <w:sz w:val="15"/>
                <w:szCs w:val="15"/>
                <w:color w:val="auto"/>
                <w:w w:val="99"/>
              </w:rPr>
              <w:t>--</w:t>
            </w:r>
          </w:p>
        </w:tc>
        <w:tc>
          <w:tcPr>
            <w:tcW w:w="6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5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336"/>
        </w:trPr>
        <w:tc>
          <w:tcPr>
            <w:tcW w:w="2100" w:type="dxa"/>
            <w:vAlign w:val="bottom"/>
          </w:tcPr>
          <w:p>
            <w:pPr>
              <w:spacing w:after="0"/>
              <w:rPr>
                <w:sz w:val="20"/>
                <w:szCs w:val="20"/>
                <w:color w:val="auto"/>
              </w:rPr>
            </w:pPr>
            <w:r>
              <w:rPr>
                <w:rFonts w:ascii="Courier New" w:cs="Courier New" w:eastAsia="Courier New" w:hAnsi="Courier New"/>
                <w:sz w:val="15"/>
                <w:szCs w:val="15"/>
                <w:color w:val="auto"/>
              </w:rPr>
              <w:t>Variable Rate Debt</w:t>
            </w: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8"/>
        </w:trPr>
        <w:tc>
          <w:tcPr>
            <w:tcW w:w="2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U.S. Dollars.........</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654</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2,319</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682</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513</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w:t>
            </w:r>
          </w:p>
        </w:tc>
        <w:tc>
          <w:tcPr>
            <w:tcW w:w="620" w:type="dxa"/>
            <w:vAlign w:val="bottom"/>
          </w:tcPr>
          <w:p>
            <w:pPr>
              <w:spacing w:after="0"/>
              <w:rPr>
                <w:sz w:val="14"/>
                <w:szCs w:val="14"/>
                <w:color w:val="auto"/>
              </w:rPr>
            </w:pPr>
          </w:p>
        </w:tc>
        <w:tc>
          <w:tcPr>
            <w:tcW w:w="5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62</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4,299</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4,412</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3,646</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3,701</w:t>
            </w:r>
          </w:p>
        </w:tc>
      </w:tr>
      <w:tr>
        <w:trPr>
          <w:trHeight w:val="168"/>
        </w:trPr>
        <w:tc>
          <w:tcPr>
            <w:tcW w:w="2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Weighted average</w:t>
            </w: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2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rate.................</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6.7%</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w:t>
            </w:r>
          </w:p>
        </w:tc>
        <w:tc>
          <w:tcPr>
            <w:tcW w:w="11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2.0%</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5.7%</w:t>
            </w:r>
          </w:p>
        </w:tc>
        <w:tc>
          <w:tcPr>
            <w:tcW w:w="88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6.9%</w:t>
            </w:r>
          </w:p>
        </w:tc>
        <w:tc>
          <w:tcPr>
            <w:tcW w:w="560" w:type="dxa"/>
            <w:vAlign w:val="bottom"/>
          </w:tcPr>
          <w:p>
            <w:pPr>
              <w:spacing w:after="0"/>
              <w:rPr>
                <w:sz w:val="14"/>
                <w:szCs w:val="14"/>
                <w:color w:val="auto"/>
              </w:rPr>
            </w:pPr>
          </w:p>
        </w:tc>
      </w:tr>
      <w:tr>
        <w:trPr>
          <w:trHeight w:val="168"/>
        </w:trPr>
        <w:tc>
          <w:tcPr>
            <w:tcW w:w="2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Pesos................</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180</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180</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680</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910</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1,250</w:t>
            </w:r>
          </w:p>
        </w:tc>
        <w:tc>
          <w:tcPr>
            <w:tcW w:w="620" w:type="dxa"/>
            <w:vAlign w:val="bottom"/>
          </w:tcPr>
          <w:p>
            <w:pPr>
              <w:spacing w:after="0"/>
              <w:rPr>
                <w:sz w:val="14"/>
                <w:szCs w:val="14"/>
                <w:color w:val="auto"/>
              </w:rPr>
            </w:pPr>
          </w:p>
        </w:tc>
        <w:tc>
          <w:tcPr>
            <w:tcW w:w="5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77"/>
              </w:rPr>
              <w:t>--</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3,200</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3,197</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846</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846</w:t>
            </w:r>
          </w:p>
        </w:tc>
      </w:tr>
      <w:tr>
        <w:trPr>
          <w:trHeight w:val="168"/>
        </w:trPr>
        <w:tc>
          <w:tcPr>
            <w:tcW w:w="2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77"/>
              </w:rPr>
              <w:t>--</w:t>
            </w: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2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Weighted average</w:t>
            </w: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2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rate.................</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w:t>
            </w:r>
          </w:p>
        </w:tc>
        <w:tc>
          <w:tcPr>
            <w:tcW w:w="700" w:type="dxa"/>
            <w:vAlign w:val="bottom"/>
          </w:tcPr>
          <w:p>
            <w:pPr>
              <w:spacing w:after="0"/>
              <w:rPr>
                <w:sz w:val="14"/>
                <w:szCs w:val="14"/>
                <w:color w:val="auto"/>
              </w:rPr>
            </w:pPr>
          </w:p>
        </w:tc>
        <w:tc>
          <w:tcPr>
            <w:tcW w:w="14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w w:val="94"/>
              </w:rPr>
              <w:t>7.1%   8.4%</w:t>
            </w:r>
          </w:p>
        </w:tc>
        <w:tc>
          <w:tcPr>
            <w:tcW w:w="9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w w:val="94"/>
              </w:rPr>
              <w:t>8.6%</w:t>
            </w: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8.8%</w:t>
            </w:r>
          </w:p>
        </w:tc>
        <w:tc>
          <w:tcPr>
            <w:tcW w:w="5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8.5%</w:t>
            </w:r>
          </w:p>
        </w:tc>
        <w:tc>
          <w:tcPr>
            <w:tcW w:w="88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7.0%</w:t>
            </w:r>
          </w:p>
        </w:tc>
        <w:tc>
          <w:tcPr>
            <w:tcW w:w="560" w:type="dxa"/>
            <w:vAlign w:val="bottom"/>
          </w:tcPr>
          <w:p>
            <w:pPr>
              <w:spacing w:after="0"/>
              <w:rPr>
                <w:sz w:val="14"/>
                <w:szCs w:val="14"/>
                <w:color w:val="auto"/>
              </w:rPr>
            </w:pPr>
          </w:p>
        </w:tc>
      </w:tr>
      <w:tr>
        <w:trPr>
          <w:trHeight w:val="168"/>
        </w:trPr>
        <w:tc>
          <w:tcPr>
            <w:tcW w:w="2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336"/>
        </w:trPr>
        <w:tc>
          <w:tcPr>
            <w:tcW w:w="2100" w:type="dxa"/>
            <w:vAlign w:val="bottom"/>
          </w:tcPr>
          <w:p>
            <w:pPr>
              <w:spacing w:after="0"/>
              <w:rPr>
                <w:sz w:val="20"/>
                <w:szCs w:val="20"/>
                <w:color w:val="auto"/>
              </w:rPr>
            </w:pPr>
            <w:r>
              <w:rPr>
                <w:rFonts w:ascii="Courier New" w:cs="Courier New" w:eastAsia="Courier New" w:hAnsi="Courier New"/>
                <w:sz w:val="15"/>
                <w:szCs w:val="15"/>
                <w:color w:val="auto"/>
              </w:rPr>
              <w:t>Interest Rate Swaps</w:t>
            </w: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8"/>
        </w:trPr>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U.S. Dollars:</w:t>
            </w: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2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Variable to Fixed....</w:t>
            </w: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261</w:t>
            </w:r>
          </w:p>
        </w:tc>
        <w:tc>
          <w:tcPr>
            <w:tcW w:w="780" w:type="dxa"/>
            <w:vAlign w:val="bottom"/>
          </w:tcPr>
          <w:p>
            <w:pPr>
              <w:jc w:val="center"/>
              <w:ind w:left="207"/>
              <w:spacing w:after="0" w:line="168" w:lineRule="exact"/>
              <w:rPr>
                <w:sz w:val="20"/>
                <w:szCs w:val="20"/>
                <w:color w:val="auto"/>
              </w:rPr>
            </w:pPr>
            <w:r>
              <w:rPr>
                <w:rFonts w:ascii="Courier New" w:cs="Courier New" w:eastAsia="Courier New" w:hAnsi="Courier New"/>
                <w:sz w:val="15"/>
                <w:szCs w:val="15"/>
                <w:color w:val="auto"/>
                <w:w w:val="99"/>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1,465</w:t>
            </w: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1,726</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(123)</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1,310</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2100" w:type="dxa"/>
            <w:vAlign w:val="bottom"/>
          </w:tcPr>
          <w:p>
            <w:pPr>
              <w:spacing w:after="0"/>
              <w:rPr>
                <w:sz w:val="14"/>
                <w:szCs w:val="14"/>
                <w:color w:val="auto"/>
              </w:rPr>
            </w:pP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780" w:type="dxa"/>
            <w:vAlign w:val="bottom"/>
          </w:tcPr>
          <w:p>
            <w:pPr>
              <w:jc w:val="center"/>
              <w:ind w:left="207"/>
              <w:spacing w:after="0" w:line="168" w:lineRule="exact"/>
              <w:rPr>
                <w:sz w:val="20"/>
                <w:szCs w:val="20"/>
                <w:color w:val="auto"/>
              </w:rPr>
            </w:pPr>
            <w:r>
              <w:rPr>
                <w:rFonts w:ascii="Courier New" w:cs="Courier New" w:eastAsia="Courier New" w:hAnsi="Courier New"/>
                <w:sz w:val="15"/>
                <w:szCs w:val="15"/>
                <w:color w:val="auto"/>
                <w:w w:val="99"/>
              </w:rPr>
              <w:t>--</w:t>
            </w: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2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Average pay rate.....</w:t>
            </w:r>
          </w:p>
        </w:tc>
        <w:tc>
          <w:tcPr>
            <w:tcW w:w="6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4.935%</w:t>
            </w:r>
          </w:p>
        </w:tc>
        <w:tc>
          <w:tcPr>
            <w:tcW w:w="7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3.877%</w:t>
            </w: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2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Average receive</w:t>
            </w: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2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rate.................</w:t>
            </w:r>
          </w:p>
        </w:tc>
        <w:tc>
          <w:tcPr>
            <w:tcW w:w="620" w:type="dxa"/>
            <w:vAlign w:val="bottom"/>
          </w:tcPr>
          <w:p>
            <w:pPr>
              <w:spacing w:after="0"/>
              <w:rPr>
                <w:sz w:val="14"/>
                <w:szCs w:val="14"/>
                <w:color w:val="auto"/>
              </w:rPr>
            </w:pPr>
          </w:p>
        </w:tc>
        <w:tc>
          <w:tcPr>
            <w:tcW w:w="148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Libor+1%</w:t>
            </w:r>
          </w:p>
        </w:tc>
        <w:tc>
          <w:tcPr>
            <w:tcW w:w="158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Libor(1)</w:t>
            </w: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2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Pesos:</w:t>
            </w: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2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Variable to Fixed....</w:t>
            </w: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500</w:t>
            </w:r>
          </w:p>
        </w:tc>
        <w:tc>
          <w:tcPr>
            <w:tcW w:w="620" w:type="dxa"/>
            <w:vAlign w:val="bottom"/>
          </w:tcPr>
          <w:p>
            <w:pPr>
              <w:spacing w:after="0"/>
              <w:rPr>
                <w:sz w:val="14"/>
                <w:szCs w:val="14"/>
                <w:color w:val="auto"/>
              </w:rPr>
            </w:pPr>
          </w:p>
        </w:tc>
        <w:tc>
          <w:tcPr>
            <w:tcW w:w="5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500</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2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2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Average pay rate.....</w:t>
            </w: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10.530%</w:t>
            </w: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2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Average receive</w:t>
            </w: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2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rate.................</w:t>
            </w: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TIIE+0.5%</w:t>
            </w: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r>
    </w:tbl>
    <w:p>
      <w:pPr>
        <w:spacing w:after="0" w:line="341" w:lineRule="exact"/>
        <w:rPr>
          <w:sz w:val="20"/>
          <w:szCs w:val="20"/>
          <w:color w:val="auto"/>
        </w:rPr>
      </w:pPr>
    </w:p>
    <w:p>
      <w:pPr>
        <w:ind w:left="360" w:right="3240" w:hanging="350"/>
        <w:spacing w:after="0" w:line="234" w:lineRule="auto"/>
        <w:tabs>
          <w:tab w:leader="none" w:pos="36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FEMSA has two interest-rate swap contracts outstanding, with reference rates to 3-month LIBOR and 6-month LIBOR.</w:t>
      </w:r>
    </w:p>
    <w:p>
      <w:pPr>
        <w:spacing w:after="0" w:line="173" w:lineRule="exact"/>
        <w:rPr>
          <w:sz w:val="20"/>
          <w:szCs w:val="20"/>
          <w:color w:val="auto"/>
        </w:rPr>
      </w:pPr>
    </w:p>
    <w:p>
      <w:pPr>
        <w:ind w:right="3240" w:firstLine="437"/>
        <w:spacing w:after="0" w:line="236" w:lineRule="auto"/>
        <w:rPr>
          <w:sz w:val="20"/>
          <w:szCs w:val="20"/>
          <w:color w:val="auto"/>
        </w:rPr>
      </w:pPr>
      <w:r>
        <w:rPr>
          <w:rFonts w:ascii="Courier New" w:cs="Courier New" w:eastAsia="Courier New" w:hAnsi="Courier New"/>
          <w:sz w:val="15"/>
          <w:szCs w:val="15"/>
          <w:color w:val="auto"/>
        </w:rPr>
        <w:t>A hypothetical, instantaneous and unfavorable change of 100 basis points in the average interest rate applicable to floating-rate liabilities held at December 31, 2002 would increase our interest expense by approximately Ps. 75 million, or 14.5% over a 12-month period of 2003, assuming no additional debt is incurred during such period.</w:t>
      </w:r>
    </w:p>
    <w:p>
      <w:pPr>
        <w:spacing w:after="0" w:line="167"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Foreign Currency Exchange Rate Risk</w:t>
      </w:r>
    </w:p>
    <w:p>
      <w:pPr>
        <w:spacing w:after="0" w:line="173" w:lineRule="exact"/>
        <w:rPr>
          <w:sz w:val="20"/>
          <w:szCs w:val="20"/>
          <w:color w:val="auto"/>
        </w:rPr>
      </w:pPr>
    </w:p>
    <w:p>
      <w:pPr>
        <w:jc w:val="both"/>
        <w:ind w:right="3320" w:firstLine="437"/>
        <w:spacing w:after="0" w:line="254" w:lineRule="auto"/>
        <w:rPr>
          <w:sz w:val="20"/>
          <w:szCs w:val="20"/>
          <w:color w:val="auto"/>
        </w:rPr>
      </w:pPr>
      <w:r>
        <w:rPr>
          <w:rFonts w:ascii="Courier New" w:cs="Courier New" w:eastAsia="Courier New" w:hAnsi="Courier New"/>
          <w:sz w:val="14"/>
          <w:szCs w:val="14"/>
          <w:color w:val="auto"/>
        </w:rPr>
        <w:t>Our principal exchange rate risk involves changes in the value of the Peso and Argentine peso relative to the U.S. Dollar. In 2002, approximately 93.5% of our consolidated total revenues was denominated in Pesos, 2.7% was denominated in Argentine pesos and 3.8% in other foreign currencies, principally in U.S.</w:t>
      </w:r>
    </w:p>
    <w:p>
      <w:pPr>
        <w:spacing w:after="0" w:line="1" w:lineRule="exact"/>
        <w:rPr>
          <w:sz w:val="20"/>
          <w:szCs w:val="20"/>
          <w:color w:val="auto"/>
        </w:rPr>
      </w:pPr>
    </w:p>
    <w:p>
      <w:pPr>
        <w:ind w:right="3240"/>
        <w:spacing w:after="0" w:line="255" w:lineRule="auto"/>
        <w:rPr>
          <w:sz w:val="20"/>
          <w:szCs w:val="20"/>
          <w:color w:val="auto"/>
        </w:rPr>
      </w:pPr>
      <w:r>
        <w:rPr>
          <w:rFonts w:ascii="Courier New" w:cs="Courier New" w:eastAsia="Courier New" w:hAnsi="Courier New"/>
          <w:sz w:val="14"/>
          <w:szCs w:val="14"/>
          <w:color w:val="auto"/>
        </w:rPr>
        <w:t>Dollars. We estimate that a majority of our consolidated costs and expenses are denominated in Pesos for Mexican subsidiaries and in Argentine pesos for Coca-Cola FEMSA Buenos Aires. Substantially all of our foreign currency denominated costs and expenses are denominated in U.S. Dollars. As of December 31, 2002, 69.6% of our indebtedness was denominated in U.S. Dollars and the remaining 30.4% in Pesos. Decreases in the value of the Peso relative to the U.S. Dollar will increase the cost in Pesos of our foreign currency denominated operating costs and expenses and of the debt service obligations with respect to our foreign currency denominated indebtedness. A depreciation of the Peso relative to the U.S. Dollar will also result in foreign exchange losses as the Peso value of our foreign currency denominated indebtedness is increased.</w:t>
      </w:r>
    </w:p>
    <w:p>
      <w:pPr>
        <w:spacing w:after="0" w:line="165" w:lineRule="exact"/>
        <w:rPr>
          <w:sz w:val="20"/>
          <w:szCs w:val="20"/>
          <w:color w:val="auto"/>
        </w:rPr>
      </w:pPr>
    </w:p>
    <w:p>
      <w:pPr>
        <w:ind w:right="3240" w:firstLine="437"/>
        <w:spacing w:after="0" w:line="236" w:lineRule="auto"/>
        <w:rPr>
          <w:sz w:val="20"/>
          <w:szCs w:val="20"/>
          <w:color w:val="auto"/>
        </w:rPr>
      </w:pPr>
      <w:r>
        <w:rPr>
          <w:rFonts w:ascii="Courier New" w:cs="Courier New" w:eastAsia="Courier New" w:hAnsi="Courier New"/>
          <w:sz w:val="15"/>
          <w:szCs w:val="15"/>
          <w:color w:val="auto"/>
        </w:rPr>
        <w:t>Our exposure to market risk associated with changes in foreign currency exchange rates relates primarily to U.S. Dollar-denominated debt obligations as shown in the interest risk table above. We occasionally utilize currency forward contracts to hedge our exposure to the U.S. Dollar relative to the Peso and Argentine peso.</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144</w:t>
      </w:r>
    </w:p>
    <w:p>
      <w:pPr>
        <w:sectPr>
          <w:pgSz w:w="11900" w:h="16838" w:orient="portrait"/>
          <w:cols w:equalWidth="0" w:num="1">
            <w:col w:w="10240"/>
          </w:cols>
          <w:pgMar w:left="220" w:top="1290" w:right="1439" w:bottom="1440" w:gutter="0" w:footer="0" w:header="0"/>
        </w:sectPr>
      </w:pPr>
    </w:p>
    <w:bookmarkStart w:id="153" w:name="page154"/>
    <w:bookmarkEnd w:id="153"/>
    <w:p>
      <w:pPr>
        <w:ind w:right="3239" w:firstLine="437"/>
        <w:spacing w:after="0" w:line="235" w:lineRule="auto"/>
        <w:rPr>
          <w:sz w:val="20"/>
          <w:szCs w:val="20"/>
          <w:color w:val="auto"/>
        </w:rPr>
      </w:pPr>
      <w:r>
        <w:rPr>
          <w:rFonts w:ascii="Courier New" w:cs="Courier New" w:eastAsia="Courier New" w:hAnsi="Courier New"/>
          <w:sz w:val="15"/>
          <w:szCs w:val="15"/>
          <w:color w:val="auto"/>
        </w:rPr>
        <w:t>As of December 31, 2002 and 2001, we did not have any forward agreements to hedge our operations denominated in U.S. Dollars, and we did not have any call option agreements to buy U.S. Dollars.</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fair value of the foreign currency forward contracts is estimated based on quoted market prices of each agreement at year end assuming the same maturity dates originally contracted. The fair value of the call option agreements is estimated based on quoted market prices of the cost of such agreements, considering the same amounts, exchange rates and maturity dates originally contracted.</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As of December 31, 2002, we had two forward agreements for the purchase of euros in a notional amount of US$7 million, to hedge the exchange rate risk between the U.S. Dollar and the Euro for the purchase of equipment. The fair value is estimated based on quoted market exchange rate to terminate the contracts at the reporting date, which as of December 31, 2002 represented a gain of Ps. 4 million.</w:t>
      </w:r>
    </w:p>
    <w:p>
      <w:pPr>
        <w:spacing w:after="0" w:line="200" w:lineRule="exact"/>
        <w:rPr>
          <w:sz w:val="20"/>
          <w:szCs w:val="20"/>
          <w:color w:val="auto"/>
        </w:rPr>
      </w:pPr>
    </w:p>
    <w:p>
      <w:pPr>
        <w:spacing w:after="0" w:line="30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Euro-Forward Agreements</w:t>
      </w:r>
    </w:p>
    <w:p>
      <w:pPr>
        <w:jc w:val="center"/>
        <w:ind w:right="3239"/>
        <w:spacing w:after="0" w:line="237" w:lineRule="auto"/>
        <w:rPr>
          <w:sz w:val="20"/>
          <w:szCs w:val="20"/>
          <w:color w:val="auto"/>
        </w:rPr>
      </w:pPr>
      <w:r>
        <w:rPr>
          <w:rFonts w:ascii="Courier New" w:cs="Courier New" w:eastAsia="Courier New" w:hAnsi="Courier New"/>
          <w:sz w:val="15"/>
          <w:szCs w:val="15"/>
          <w:color w:val="auto"/>
        </w:rPr>
        <w:t>Millions of U.S. Dollars ($) and Millions of Constant Pesos (Ps)</w:t>
      </w:r>
    </w:p>
    <w:p>
      <w:pPr>
        <w:spacing w:after="0" w:line="167" w:lineRule="exact"/>
        <w:rPr>
          <w:sz w:val="20"/>
          <w:szCs w:val="20"/>
          <w:color w:val="auto"/>
        </w:rPr>
      </w:pPr>
    </w:p>
    <w:p>
      <w:pPr>
        <w:ind w:left="5080"/>
        <w:spacing w:after="0"/>
        <w:rPr>
          <w:sz w:val="20"/>
          <w:szCs w:val="20"/>
          <w:color w:val="auto"/>
        </w:rPr>
      </w:pPr>
      <w:r>
        <w:rPr>
          <w:rFonts w:ascii="Courier New" w:cs="Courier New" w:eastAsia="Courier New" w:hAnsi="Courier New"/>
          <w:sz w:val="15"/>
          <w:szCs w:val="15"/>
          <w:color w:val="auto"/>
        </w:rPr>
        <w:t>At December 31, 2002</w:t>
      </w:r>
    </w:p>
    <w:p>
      <w:pPr>
        <w:ind w:left="5080"/>
        <w:spacing w:after="0" w:line="237" w:lineRule="auto"/>
        <w:rPr>
          <w:sz w:val="20"/>
          <w:szCs w:val="20"/>
          <w:color w:val="auto"/>
        </w:rPr>
      </w:pPr>
      <w:r>
        <w:rPr>
          <w:rFonts w:ascii="Courier New" w:cs="Courier New" w:eastAsia="Courier New" w:hAnsi="Courier New"/>
          <w:sz w:val="15"/>
          <w:szCs w:val="15"/>
          <w:color w:val="auto"/>
        </w:rPr>
        <w:t>---------------------</w:t>
      </w:r>
    </w:p>
    <w:p>
      <w:pPr>
        <w:ind w:left="5080"/>
        <w:spacing w:after="0" w:line="238" w:lineRule="auto"/>
        <w:rPr>
          <w:sz w:val="20"/>
          <w:szCs w:val="20"/>
          <w:color w:val="auto"/>
        </w:rPr>
      </w:pPr>
      <w:r>
        <w:rPr>
          <w:rFonts w:ascii="Courier New" w:cs="Courier New" w:eastAsia="Courier New" w:hAnsi="Courier New"/>
          <w:sz w:val="15"/>
          <w:szCs w:val="15"/>
          <w:color w:val="auto"/>
        </w:rPr>
        <w:t>Notional</w:t>
      </w:r>
    </w:p>
    <w:p>
      <w:pPr>
        <w:ind w:left="5080"/>
        <w:spacing w:after="0" w:line="237" w:lineRule="auto"/>
        <w:tabs>
          <w:tab w:leader="none" w:pos="6020" w:val="left"/>
        </w:tabs>
        <w:rPr>
          <w:sz w:val="20"/>
          <w:szCs w:val="20"/>
          <w:color w:val="auto"/>
        </w:rPr>
      </w:pPr>
      <w:r>
        <w:rPr>
          <w:rFonts w:ascii="Courier New" w:cs="Courier New" w:eastAsia="Courier New" w:hAnsi="Courier New"/>
          <w:sz w:val="15"/>
          <w:szCs w:val="15"/>
          <w:color w:val="auto"/>
        </w:rPr>
        <w:t>Amount</w:t>
      </w:r>
      <w:r>
        <w:rPr>
          <w:sz w:val="20"/>
          <w:szCs w:val="20"/>
          <w:color w:val="auto"/>
        </w:rPr>
        <w:tab/>
      </w:r>
      <w:r>
        <w:rPr>
          <w:rFonts w:ascii="Courier New" w:cs="Courier New" w:eastAsia="Courier New" w:hAnsi="Courier New"/>
          <w:sz w:val="15"/>
          <w:szCs w:val="15"/>
          <w:color w:val="auto"/>
        </w:rPr>
        <w:t>Fair Value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Euro-Forwards:</w:t>
      </w:r>
    </w:p>
    <w:p>
      <w:pPr>
        <w:sectPr>
          <w:pgSz w:w="11900" w:h="16838" w:orient="portrait"/>
          <w:cols w:equalWidth="0" w:num="1">
            <w:col w:w="10239"/>
          </w:cols>
          <w:pgMar w:left="220" w:top="624" w:right="1440" w:bottom="1440" w:gutter="0" w:footer="0" w:header="0"/>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cover Peso risk..........................</w:t>
      </w:r>
    </w:p>
    <w:p>
      <w:pPr>
        <w:spacing w:after="0" w:line="20" w:lineRule="exact"/>
        <w:rPr>
          <w:sz w:val="20"/>
          <w:szCs w:val="20"/>
          <w:color w:val="auto"/>
        </w:rPr>
      </w:pPr>
      <w:r>
        <w:rPr>
          <w:sz w:val="20"/>
          <w:szCs w:val="20"/>
          <w:color w:val="auto"/>
        </w:rPr>
        <w:br w:type="column"/>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7</w:t>
      </w:r>
    </w:p>
    <w:p>
      <w:pPr>
        <w:spacing w:after="0" w:line="20" w:lineRule="exact"/>
        <w:rPr>
          <w:sz w:val="20"/>
          <w:szCs w:val="20"/>
          <w:color w:val="auto"/>
        </w:rPr>
      </w:pPr>
      <w:r>
        <w:rPr>
          <w:sz w:val="20"/>
          <w:szCs w:val="20"/>
          <w:color w:val="auto"/>
        </w:rPr>
        <w:br w:type="column"/>
      </w:r>
    </w:p>
    <w:p>
      <w:pPr>
        <w:jc w:val="center"/>
        <w:spacing w:after="0" w:line="237" w:lineRule="auto"/>
        <w:rPr>
          <w:sz w:val="20"/>
          <w:szCs w:val="20"/>
          <w:color w:val="auto"/>
        </w:rPr>
      </w:pPr>
      <w:r>
        <w:rPr>
          <w:rFonts w:ascii="Courier New" w:cs="Courier New" w:eastAsia="Courier New" w:hAnsi="Courier New"/>
          <w:sz w:val="15"/>
          <w:szCs w:val="15"/>
          <w:color w:val="auto"/>
        </w:rPr>
        <w:t>Ps</w:t>
      </w:r>
    </w:p>
    <w:p>
      <w:pPr>
        <w:spacing w:after="0" w:line="20" w:lineRule="exact"/>
        <w:rPr>
          <w:sz w:val="20"/>
          <w:szCs w:val="20"/>
          <w:color w:val="auto"/>
        </w:rPr>
      </w:pPr>
      <w:r>
        <w:rPr>
          <w:sz w:val="20"/>
          <w:szCs w:val="20"/>
          <w:color w:val="auto"/>
        </w:rPr>
        <w:br w:type="column"/>
      </w:r>
    </w:p>
    <w:p>
      <w:pPr>
        <w:spacing w:after="0" w:line="237" w:lineRule="auto"/>
        <w:rPr>
          <w:sz w:val="20"/>
          <w:szCs w:val="20"/>
          <w:color w:val="auto"/>
        </w:rPr>
      </w:pPr>
      <w:r>
        <w:rPr>
          <w:rFonts w:ascii="Courier New" w:cs="Courier New" w:eastAsia="Courier New" w:hAnsi="Courier New"/>
          <w:sz w:val="15"/>
          <w:szCs w:val="15"/>
          <w:color w:val="auto"/>
        </w:rPr>
        <w:t>4</w:t>
      </w:r>
    </w:p>
    <w:p>
      <w:pPr>
        <w:spacing w:after="0" w:line="5" w:lineRule="exact"/>
        <w:rPr>
          <w:sz w:val="20"/>
          <w:szCs w:val="20"/>
          <w:color w:val="auto"/>
        </w:rPr>
      </w:pPr>
    </w:p>
    <w:p>
      <w:pPr>
        <w:sectPr>
          <w:pgSz w:w="11900" w:h="16838" w:orient="portrait"/>
          <w:cols w:equalWidth="0" w:num="5">
            <w:col w:w="4360" w:space="720"/>
            <w:col w:w="100" w:space="260"/>
            <w:col w:w="80" w:space="520"/>
            <w:col w:w="180" w:space="520"/>
            <w:col w:w="3499"/>
          </w:cols>
          <w:pgMar w:left="220" w:top="624"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Weighted average rate U.S. Dollar per Euro:</w:t>
      </w:r>
    </w:p>
    <w:p>
      <w:pPr>
        <w:sectPr>
          <w:pgSz w:w="11900" w:h="16838" w:orient="portrait"/>
          <w:cols w:equalWidth="0" w:num="1">
            <w:col w:w="10239"/>
          </w:cols>
          <w:pgMar w:left="220" w:top="624" w:right="1440" w:bottom="1440" w:gutter="0" w:footer="0" w:header="0"/>
          <w:type w:val="continuous"/>
        </w:sectPr>
      </w:pPr>
    </w:p>
    <w:p>
      <w:pPr>
        <w:spacing w:after="0" w:line="10"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Contracted..............................</w:t>
      </w:r>
    </w:p>
    <w:p>
      <w:pPr>
        <w:spacing w:after="0" w:line="10"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Quoted Market...........................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0.98742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1.036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4" w:lineRule="exact"/>
        <w:rPr>
          <w:sz w:val="20"/>
          <w:szCs w:val="20"/>
          <w:color w:val="auto"/>
        </w:rPr>
      </w:pPr>
    </w:p>
    <w:p>
      <w:pPr>
        <w:sectPr>
          <w:pgSz w:w="11900" w:h="16838" w:orient="portrait"/>
          <w:cols w:equalWidth="0" w:num="3">
            <w:col w:w="4360" w:space="720"/>
            <w:col w:w="860" w:space="720"/>
            <w:col w:w="3579"/>
          </w:cols>
          <w:pgMar w:left="220" w:top="624" w:right="1440" w:bottom="1440" w:gutter="0" w:footer="0" w:header="0"/>
          <w:type w:val="continuous"/>
        </w:sectPr>
      </w:pPr>
    </w:p>
    <w:p>
      <w:pPr>
        <w:spacing w:after="0" w:line="14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 hypothetical, instantaneous and unfavorable 10% devaluation in the value of the Peso relative to the U.S. Dollar occurring on December 31, 2002, would have resulted in an increase in our net consolidated integral cost of financing expense of approximately Ps. 517 million over a 12-month period of 2003, reflecting higher interest expense and foreign exchange gain generated by the cash balances held in U.S. Dollars as of that date, net of the loss based on our U.S. Dollar-denominated indebtedness at December 31, 2002. However, this result does not take into account any gain on monetary position that would be expected to result from an increase in the inflation rate generated by a devaluation of the Peso relative to the U.S. Dollar, which gain on monetary position would reduce the consolidated net integral cost of financing.</w:t>
      </w:r>
    </w:p>
    <w:p>
      <w:pPr>
        <w:spacing w:after="0" w:line="16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As of the date of this Annual Report, the uncertainty and instability of the Argentine peso continues. The exchange rate at that date was approximately Aps. 2.90 per U.S. Dollar, representing a revaluation of approximately 14% with respect to December 31, 2002. We expect this situation to continue during the second half of 2003, due to the recent presidential election and the possibility of an adverse impact from new political and economic decisions on our results of operations and stockholders' equity. A hypothetical, instantaneous and unfavorable 10% devaluation in the value of the Argentine Peso relative to the U.S. Dollar occurring on December 31, 2002, would produce a reduction in stockholders' equity of approximately Ps. 80 million.</w:t>
      </w:r>
    </w:p>
    <w:p>
      <w:pPr>
        <w:spacing w:after="0" w:line="159"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Equity Risk</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 1997, certain of our subsidiaries commenced an Executive Incentive Program (as defined in Item 6, "Compensation of Directors and Officers"), which is administered by a trust for the benefit of the participating executive officers. In November 1997, we hedged our obligations under the Executive Incentive Program by investing in options related to our BD Units. See "Item 6. Directors, Senior Management and Employees Compensation." We hedged our potential obligation under the bonus program by investing in cash-settled options which were deposited in a trust. The cost of the purchased options was recorded in other assets and was amortized over the original five-year term of the options. As of December 31, 2002, the cost has been completely amortized, and as of December 31, 2001 the unamortized cost amounted to Ps. 19 million. A portion of the options expired in October 2002 and were exercised, recognizing a gain of Ps. 1 million, in 2002. The remaining outstanding options expire in September 2003.</w:t>
      </w:r>
    </w:p>
    <w:p>
      <w:pPr>
        <w:spacing w:after="0" w:line="33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145</w:t>
      </w:r>
    </w:p>
    <w:p>
      <w:pPr>
        <w:sectPr>
          <w:pgSz w:w="11900" w:h="16838" w:orient="portrait"/>
          <w:cols w:equalWidth="0" w:num="1">
            <w:col w:w="10239"/>
          </w:cols>
          <w:pgMar w:left="220" w:top="624" w:right="1440" w:bottom="1440" w:gutter="0" w:footer="0" w:header="0"/>
          <w:type w:val="continuous"/>
        </w:sectPr>
      </w:pPr>
    </w:p>
    <w:bookmarkStart w:id="154" w:name="page155"/>
    <w:bookmarkEnd w:id="154"/>
    <w:p>
      <w:pPr>
        <w:ind w:right="3579" w:firstLine="437"/>
        <w:spacing w:after="0" w:line="235" w:lineRule="auto"/>
        <w:rPr>
          <w:sz w:val="20"/>
          <w:szCs w:val="20"/>
          <w:color w:val="auto"/>
        </w:rPr>
      </w:pPr>
      <w:r>
        <w:rPr>
          <w:rFonts w:ascii="Courier New" w:cs="Courier New" w:eastAsia="Courier New" w:hAnsi="Courier New"/>
          <w:sz w:val="15"/>
          <w:szCs w:val="15"/>
          <w:color w:val="auto"/>
        </w:rPr>
        <w:t>At December 31, 2002, the stock market price of a BD Unit was Ps. 37.93 million. The fair value of the options is estimated based on quoted market prices to terminate the contracts on December 31, 2002.</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000" w:type="dxa"/>
            <w:vAlign w:val="bottom"/>
            <w:gridSpan w:val="2"/>
          </w:tcPr>
          <w:p>
            <w:pPr>
              <w:jc w:val="right"/>
              <w:ind w:right="127"/>
              <w:spacing w:after="0"/>
              <w:rPr>
                <w:sz w:val="20"/>
                <w:szCs w:val="20"/>
                <w:color w:val="auto"/>
              </w:rPr>
            </w:pPr>
            <w:r>
              <w:rPr>
                <w:rFonts w:ascii="Courier New" w:cs="Courier New" w:eastAsia="Courier New" w:hAnsi="Courier New"/>
                <w:sz w:val="15"/>
                <w:szCs w:val="15"/>
                <w:color w:val="auto"/>
              </w:rPr>
              <w:t>Fair Value (Millions of Pesos)</w:t>
            </w:r>
          </w:p>
        </w:tc>
        <w:tc>
          <w:tcPr>
            <w:tcW w:w="840" w:type="dxa"/>
            <w:vAlign w:val="bottom"/>
          </w:tcPr>
          <w:p>
            <w:pPr>
              <w:spacing w:after="0"/>
              <w:rPr>
                <w:sz w:val="14"/>
                <w:szCs w:val="14"/>
                <w:color w:val="auto"/>
              </w:rPr>
            </w:pPr>
          </w:p>
        </w:tc>
      </w:tr>
      <w:tr>
        <w:trPr>
          <w:trHeight w:val="168"/>
        </w:trPr>
        <w:tc>
          <w:tcPr>
            <w:tcW w:w="46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8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w w:val="88"/>
              </w:rPr>
              <w:t>2002</w:t>
            </w:r>
          </w:p>
        </w:tc>
        <w:tc>
          <w:tcPr>
            <w:tcW w:w="1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2001</w:t>
            </w:r>
          </w:p>
        </w:tc>
        <w:tc>
          <w:tcPr>
            <w:tcW w:w="840" w:type="dxa"/>
            <w:vAlign w:val="bottom"/>
          </w:tcPr>
          <w:p>
            <w:pPr>
              <w:spacing w:after="0"/>
              <w:rPr>
                <w:sz w:val="14"/>
                <w:szCs w:val="14"/>
                <w:color w:val="auto"/>
              </w:rPr>
            </w:pPr>
          </w:p>
        </w:tc>
      </w:tr>
      <w:tr>
        <w:trPr>
          <w:trHeight w:val="168"/>
        </w:trPr>
        <w:tc>
          <w:tcPr>
            <w:tcW w:w="4680" w:type="dxa"/>
            <w:vAlign w:val="bottom"/>
          </w:tcPr>
          <w:p>
            <w:pPr>
              <w:spacing w:after="0"/>
              <w:rPr>
                <w:sz w:val="14"/>
                <w:szCs w:val="14"/>
                <w:color w:val="auto"/>
              </w:rPr>
            </w:pPr>
          </w:p>
        </w:tc>
        <w:tc>
          <w:tcPr>
            <w:tcW w:w="29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80" w:type="dxa"/>
            <w:vAlign w:val="bottom"/>
          </w:tcPr>
          <w:p>
            <w:pPr>
              <w:spacing w:after="0"/>
              <w:rPr>
                <w:sz w:val="20"/>
                <w:szCs w:val="20"/>
                <w:color w:val="auto"/>
              </w:rPr>
            </w:pPr>
            <w:r>
              <w:rPr>
                <w:rFonts w:ascii="Courier New" w:cs="Courier New" w:eastAsia="Courier New" w:hAnsi="Courier New"/>
                <w:sz w:val="15"/>
                <w:szCs w:val="15"/>
                <w:color w:val="auto"/>
              </w:rPr>
              <w:t>Equity Risk:</w:t>
            </w:r>
          </w:p>
        </w:tc>
        <w:tc>
          <w:tcPr>
            <w:tcW w:w="1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4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Call Options on BD Units (long)(1)</w:t>
            </w:r>
          </w:p>
        </w:tc>
        <w:tc>
          <w:tcPr>
            <w:tcW w:w="14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6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Contracts (one BD Unit per contract)....</w:t>
            </w:r>
          </w:p>
        </w:tc>
        <w:tc>
          <w:tcPr>
            <w:tcW w:w="14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356,449</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Ps. 62</w:t>
            </w:r>
          </w:p>
        </w:tc>
        <w:tc>
          <w:tcPr>
            <w:tcW w:w="15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3,796,810</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Ps. 16</w:t>
            </w:r>
          </w:p>
        </w:tc>
      </w:tr>
      <w:tr>
        <w:trPr>
          <w:trHeight w:val="168"/>
        </w:trPr>
        <w:tc>
          <w:tcPr>
            <w:tcW w:w="46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Strike Price (U.S. Dollars per BD Units)</w:t>
            </w:r>
          </w:p>
        </w:tc>
        <w:tc>
          <w:tcPr>
            <w:tcW w:w="14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$20.0979</w:t>
            </w:r>
          </w:p>
        </w:tc>
        <w:tc>
          <w:tcPr>
            <w:tcW w:w="1480" w:type="dxa"/>
            <w:vAlign w:val="bottom"/>
          </w:tcPr>
          <w:p>
            <w:pPr>
              <w:spacing w:after="0"/>
              <w:rPr>
                <w:sz w:val="14"/>
                <w:szCs w:val="14"/>
                <w:color w:val="auto"/>
              </w:rPr>
            </w:pPr>
          </w:p>
        </w:tc>
        <w:tc>
          <w:tcPr>
            <w:tcW w:w="15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$3.614</w:t>
            </w:r>
          </w:p>
        </w:tc>
        <w:tc>
          <w:tcPr>
            <w:tcW w:w="840" w:type="dxa"/>
            <w:vAlign w:val="bottom"/>
          </w:tcPr>
          <w:p>
            <w:pPr>
              <w:spacing w:after="0"/>
              <w:rPr>
                <w:sz w:val="14"/>
                <w:szCs w:val="14"/>
                <w:color w:val="auto"/>
              </w:rPr>
            </w:pPr>
          </w:p>
        </w:tc>
      </w:tr>
      <w:tr>
        <w:trPr>
          <w:trHeight w:val="336"/>
        </w:trPr>
        <w:tc>
          <w:tcPr>
            <w:tcW w:w="4680" w:type="dxa"/>
            <w:vAlign w:val="bottom"/>
          </w:tcPr>
          <w:p>
            <w:pPr>
              <w:ind w:left="360"/>
              <w:spacing w:after="0"/>
              <w:rPr>
                <w:sz w:val="20"/>
                <w:szCs w:val="20"/>
                <w:color w:val="auto"/>
              </w:rPr>
            </w:pPr>
            <w:r>
              <w:rPr>
                <w:rFonts w:ascii="Courier New" w:cs="Courier New" w:eastAsia="Courier New" w:hAnsi="Courier New"/>
                <w:sz w:val="15"/>
                <w:szCs w:val="15"/>
                <w:color w:val="auto"/>
              </w:rPr>
              <w:t>Put Options on BD Units (short)(1)</w:t>
            </w:r>
          </w:p>
        </w:tc>
        <w:tc>
          <w:tcPr>
            <w:tcW w:w="1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46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Contracts (one BD Unit per contract)....</w:t>
            </w:r>
          </w:p>
        </w:tc>
        <w:tc>
          <w:tcPr>
            <w:tcW w:w="14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356,449</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Ps. (14)</w:t>
            </w:r>
          </w:p>
        </w:tc>
        <w:tc>
          <w:tcPr>
            <w:tcW w:w="15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Strike Price (U.S. Dollars per BD Units)</w:t>
            </w:r>
          </w:p>
        </w:tc>
        <w:tc>
          <w:tcPr>
            <w:tcW w:w="14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$40.0779</w:t>
            </w:r>
          </w:p>
        </w:tc>
        <w:tc>
          <w:tcPr>
            <w:tcW w:w="1480" w:type="dxa"/>
            <w:vAlign w:val="bottom"/>
          </w:tcPr>
          <w:p>
            <w:pPr>
              <w:spacing w:after="0"/>
              <w:rPr>
                <w:sz w:val="14"/>
                <w:szCs w:val="14"/>
                <w:color w:val="auto"/>
              </w:rPr>
            </w:pPr>
          </w:p>
        </w:tc>
        <w:tc>
          <w:tcPr>
            <w:tcW w:w="15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r>
    </w:tbl>
    <w:p>
      <w:pPr>
        <w:spacing w:after="0" w:line="173" w:lineRule="exact"/>
        <w:rPr>
          <w:sz w:val="20"/>
          <w:szCs w:val="20"/>
          <w:color w:val="auto"/>
        </w:rPr>
      </w:pPr>
    </w:p>
    <w:p>
      <w:pPr>
        <w:ind w:left="440" w:right="3579" w:hanging="430"/>
        <w:spacing w:after="0" w:line="234" w:lineRule="auto"/>
        <w:tabs>
          <w:tab w:leader="none" w:pos="44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Put and Call option contracts are European and can be either settled in cash or in shares.</w:t>
      </w:r>
    </w:p>
    <w:p>
      <w:pPr>
        <w:spacing w:after="0" w:line="200" w:lineRule="exact"/>
        <w:rPr>
          <w:sz w:val="20"/>
          <w:szCs w:val="20"/>
          <w:color w:val="auto"/>
        </w:rPr>
      </w:pPr>
    </w:p>
    <w:p>
      <w:pPr>
        <w:spacing w:after="0" w:line="303"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Commodity Price Risk</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On January 1, 2002, FEMSA Cerveza entered into agreements with Petroleos Mexicanos ("PEMEX"), maturing in December 2003, which gives it the right to purchase natural gas at a fixed price for three years. However, as a result of the decrease in international natural gas prices, FEMSA Cerveza entered into a swap agreement maturing in December 2003.</w:t>
      </w:r>
    </w:p>
    <w:p>
      <w:pPr>
        <w:spacing w:after="0" w:line="174"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Additionally, during 2002 we have entered into various derivative contracts maturing in 2003 and 2004 to hedge the cost of aluminum.</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result of the commodity price contracts was a gain of Ps. 17 million in 2002, which is recorded in the results of operations for the year. The fair value is estimated based on quoted market prices to terminate the contracts at the reporting date.</w:t>
      </w:r>
    </w:p>
    <w:p>
      <w:pPr>
        <w:spacing w:after="0" w:line="200" w:lineRule="exact"/>
        <w:rPr>
          <w:sz w:val="20"/>
          <w:szCs w:val="20"/>
          <w:color w:val="auto"/>
        </w:rPr>
      </w:pPr>
    </w:p>
    <w:p>
      <w:pPr>
        <w:spacing w:after="0" w:line="30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The outstanding contracts and their terms are as follows:</w:t>
      </w:r>
    </w:p>
    <w:p>
      <w:pPr>
        <w:spacing w:after="0" w:line="166" w:lineRule="exact"/>
        <w:rPr>
          <w:sz w:val="20"/>
          <w:szCs w:val="20"/>
          <w:color w:val="auto"/>
        </w:rPr>
      </w:pPr>
    </w:p>
    <w:p>
      <w:pPr>
        <w:spacing w:after="0"/>
        <w:tabs>
          <w:tab w:leader="none" w:pos="2960" w:val="left"/>
          <w:tab w:leader="none" w:pos="4980" w:val="left"/>
          <w:tab w:leader="none" w:pos="6980" w:val="left"/>
        </w:tabs>
        <w:rPr>
          <w:sz w:val="20"/>
          <w:szCs w:val="20"/>
          <w:color w:val="auto"/>
        </w:rPr>
      </w:pPr>
      <w:r>
        <w:rPr>
          <w:rFonts w:ascii="Courier New" w:cs="Courier New" w:eastAsia="Courier New" w:hAnsi="Courier New"/>
          <w:sz w:val="15"/>
          <w:szCs w:val="15"/>
          <w:color w:val="auto"/>
        </w:rPr>
        <w:t>Maturity Date</w:t>
      </w:r>
      <w:r>
        <w:rPr>
          <w:sz w:val="20"/>
          <w:szCs w:val="20"/>
          <w:color w:val="auto"/>
        </w:rPr>
        <w:tab/>
      </w:r>
      <w:r>
        <w:rPr>
          <w:rFonts w:ascii="Courier New" w:cs="Courier New" w:eastAsia="Courier New" w:hAnsi="Courier New"/>
          <w:sz w:val="15"/>
          <w:szCs w:val="15"/>
          <w:color w:val="auto"/>
        </w:rPr>
        <w:t>Contract Type</w:t>
      </w:r>
      <w:r>
        <w:rPr>
          <w:sz w:val="20"/>
          <w:szCs w:val="20"/>
          <w:color w:val="auto"/>
        </w:rPr>
        <w:tab/>
      </w:r>
      <w:r>
        <w:rPr>
          <w:rFonts w:ascii="Courier New" w:cs="Courier New" w:eastAsia="Courier New" w:hAnsi="Courier New"/>
          <w:sz w:val="15"/>
          <w:szCs w:val="15"/>
          <w:color w:val="auto"/>
        </w:rPr>
        <w:t>Notional Amount</w:t>
      </w:r>
      <w:r>
        <w:rPr>
          <w:sz w:val="20"/>
          <w:szCs w:val="20"/>
          <w:color w:val="auto"/>
        </w:rPr>
        <w:tab/>
      </w:r>
      <w:r>
        <w:rPr>
          <w:rFonts w:ascii="Courier New" w:cs="Courier New" w:eastAsia="Courier New" w:hAnsi="Courier New"/>
          <w:sz w:val="14"/>
          <w:szCs w:val="14"/>
          <w:color w:val="auto"/>
        </w:rPr>
        <w:t>Fair Value</w:t>
      </w:r>
    </w:p>
    <w:p>
      <w:pPr>
        <w:ind w:left="5000"/>
        <w:spacing w:after="0"/>
        <w:tabs>
          <w:tab w:leader="none" w:pos="6820" w:val="left"/>
        </w:tabs>
        <w:rPr>
          <w:sz w:val="20"/>
          <w:szCs w:val="20"/>
          <w:color w:val="auto"/>
        </w:rPr>
      </w:pPr>
      <w:r>
        <w:rPr>
          <w:rFonts w:ascii="Courier New" w:cs="Courier New" w:eastAsia="Courier New" w:hAnsi="Courier New"/>
          <w:sz w:val="15"/>
          <w:szCs w:val="15"/>
          <w:color w:val="auto"/>
        </w:rPr>
        <w:t>(in millions)</w:t>
      </w:r>
      <w:r>
        <w:rPr>
          <w:sz w:val="20"/>
          <w:szCs w:val="20"/>
          <w:color w:val="auto"/>
        </w:rPr>
        <w:tab/>
      </w:r>
      <w:r>
        <w:rPr>
          <w:rFonts w:ascii="Courier New" w:cs="Courier New" w:eastAsia="Courier New" w:hAnsi="Courier New"/>
          <w:sz w:val="14"/>
          <w:szCs w:val="14"/>
          <w:color w:val="auto"/>
        </w:rPr>
        <w:t>(in millions)</w:t>
      </w:r>
    </w:p>
    <w:p>
      <w:pPr>
        <w:spacing w:after="0" w:line="238" w:lineRule="auto"/>
        <w:rPr>
          <w:sz w:val="20"/>
          <w:szCs w:val="20"/>
          <w:color w:val="auto"/>
        </w:rPr>
      </w:pPr>
      <w:r>
        <w:rPr>
          <w:rFonts w:ascii="Courier New" w:cs="Courier New" w:eastAsia="Courier New" w:hAnsi="Courier New"/>
          <w:sz w:val="15"/>
          <w:szCs w:val="15"/>
          <w:color w:val="auto"/>
        </w:rPr>
        <w:t>- ----------------------------- ----------------------- ---------------------- ------------------</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40" w:type="dxa"/>
            <w:vAlign w:val="bottom"/>
          </w:tcPr>
          <w:p>
            <w:pPr>
              <w:jc w:val="right"/>
              <w:ind w:right="1407"/>
              <w:spacing w:after="0"/>
              <w:rPr>
                <w:sz w:val="20"/>
                <w:szCs w:val="20"/>
                <w:color w:val="auto"/>
              </w:rPr>
            </w:pPr>
            <w:r>
              <w:rPr>
                <w:rFonts w:ascii="Courier New" w:cs="Courier New" w:eastAsia="Courier New" w:hAnsi="Courier New"/>
                <w:sz w:val="15"/>
                <w:szCs w:val="15"/>
                <w:color w:val="auto"/>
                <w:w w:val="94"/>
              </w:rPr>
              <w:t>2003</w:t>
            </w:r>
          </w:p>
        </w:tc>
        <w:tc>
          <w:tcPr>
            <w:tcW w:w="2980" w:type="dxa"/>
            <w:vAlign w:val="bottom"/>
          </w:tcPr>
          <w:p>
            <w:pPr>
              <w:ind w:left="1500"/>
              <w:spacing w:after="0"/>
              <w:rPr>
                <w:sz w:val="20"/>
                <w:szCs w:val="20"/>
                <w:color w:val="auto"/>
              </w:rPr>
            </w:pPr>
            <w:r>
              <w:rPr>
                <w:rFonts w:ascii="Courier New" w:cs="Courier New" w:eastAsia="Courier New" w:hAnsi="Courier New"/>
                <w:sz w:val="15"/>
                <w:szCs w:val="15"/>
                <w:color w:val="auto"/>
              </w:rPr>
              <w:t>Put Options</w:t>
            </w:r>
          </w:p>
        </w:tc>
        <w:tc>
          <w:tcPr>
            <w:tcW w:w="780" w:type="dxa"/>
            <w:vAlign w:val="bottom"/>
          </w:tcPr>
          <w:p>
            <w:pPr>
              <w:ind w:left="520"/>
              <w:spacing w:after="0"/>
              <w:rPr>
                <w:sz w:val="20"/>
                <w:szCs w:val="20"/>
                <w:color w:val="auto"/>
              </w:rPr>
            </w:pPr>
            <w:r>
              <w:rPr>
                <w:rFonts w:ascii="Courier New" w:cs="Courier New" w:eastAsia="Courier New" w:hAnsi="Courier New"/>
                <w:sz w:val="15"/>
                <w:szCs w:val="15"/>
                <w:color w:val="auto"/>
                <w:w w:val="88"/>
              </w:rPr>
              <w:t>Ps.</w:t>
            </w:r>
          </w:p>
        </w:tc>
        <w:tc>
          <w:tcPr>
            <w:tcW w:w="96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76</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Ps.   (3)</w:t>
            </w:r>
          </w:p>
        </w:tc>
      </w:tr>
      <w:tr>
        <w:trPr>
          <w:trHeight w:val="168"/>
        </w:trPr>
        <w:tc>
          <w:tcPr>
            <w:tcW w:w="1840" w:type="dxa"/>
            <w:vAlign w:val="bottom"/>
          </w:tcPr>
          <w:p>
            <w:pPr>
              <w:spacing w:after="0"/>
              <w:rPr>
                <w:sz w:val="14"/>
                <w:szCs w:val="14"/>
                <w:color w:val="auto"/>
              </w:rPr>
            </w:pPr>
          </w:p>
        </w:tc>
        <w:tc>
          <w:tcPr>
            <w:tcW w:w="2980" w:type="dxa"/>
            <w:vAlign w:val="bottom"/>
          </w:tcPr>
          <w:p>
            <w:pPr>
              <w:ind w:left="1500"/>
              <w:spacing w:after="0" w:line="168" w:lineRule="exact"/>
              <w:rPr>
                <w:sz w:val="20"/>
                <w:szCs w:val="20"/>
                <w:color w:val="auto"/>
              </w:rPr>
            </w:pPr>
            <w:r>
              <w:rPr>
                <w:rFonts w:ascii="Courier New" w:cs="Courier New" w:eastAsia="Courier New" w:hAnsi="Courier New"/>
                <w:sz w:val="15"/>
                <w:szCs w:val="15"/>
                <w:color w:val="auto"/>
              </w:rPr>
              <w:t>Seagulls</w:t>
            </w:r>
          </w:p>
        </w:tc>
        <w:tc>
          <w:tcPr>
            <w:tcW w:w="780" w:type="dxa"/>
            <w:vAlign w:val="bottom"/>
          </w:tcPr>
          <w:p>
            <w:pPr>
              <w:spacing w:after="0"/>
              <w:rPr>
                <w:sz w:val="14"/>
                <w:szCs w:val="14"/>
                <w:color w:val="auto"/>
              </w:rPr>
            </w:pPr>
          </w:p>
        </w:tc>
        <w:tc>
          <w:tcPr>
            <w:tcW w:w="9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88"/>
              </w:rPr>
              <w:t>180</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1840" w:type="dxa"/>
            <w:vAlign w:val="bottom"/>
          </w:tcPr>
          <w:p>
            <w:pPr>
              <w:spacing w:after="0"/>
              <w:rPr>
                <w:sz w:val="14"/>
                <w:szCs w:val="14"/>
                <w:color w:val="auto"/>
              </w:rPr>
            </w:pPr>
          </w:p>
        </w:tc>
        <w:tc>
          <w:tcPr>
            <w:tcW w:w="2980" w:type="dxa"/>
            <w:vAlign w:val="bottom"/>
          </w:tcPr>
          <w:p>
            <w:pPr>
              <w:ind w:left="1500"/>
              <w:spacing w:after="0" w:line="168" w:lineRule="exact"/>
              <w:rPr>
                <w:sz w:val="20"/>
                <w:szCs w:val="20"/>
                <w:color w:val="auto"/>
              </w:rPr>
            </w:pPr>
            <w:r>
              <w:rPr>
                <w:rFonts w:ascii="Courier New" w:cs="Courier New" w:eastAsia="Courier New" w:hAnsi="Courier New"/>
                <w:sz w:val="15"/>
                <w:szCs w:val="15"/>
                <w:color w:val="auto"/>
              </w:rPr>
              <w:t>Swaps</w:t>
            </w:r>
          </w:p>
        </w:tc>
        <w:tc>
          <w:tcPr>
            <w:tcW w:w="780" w:type="dxa"/>
            <w:vAlign w:val="bottom"/>
          </w:tcPr>
          <w:p>
            <w:pPr>
              <w:spacing w:after="0"/>
              <w:rPr>
                <w:sz w:val="14"/>
                <w:szCs w:val="14"/>
                <w:color w:val="auto"/>
              </w:rPr>
            </w:pPr>
          </w:p>
        </w:tc>
        <w:tc>
          <w:tcPr>
            <w:tcW w:w="9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88"/>
              </w:rPr>
              <w:t>424</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w:t>
            </w:r>
          </w:p>
        </w:tc>
      </w:tr>
      <w:tr>
        <w:trPr>
          <w:trHeight w:val="168"/>
        </w:trPr>
        <w:tc>
          <w:tcPr>
            <w:tcW w:w="1840" w:type="dxa"/>
            <w:vAlign w:val="bottom"/>
          </w:tcPr>
          <w:p>
            <w:pPr>
              <w:spacing w:after="0"/>
              <w:rPr>
                <w:sz w:val="14"/>
                <w:szCs w:val="14"/>
                <w:color w:val="auto"/>
              </w:rPr>
            </w:pPr>
          </w:p>
        </w:tc>
        <w:tc>
          <w:tcPr>
            <w:tcW w:w="2980" w:type="dxa"/>
            <w:vAlign w:val="bottom"/>
          </w:tcPr>
          <w:p>
            <w:pPr>
              <w:ind w:left="1500"/>
              <w:spacing w:after="0" w:line="168" w:lineRule="exact"/>
              <w:rPr>
                <w:sz w:val="20"/>
                <w:szCs w:val="20"/>
                <w:color w:val="auto"/>
              </w:rPr>
            </w:pPr>
            <w:r>
              <w:rPr>
                <w:rFonts w:ascii="Courier New" w:cs="Courier New" w:eastAsia="Courier New" w:hAnsi="Courier New"/>
                <w:sz w:val="15"/>
                <w:szCs w:val="15"/>
                <w:color w:val="auto"/>
              </w:rPr>
              <w:t>Collar</w:t>
            </w:r>
          </w:p>
        </w:tc>
        <w:tc>
          <w:tcPr>
            <w:tcW w:w="780" w:type="dxa"/>
            <w:vAlign w:val="bottom"/>
          </w:tcPr>
          <w:p>
            <w:pPr>
              <w:spacing w:after="0"/>
              <w:rPr>
                <w:sz w:val="14"/>
                <w:szCs w:val="14"/>
                <w:color w:val="auto"/>
              </w:rPr>
            </w:pPr>
          </w:p>
        </w:tc>
        <w:tc>
          <w:tcPr>
            <w:tcW w:w="9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88"/>
              </w:rPr>
              <w:t>151</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w:t>
            </w:r>
          </w:p>
        </w:tc>
      </w:tr>
    </w:tbl>
    <w:p>
      <w:pPr>
        <w:spacing w:after="0" w:line="237" w:lineRule="auto"/>
        <w:rPr>
          <w:sz w:val="20"/>
          <w:szCs w:val="20"/>
          <w:color w:val="auto"/>
        </w:rPr>
      </w:pPr>
      <w:r>
        <w:rPr>
          <w:rFonts w:ascii="Courier New" w:cs="Courier New" w:eastAsia="Courier New" w:hAnsi="Courier New"/>
          <w:sz w:val="15"/>
          <w:szCs w:val="15"/>
          <w:color w:val="auto"/>
        </w:rPr>
        <w:t>- ----------------------------- ----------------------- ---------------------- ------------------</w:t>
      </w:r>
    </w:p>
    <w:tbl>
      <w:tblPr>
        <w:tblLayout w:type="fixed"/>
        <w:tblInd w:w="0" w:type="dxa"/>
        <w:tblCellMar>
          <w:top w:w="0" w:type="dxa"/>
          <w:left w:w="0" w:type="dxa"/>
          <w:bottom w:w="0" w:type="dxa"/>
          <w:right w:w="0" w:type="dxa"/>
        </w:tblCellMar>
      </w:tblPr>
      <w:tr>
        <w:trPr>
          <w:trHeight w:val="169"/>
        </w:trPr>
        <w:tc>
          <w:tcPr>
            <w:tcW w:w="1840" w:type="dxa"/>
            <w:vAlign w:val="bottom"/>
          </w:tcPr>
          <w:p>
            <w:pPr>
              <w:jc w:val="right"/>
              <w:ind w:right="1407"/>
              <w:spacing w:after="0" w:line="169" w:lineRule="exact"/>
              <w:rPr>
                <w:sz w:val="20"/>
                <w:szCs w:val="20"/>
                <w:color w:val="auto"/>
              </w:rPr>
            </w:pPr>
            <w:r>
              <w:rPr>
                <w:rFonts w:ascii="Courier New" w:cs="Courier New" w:eastAsia="Courier New" w:hAnsi="Courier New"/>
                <w:sz w:val="15"/>
                <w:szCs w:val="15"/>
                <w:color w:val="auto"/>
                <w:w w:val="94"/>
              </w:rPr>
              <w:t>2004</w:t>
            </w:r>
          </w:p>
        </w:tc>
        <w:tc>
          <w:tcPr>
            <w:tcW w:w="3120" w:type="dxa"/>
            <w:vAlign w:val="bottom"/>
          </w:tcPr>
          <w:p>
            <w:pPr>
              <w:ind w:left="1500"/>
              <w:spacing w:after="0" w:line="169" w:lineRule="exact"/>
              <w:rPr>
                <w:sz w:val="20"/>
                <w:szCs w:val="20"/>
                <w:color w:val="auto"/>
              </w:rPr>
            </w:pPr>
            <w:r>
              <w:rPr>
                <w:rFonts w:ascii="Courier New" w:cs="Courier New" w:eastAsia="Courier New" w:hAnsi="Courier New"/>
                <w:sz w:val="15"/>
                <w:szCs w:val="15"/>
                <w:color w:val="auto"/>
              </w:rPr>
              <w:t>Put Options</w:t>
            </w:r>
          </w:p>
        </w:tc>
        <w:tc>
          <w:tcPr>
            <w:tcW w:w="1700" w:type="dxa"/>
            <w:vAlign w:val="bottom"/>
          </w:tcPr>
          <w:p>
            <w:pPr>
              <w:jc w:val="right"/>
              <w:ind w:right="727"/>
              <w:spacing w:after="0" w:line="169" w:lineRule="exact"/>
              <w:rPr>
                <w:sz w:val="20"/>
                <w:szCs w:val="20"/>
                <w:color w:val="auto"/>
              </w:rPr>
            </w:pPr>
            <w:r>
              <w:rPr>
                <w:rFonts w:ascii="Courier New" w:cs="Courier New" w:eastAsia="Courier New" w:hAnsi="Courier New"/>
                <w:sz w:val="15"/>
                <w:szCs w:val="15"/>
                <w:color w:val="auto"/>
              </w:rPr>
              <w:t>360</w:t>
            </w:r>
          </w:p>
        </w:tc>
        <w:tc>
          <w:tcPr>
            <w:tcW w:w="114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(25)</w:t>
            </w:r>
          </w:p>
        </w:tc>
      </w:tr>
      <w:tr>
        <w:trPr>
          <w:trHeight w:val="168"/>
        </w:trPr>
        <w:tc>
          <w:tcPr>
            <w:tcW w:w="1840" w:type="dxa"/>
            <w:vAlign w:val="bottom"/>
          </w:tcPr>
          <w:p>
            <w:pPr>
              <w:spacing w:after="0"/>
              <w:rPr>
                <w:sz w:val="14"/>
                <w:szCs w:val="14"/>
                <w:color w:val="auto"/>
              </w:rPr>
            </w:pPr>
          </w:p>
        </w:tc>
        <w:tc>
          <w:tcPr>
            <w:tcW w:w="3120" w:type="dxa"/>
            <w:vAlign w:val="bottom"/>
          </w:tcPr>
          <w:p>
            <w:pPr>
              <w:ind w:left="1500"/>
              <w:spacing w:after="0" w:line="168" w:lineRule="exact"/>
              <w:rPr>
                <w:sz w:val="20"/>
                <w:szCs w:val="20"/>
                <w:color w:val="auto"/>
              </w:rPr>
            </w:pPr>
            <w:r>
              <w:rPr>
                <w:rFonts w:ascii="Courier New" w:cs="Courier New" w:eastAsia="Courier New" w:hAnsi="Courier New"/>
                <w:sz w:val="15"/>
                <w:szCs w:val="15"/>
                <w:color w:val="auto"/>
              </w:rPr>
              <w:t>Swaps</w:t>
            </w:r>
          </w:p>
        </w:tc>
        <w:tc>
          <w:tcPr>
            <w:tcW w:w="170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154</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146</w:t>
      </w:r>
    </w:p>
    <w:p>
      <w:pPr>
        <w:sectPr>
          <w:pgSz w:w="11900" w:h="16838" w:orient="portrait"/>
          <w:cols w:equalWidth="0" w:num="1">
            <w:col w:w="10239"/>
          </w:cols>
          <w:pgMar w:left="220" w:top="960" w:right="1440" w:bottom="1440" w:gutter="0" w:footer="0" w:header="0"/>
        </w:sectPr>
      </w:pPr>
    </w:p>
    <w:bookmarkStart w:id="155" w:name="page156"/>
    <w:bookmarkEnd w:id="155"/>
    <w:p>
      <w:pPr>
        <w:spacing w:after="0"/>
        <w:tabs>
          <w:tab w:leader="none" w:pos="1560" w:val="left"/>
        </w:tabs>
        <w:rPr>
          <w:sz w:val="20"/>
          <w:szCs w:val="20"/>
          <w:color w:val="auto"/>
        </w:rPr>
      </w:pPr>
      <w:r>
        <w:rPr>
          <w:rFonts w:ascii="Courier New" w:cs="Courier New" w:eastAsia="Courier New" w:hAnsi="Courier New"/>
          <w:sz w:val="15"/>
          <w:szCs w:val="15"/>
          <w:color w:val="auto"/>
        </w:rPr>
        <w:t>ITEMS 12-14.</w:t>
      </w:r>
      <w:r>
        <w:rPr>
          <w:sz w:val="20"/>
          <w:szCs w:val="20"/>
          <w:color w:val="auto"/>
        </w:rPr>
        <w:tab/>
      </w:r>
      <w:r>
        <w:rPr>
          <w:rFonts w:ascii="Courier New" w:cs="Courier New" w:eastAsia="Courier New" w:hAnsi="Courier New"/>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ind w:right="6639"/>
        <w:spacing w:after="0"/>
        <w:rPr>
          <w:sz w:val="20"/>
          <w:szCs w:val="20"/>
          <w:color w:val="auto"/>
        </w:rPr>
      </w:pPr>
      <w:r>
        <w:rPr>
          <w:rFonts w:ascii="Courier New" w:cs="Courier New" w:eastAsia="Courier New" w:hAnsi="Courier New"/>
          <w:sz w:val="15"/>
          <w:szCs w:val="15"/>
          <w:color w:val="auto"/>
        </w:rPr>
        <w:t>147</w:t>
      </w:r>
    </w:p>
    <w:p>
      <w:pPr>
        <w:sectPr>
          <w:pgSz w:w="11900" w:h="16838" w:orient="portrait"/>
          <w:cols w:equalWidth="0" w:num="1">
            <w:col w:w="10239"/>
          </w:cols>
          <w:pgMar w:left="220" w:top="785" w:right="1440" w:bottom="1440" w:gutter="0" w:footer="0" w:header="0"/>
        </w:sectPr>
      </w:pPr>
    </w:p>
    <w:bookmarkStart w:id="156" w:name="page157"/>
    <w:bookmarkEnd w:id="156"/>
    <w:p>
      <w:pPr>
        <w:spacing w:after="0"/>
        <w:rPr>
          <w:sz w:val="20"/>
          <w:szCs w:val="20"/>
          <w:color w:val="auto"/>
        </w:rPr>
      </w:pPr>
      <w:r>
        <w:rPr>
          <w:rFonts w:ascii="Courier New" w:cs="Courier New" w:eastAsia="Courier New" w:hAnsi="Courier New"/>
          <w:sz w:val="15"/>
          <w:szCs w:val="15"/>
          <w:color w:val="auto"/>
        </w:rPr>
        <w:t>ITEM 15. CONTROLS AND PROCEDURES</w:t>
      </w:r>
    </w:p>
    <w:p>
      <w:pPr>
        <w:spacing w:after="0" w:line="173" w:lineRule="exact"/>
        <w:rPr>
          <w:sz w:val="20"/>
          <w:szCs w:val="20"/>
          <w:color w:val="auto"/>
        </w:rPr>
      </w:pPr>
    </w:p>
    <w:p>
      <w:pPr>
        <w:ind w:right="3239" w:firstLine="447"/>
        <w:spacing w:after="0" w:line="255" w:lineRule="auto"/>
        <w:tabs>
          <w:tab w:leader="none" w:pos="787"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Within the 90 days prior to the date of this report, we carried out an evaluation under the supervision and with the participation of our management, including our Chief Executive Officer and Chief Financial Officer, of the effectiveness of the design and operation of our disclosure controls and procedures. There are inherent limitations to the effectiveness of any system of disclosure controls and procedures, including the possibility of human error and the circumvention or overriding of the controls and procedures. Accordingly, even effective disclosure and control procedures can only provide reasonable assurance of achieving their control objectives. Based upon and as of the date of that evaluation, our Chief Executive Officer and Chief Financial Officer concluded that our disclosure controls and procedures are effective to provide reasonable assurance that information required to be disclosed in the reports we file and submit under the Securities Exchange Act of 1934 is recorded, processed, summarized and reported as and when required.</w:t>
      </w:r>
    </w:p>
    <w:p>
      <w:pPr>
        <w:spacing w:after="0" w:line="163" w:lineRule="exact"/>
        <w:rPr>
          <w:rFonts w:ascii="Courier New" w:cs="Courier New" w:eastAsia="Courier New" w:hAnsi="Courier New"/>
          <w:sz w:val="14"/>
          <w:szCs w:val="14"/>
          <w:color w:val="auto"/>
        </w:rPr>
      </w:pPr>
    </w:p>
    <w:p>
      <w:pPr>
        <w:ind w:right="3239" w:firstLine="447"/>
        <w:spacing w:after="0" w:line="235" w:lineRule="auto"/>
        <w:tabs>
          <w:tab w:leader="none" w:pos="787"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were no significant changes in our internal controls or in other factors which could significantly affect our internal controls subsequent to the date we carried out our evaluation.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148</w:t>
      </w:r>
    </w:p>
    <w:p>
      <w:pPr>
        <w:sectPr>
          <w:pgSz w:w="11900" w:h="16838" w:orient="portrait"/>
          <w:cols w:equalWidth="0" w:num="1">
            <w:col w:w="10239"/>
          </w:cols>
          <w:pgMar w:left="220" w:top="954" w:right="1440" w:bottom="1440" w:gutter="0" w:footer="0" w:header="0"/>
        </w:sectPr>
      </w:pPr>
    </w:p>
    <w:bookmarkStart w:id="157" w:name="page158"/>
    <w:bookmarkEnd w:id="157"/>
    <w:p>
      <w:pPr>
        <w:spacing w:after="0"/>
        <w:tabs>
          <w:tab w:leader="none" w:pos="1560" w:val="left"/>
        </w:tabs>
        <w:rPr>
          <w:sz w:val="20"/>
          <w:szCs w:val="20"/>
          <w:color w:val="auto"/>
        </w:rPr>
      </w:pPr>
      <w:r>
        <w:rPr>
          <w:rFonts w:ascii="Courier New" w:cs="Courier New" w:eastAsia="Courier New" w:hAnsi="Courier New"/>
          <w:sz w:val="15"/>
          <w:szCs w:val="15"/>
          <w:color w:val="auto"/>
        </w:rPr>
        <w:t>ITEMS 16-17.</w:t>
      </w:r>
      <w:r>
        <w:rPr>
          <w:sz w:val="20"/>
          <w:szCs w:val="20"/>
          <w:color w:val="auto"/>
        </w:rPr>
        <w:tab/>
      </w:r>
      <w:r>
        <w:rPr>
          <w:rFonts w:ascii="Courier New" w:cs="Courier New" w:eastAsia="Courier New" w:hAnsi="Courier New"/>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right"/>
        <w:ind w:right="6639"/>
        <w:spacing w:after="0"/>
        <w:rPr>
          <w:sz w:val="20"/>
          <w:szCs w:val="20"/>
          <w:color w:val="auto"/>
        </w:rPr>
      </w:pPr>
      <w:r>
        <w:rPr>
          <w:rFonts w:ascii="Courier New" w:cs="Courier New" w:eastAsia="Courier New" w:hAnsi="Courier New"/>
          <w:sz w:val="15"/>
          <w:szCs w:val="15"/>
          <w:color w:val="auto"/>
        </w:rPr>
        <w:t>149</w:t>
      </w:r>
    </w:p>
    <w:p>
      <w:pPr>
        <w:sectPr>
          <w:pgSz w:w="11900" w:h="16838" w:orient="portrait"/>
          <w:cols w:equalWidth="0" w:num="1">
            <w:col w:w="10239"/>
          </w:cols>
          <w:pgMar w:left="220" w:top="953" w:right="1440" w:bottom="1440" w:gutter="0" w:footer="0" w:header="0"/>
        </w:sectPr>
      </w:pPr>
    </w:p>
    <w:bookmarkStart w:id="158" w:name="page159"/>
    <w:bookmarkEnd w:id="158"/>
    <w:p>
      <w:pPr>
        <w:spacing w:after="0"/>
        <w:rPr>
          <w:sz w:val="20"/>
          <w:szCs w:val="20"/>
          <w:color w:val="auto"/>
        </w:rPr>
      </w:pPr>
      <w:r>
        <w:rPr>
          <w:rFonts w:ascii="Courier New" w:cs="Courier New" w:eastAsia="Courier New" w:hAnsi="Courier New"/>
          <w:sz w:val="15"/>
          <w:szCs w:val="15"/>
          <w:color w:val="auto"/>
        </w:rPr>
        <w:t>ITEM 18. FINANCIAL STATEMENTS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pages F-1 through F-48,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150</w:t>
      </w:r>
    </w:p>
    <w:p>
      <w:pPr>
        <w:sectPr>
          <w:pgSz w:w="11900" w:h="16838" w:orient="portrait"/>
          <w:cols w:equalWidth="0" w:num="1">
            <w:col w:w="10239"/>
          </w:cols>
          <w:pgMar w:left="220" w:top="954" w:right="1440" w:bottom="1440" w:gutter="0" w:footer="0" w:header="0"/>
        </w:sectPr>
      </w:pPr>
    </w:p>
    <w:bookmarkStart w:id="159" w:name="page160"/>
    <w:bookmarkEnd w:id="159"/>
    <w:p>
      <w:pPr>
        <w:spacing w:after="0"/>
        <w:rPr>
          <w:sz w:val="20"/>
          <w:szCs w:val="20"/>
          <w:color w:val="auto"/>
        </w:rPr>
      </w:pPr>
      <w:r>
        <w:rPr>
          <w:rFonts w:ascii="Courier New" w:cs="Courier New" w:eastAsia="Courier New" w:hAnsi="Courier New"/>
          <w:sz w:val="15"/>
          <w:szCs w:val="15"/>
          <w:color w:val="auto"/>
        </w:rPr>
        <w:t>ITEM 19. EXHIBITS</w:t>
      </w:r>
    </w:p>
    <w:p>
      <w:pPr>
        <w:spacing w:after="0" w:line="200" w:lineRule="exact"/>
        <w:rPr>
          <w:sz w:val="20"/>
          <w:szCs w:val="20"/>
          <w:color w:val="auto"/>
        </w:rPr>
      </w:pPr>
    </w:p>
    <w:p>
      <w:pPr>
        <w:spacing w:after="0" w:line="309" w:lineRule="exact"/>
        <w:rPr>
          <w:sz w:val="20"/>
          <w:szCs w:val="20"/>
          <w:color w:val="auto"/>
        </w:rPr>
      </w:pPr>
    </w:p>
    <w:p>
      <w:pPr>
        <w:jc w:val="both"/>
        <w:ind w:left="980" w:right="439" w:hanging="961"/>
        <w:spacing w:after="0" w:line="235" w:lineRule="auto"/>
        <w:tabs>
          <w:tab w:leader="none" w:pos="960" w:val="left"/>
        </w:tabs>
        <w:rPr>
          <w:sz w:val="20"/>
          <w:szCs w:val="20"/>
          <w:color w:val="auto"/>
        </w:rPr>
      </w:pPr>
      <w:r>
        <w:rPr>
          <w:rFonts w:ascii="Courier New" w:cs="Courier New" w:eastAsia="Courier New" w:hAnsi="Courier New"/>
          <w:sz w:val="15"/>
          <w:szCs w:val="15"/>
          <w:color w:val="auto"/>
        </w:rPr>
        <w:t>1.1</w:t>
      </w:r>
      <w:r>
        <w:rPr>
          <w:sz w:val="20"/>
          <w:szCs w:val="20"/>
          <w:color w:val="auto"/>
        </w:rPr>
        <w:tab/>
      </w:r>
      <w:r>
        <w:rPr>
          <w:rFonts w:ascii="Courier New" w:cs="Courier New" w:eastAsia="Courier New" w:hAnsi="Courier New"/>
          <w:sz w:val="15"/>
          <w:szCs w:val="15"/>
          <w:color w:val="auto"/>
        </w:rPr>
        <w:t>Bylaws (estatutos sociales) of FEMSA (formerly known as Valores Industriales, S.A.), together with an English translation (incorporated by reference to FEMSA's registration statement on Form F-4 filed on April 9, 1998 (File No. 333-8618)).</w:t>
      </w:r>
    </w:p>
    <w:p>
      <w:pPr>
        <w:spacing w:after="0" w:line="174" w:lineRule="exact"/>
        <w:rPr>
          <w:sz w:val="20"/>
          <w:szCs w:val="20"/>
          <w:color w:val="auto"/>
        </w:rPr>
      </w:pPr>
    </w:p>
    <w:p>
      <w:pPr>
        <w:ind w:left="980" w:right="3319" w:hanging="961"/>
        <w:spacing w:after="0" w:line="255" w:lineRule="auto"/>
        <w:tabs>
          <w:tab w:leader="none" w:pos="960" w:val="left"/>
        </w:tabs>
        <w:rPr>
          <w:sz w:val="20"/>
          <w:szCs w:val="20"/>
          <w:color w:val="auto"/>
        </w:rPr>
      </w:pPr>
      <w:r>
        <w:rPr>
          <w:rFonts w:ascii="Courier New" w:cs="Courier New" w:eastAsia="Courier New" w:hAnsi="Courier New"/>
          <w:sz w:val="15"/>
          <w:szCs w:val="15"/>
          <w:color w:val="auto"/>
        </w:rPr>
        <w:t>2.1</w:t>
      </w:r>
      <w:r>
        <w:rPr>
          <w:sz w:val="20"/>
          <w:szCs w:val="20"/>
          <w:color w:val="auto"/>
        </w:rPr>
        <w:tab/>
      </w:r>
      <w:r>
        <w:rPr>
          <w:rFonts w:ascii="Courier New" w:cs="Courier New" w:eastAsia="Courier New" w:hAnsi="Courier New"/>
          <w:sz w:val="14"/>
          <w:szCs w:val="14"/>
          <w:color w:val="auto"/>
        </w:rPr>
        <w:t>Deposit Agreement, among FEMSA (formerly known as Valores Industriales, S.A.), Citibank, N.A., and all registered holders and beneficial owners from time to time of any American Depositary Receipts, including the form of American Depositary Receipt (incorporated by reference to FEMSA's registration statement on Form F-4 filed on April 9, 1998 (File No. 333-8618)).</w:t>
      </w:r>
    </w:p>
    <w:p>
      <w:pPr>
        <w:spacing w:after="0" w:line="166" w:lineRule="exact"/>
        <w:rPr>
          <w:sz w:val="20"/>
          <w:szCs w:val="20"/>
          <w:color w:val="auto"/>
        </w:rPr>
      </w:pPr>
    </w:p>
    <w:p>
      <w:pPr>
        <w:ind w:left="980" w:right="3239" w:hanging="961"/>
        <w:spacing w:after="0" w:line="236" w:lineRule="auto"/>
        <w:tabs>
          <w:tab w:leader="none" w:pos="960" w:val="left"/>
        </w:tabs>
        <w:rPr>
          <w:sz w:val="20"/>
          <w:szCs w:val="20"/>
          <w:color w:val="auto"/>
        </w:rPr>
      </w:pPr>
      <w:r>
        <w:rPr>
          <w:rFonts w:ascii="Courier New" w:cs="Courier New" w:eastAsia="Courier New" w:hAnsi="Courier New"/>
          <w:sz w:val="15"/>
          <w:szCs w:val="15"/>
          <w:color w:val="auto"/>
        </w:rPr>
        <w:t>2.2</w:t>
      </w:r>
      <w:r>
        <w:rPr>
          <w:sz w:val="20"/>
          <w:szCs w:val="20"/>
          <w:color w:val="auto"/>
        </w:rPr>
        <w:tab/>
      </w:r>
      <w:r>
        <w:rPr>
          <w:rFonts w:ascii="Courier New" w:cs="Courier New" w:eastAsia="Courier New" w:hAnsi="Courier New"/>
          <w:sz w:val="15"/>
          <w:szCs w:val="15"/>
          <w:color w:val="auto"/>
        </w:rPr>
        <w:t>Specimen certificate representing a BD Unit, consisting of one Series B Share, two Series D-B Shares and two Series D-L Shares, together with an English translation (incorporated by reference to FEMSA's registration statement on Form F-4 filed on April 9, 1998 (File No. 333-8618)).</w:t>
      </w:r>
    </w:p>
    <w:p>
      <w:pPr>
        <w:spacing w:after="0" w:line="174" w:lineRule="exact"/>
        <w:rPr>
          <w:sz w:val="20"/>
          <w:szCs w:val="20"/>
          <w:color w:val="auto"/>
        </w:rPr>
      </w:pPr>
    </w:p>
    <w:p>
      <w:pPr>
        <w:ind w:left="980" w:right="3319" w:hanging="961"/>
        <w:spacing w:after="0" w:line="256" w:lineRule="auto"/>
        <w:tabs>
          <w:tab w:leader="none" w:pos="960" w:val="left"/>
        </w:tabs>
        <w:rPr>
          <w:sz w:val="20"/>
          <w:szCs w:val="20"/>
          <w:color w:val="auto"/>
        </w:rPr>
      </w:pPr>
      <w:r>
        <w:rPr>
          <w:rFonts w:ascii="Courier New" w:cs="Courier New" w:eastAsia="Courier New" w:hAnsi="Courier New"/>
          <w:sz w:val="15"/>
          <w:szCs w:val="15"/>
          <w:color w:val="auto"/>
        </w:rPr>
        <w:t>2.3</w:t>
      </w:r>
      <w:r>
        <w:rPr>
          <w:sz w:val="20"/>
          <w:szCs w:val="20"/>
          <w:color w:val="auto"/>
        </w:rPr>
        <w:tab/>
      </w:r>
      <w:r>
        <w:rPr>
          <w:rFonts w:ascii="Courier New" w:cs="Courier New" w:eastAsia="Courier New" w:hAnsi="Courier New"/>
          <w:sz w:val="14"/>
          <w:szCs w:val="14"/>
          <w:color w:val="auto"/>
        </w:rPr>
        <w:t>US$80,000,000 Credit Agreement, dated August 8, 2001, among FEMSA Comercio, the financial institutions party thereto, BBVA Bancomer, S.A. and BBVA Securities, Inc. (incorporated by reference to FEMSA's Form 20-F filed on June 20, 2001 (File No. 1-14814)).</w:t>
      </w:r>
    </w:p>
    <w:p>
      <w:pPr>
        <w:spacing w:after="0" w:line="164" w:lineRule="exact"/>
        <w:rPr>
          <w:sz w:val="20"/>
          <w:szCs w:val="20"/>
          <w:color w:val="auto"/>
        </w:rPr>
      </w:pPr>
    </w:p>
    <w:p>
      <w:pPr>
        <w:ind w:left="980" w:right="259" w:hanging="961"/>
        <w:spacing w:after="0" w:line="235" w:lineRule="auto"/>
        <w:tabs>
          <w:tab w:leader="none" w:pos="960" w:val="left"/>
        </w:tabs>
        <w:rPr>
          <w:sz w:val="20"/>
          <w:szCs w:val="20"/>
          <w:color w:val="auto"/>
        </w:rPr>
      </w:pPr>
      <w:r>
        <w:rPr>
          <w:rFonts w:ascii="Courier New" w:cs="Courier New" w:eastAsia="Courier New" w:hAnsi="Courier New"/>
          <w:sz w:val="15"/>
          <w:szCs w:val="15"/>
          <w:color w:val="auto"/>
        </w:rPr>
        <w:t>2.4</w:t>
      </w:r>
      <w:r>
        <w:rPr>
          <w:sz w:val="20"/>
          <w:szCs w:val="20"/>
          <w:color w:val="auto"/>
        </w:rPr>
        <w:tab/>
      </w:r>
      <w:r>
        <w:rPr>
          <w:rFonts w:ascii="Courier New" w:cs="Courier New" w:eastAsia="Courier New" w:hAnsi="Courier New"/>
          <w:sz w:val="15"/>
          <w:szCs w:val="15"/>
          <w:color w:val="auto"/>
        </w:rPr>
        <w:t>US$60,000,000 Credit Agreement, dated December 18, 2002, among FEMSA Empaques, Fabricas Monterrey, S.A. de C.V., Silices de Veracruz, S.A. de C.V., the financial institutions party thereto, BBVA Bancomer, S.A., Institucion de Banca Multiple, Grupo Financiero BBVA Bancomer, BankBoston N.A. and Export Development Canada</w:t>
      </w:r>
    </w:p>
    <w:p>
      <w:pPr>
        <w:spacing w:after="0" w:line="175" w:lineRule="exact"/>
        <w:rPr>
          <w:sz w:val="20"/>
          <w:szCs w:val="20"/>
          <w:color w:val="auto"/>
        </w:rPr>
      </w:pPr>
    </w:p>
    <w:p>
      <w:pPr>
        <w:ind w:left="980" w:right="259" w:hanging="961"/>
        <w:spacing w:after="0" w:line="235" w:lineRule="auto"/>
        <w:tabs>
          <w:tab w:leader="none" w:pos="960" w:val="left"/>
        </w:tabs>
        <w:rPr>
          <w:sz w:val="20"/>
          <w:szCs w:val="20"/>
          <w:color w:val="auto"/>
        </w:rPr>
      </w:pPr>
      <w:r>
        <w:rPr>
          <w:rFonts w:ascii="Courier New" w:cs="Courier New" w:eastAsia="Courier New" w:hAnsi="Courier New"/>
          <w:sz w:val="15"/>
          <w:szCs w:val="15"/>
          <w:color w:val="auto"/>
        </w:rPr>
        <w:t>2.5</w:t>
      </w:r>
      <w:r>
        <w:rPr>
          <w:sz w:val="20"/>
          <w:szCs w:val="20"/>
          <w:color w:val="auto"/>
        </w:rPr>
        <w:tab/>
      </w:r>
      <w:r>
        <w:rPr>
          <w:rFonts w:ascii="Courier New" w:cs="Courier New" w:eastAsia="Courier New" w:hAnsi="Courier New"/>
          <w:sz w:val="15"/>
          <w:szCs w:val="15"/>
          <w:color w:val="auto"/>
        </w:rPr>
        <w:t>Amendment, dated April 9, 2003, to the Credit Agreement, dated December 18, 2002, among FEMSA Empaques, Fabricas Monterrey, S.A. de C.V., Silices de Veracruz, S.A. de C.V., BBVA Bancomer, S.A., Institucion de Banca Multiple, Grupo Financiero BBVA Bancomer, BankBoston N.A., Export Development Canada and Banco Nacional de Comercio Exterior, S.N.C.</w:t>
      </w:r>
    </w:p>
    <w:p>
      <w:pPr>
        <w:spacing w:after="0" w:line="169"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2.6</w:t>
      </w:r>
      <w:r>
        <w:rPr>
          <w:sz w:val="20"/>
          <w:szCs w:val="20"/>
          <w:color w:val="auto"/>
        </w:rPr>
        <w:tab/>
      </w:r>
      <w:r>
        <w:rPr>
          <w:rFonts w:ascii="Courier New" w:cs="Courier New" w:eastAsia="Courier New" w:hAnsi="Courier New"/>
          <w:sz w:val="14"/>
          <w:szCs w:val="14"/>
          <w:color w:val="auto"/>
        </w:rPr>
        <w:t>FEMSA Cerveza, Note Purchase Agreement, dated October 28, 1999,</w:t>
      </w:r>
    </w:p>
    <w:p>
      <w:pPr>
        <w:ind w:left="980"/>
        <w:spacing w:after="0" w:line="237" w:lineRule="auto"/>
        <w:rPr>
          <w:sz w:val="20"/>
          <w:szCs w:val="20"/>
          <w:color w:val="auto"/>
        </w:rPr>
      </w:pPr>
      <w:r>
        <w:rPr>
          <w:rFonts w:ascii="Courier New" w:cs="Courier New" w:eastAsia="Courier New" w:hAnsi="Courier New"/>
          <w:sz w:val="15"/>
          <w:szCs w:val="15"/>
          <w:color w:val="auto"/>
        </w:rPr>
        <w:t>US$150,000,000 8.92% Senior Notes due 2004 (incorporated by reference</w:t>
      </w:r>
    </w:p>
    <w:p>
      <w:pPr>
        <w:ind w:left="980"/>
        <w:spacing w:after="0" w:line="238" w:lineRule="auto"/>
        <w:rPr>
          <w:sz w:val="20"/>
          <w:szCs w:val="20"/>
          <w:color w:val="auto"/>
        </w:rPr>
      </w:pPr>
      <w:r>
        <w:rPr>
          <w:rFonts w:ascii="Courier New" w:cs="Courier New" w:eastAsia="Courier New" w:hAnsi="Courier New"/>
          <w:sz w:val="15"/>
          <w:szCs w:val="15"/>
          <w:color w:val="auto"/>
        </w:rPr>
        <w:t>to FEMSA's annual report on Form 20-F filed June 27, 2000 (File No.</w:t>
      </w:r>
    </w:p>
    <w:p>
      <w:pPr>
        <w:ind w:left="980"/>
        <w:spacing w:after="0" w:line="237" w:lineRule="auto"/>
        <w:rPr>
          <w:sz w:val="20"/>
          <w:szCs w:val="20"/>
          <w:color w:val="auto"/>
        </w:rPr>
      </w:pPr>
      <w:r>
        <w:rPr>
          <w:rFonts w:ascii="Courier New" w:cs="Courier New" w:eastAsia="Courier New" w:hAnsi="Courier New"/>
          <w:sz w:val="15"/>
          <w:szCs w:val="15"/>
          <w:color w:val="auto"/>
        </w:rPr>
        <w:t>1-14814)).</w:t>
      </w:r>
    </w:p>
    <w:p>
      <w:pPr>
        <w:spacing w:after="0" w:line="173" w:lineRule="exact"/>
        <w:rPr>
          <w:sz w:val="20"/>
          <w:szCs w:val="20"/>
          <w:color w:val="auto"/>
        </w:rPr>
      </w:pPr>
    </w:p>
    <w:p>
      <w:pPr>
        <w:ind w:left="980" w:right="3239" w:hanging="961"/>
        <w:spacing w:after="0" w:line="235" w:lineRule="auto"/>
        <w:tabs>
          <w:tab w:leader="none" w:pos="960" w:val="left"/>
        </w:tabs>
        <w:rPr>
          <w:sz w:val="20"/>
          <w:szCs w:val="20"/>
          <w:color w:val="auto"/>
        </w:rPr>
      </w:pPr>
      <w:r>
        <w:rPr>
          <w:rFonts w:ascii="Courier New" w:cs="Courier New" w:eastAsia="Courier New" w:hAnsi="Courier New"/>
          <w:sz w:val="15"/>
          <w:szCs w:val="15"/>
          <w:color w:val="auto"/>
        </w:rPr>
        <w:t>2.7</w:t>
      </w:r>
      <w:r>
        <w:rPr>
          <w:sz w:val="20"/>
          <w:szCs w:val="20"/>
          <w:color w:val="auto"/>
        </w:rPr>
        <w:tab/>
      </w:r>
      <w:r>
        <w:rPr>
          <w:rFonts w:ascii="Courier New" w:cs="Courier New" w:eastAsia="Courier New" w:hAnsi="Courier New"/>
          <w:sz w:val="15"/>
          <w:szCs w:val="15"/>
          <w:color w:val="auto"/>
        </w:rPr>
        <w:t>Indenture Agreement between Coca-Cola FEMSA and Citibank, N.A., as trustee, dated October 28, 1996 (incorporated by reference to FEMSA's registration statement on Form F-4 filed on April 9, 1998 (File No. 333-8618)).</w:t>
      </w:r>
    </w:p>
    <w:p>
      <w:pPr>
        <w:spacing w:after="0" w:line="175" w:lineRule="exact"/>
        <w:rPr>
          <w:sz w:val="20"/>
          <w:szCs w:val="20"/>
          <w:color w:val="auto"/>
        </w:rPr>
      </w:pPr>
    </w:p>
    <w:p>
      <w:pPr>
        <w:ind w:left="980" w:right="3239" w:hanging="961"/>
        <w:spacing w:after="0" w:line="235" w:lineRule="auto"/>
        <w:tabs>
          <w:tab w:leader="none" w:pos="960" w:val="left"/>
        </w:tabs>
        <w:rPr>
          <w:sz w:val="20"/>
          <w:szCs w:val="20"/>
          <w:color w:val="auto"/>
        </w:rPr>
      </w:pPr>
      <w:r>
        <w:rPr>
          <w:rFonts w:ascii="Courier New" w:cs="Courier New" w:eastAsia="Courier New" w:hAnsi="Courier New"/>
          <w:sz w:val="15"/>
          <w:szCs w:val="15"/>
          <w:color w:val="auto"/>
        </w:rPr>
        <w:t>2.8</w:t>
      </w:r>
      <w:r>
        <w:rPr>
          <w:sz w:val="20"/>
          <w:szCs w:val="20"/>
          <w:color w:val="auto"/>
        </w:rPr>
        <w:tab/>
      </w:r>
      <w:r>
        <w:rPr>
          <w:rFonts w:ascii="Courier New" w:cs="Courier New" w:eastAsia="Courier New" w:hAnsi="Courier New"/>
          <w:sz w:val="15"/>
          <w:szCs w:val="15"/>
          <w:color w:val="auto"/>
        </w:rPr>
        <w:t>Note Purchase Agreement, dated August 26, 1994, among Coca-Cola FEMSA and the holders specified therein (incorporated by reference to FEMSA's registration statement on Form F-4 filed on April 9, 1998 (File No. 333-8618)).</w:t>
      </w:r>
    </w:p>
    <w:p>
      <w:pPr>
        <w:spacing w:after="0" w:line="175" w:lineRule="exact"/>
        <w:rPr>
          <w:sz w:val="20"/>
          <w:szCs w:val="20"/>
          <w:color w:val="auto"/>
        </w:rPr>
      </w:pPr>
    </w:p>
    <w:p>
      <w:pPr>
        <w:ind w:left="980" w:right="3319" w:hanging="961"/>
        <w:spacing w:after="0" w:line="235" w:lineRule="auto"/>
        <w:tabs>
          <w:tab w:leader="none" w:pos="960" w:val="left"/>
        </w:tabs>
        <w:rPr>
          <w:sz w:val="20"/>
          <w:szCs w:val="20"/>
          <w:color w:val="auto"/>
        </w:rPr>
      </w:pPr>
      <w:r>
        <w:rPr>
          <w:rFonts w:ascii="Courier New" w:cs="Courier New" w:eastAsia="Courier New" w:hAnsi="Courier New"/>
          <w:sz w:val="15"/>
          <w:szCs w:val="15"/>
          <w:color w:val="auto"/>
        </w:rPr>
        <w:t>2.9</w:t>
      </w:r>
      <w:r>
        <w:rPr>
          <w:sz w:val="20"/>
          <w:szCs w:val="20"/>
          <w:color w:val="auto"/>
        </w:rPr>
        <w:tab/>
      </w:r>
      <w:r>
        <w:rPr>
          <w:rFonts w:ascii="Courier New" w:cs="Courier New" w:eastAsia="Courier New" w:hAnsi="Courier New"/>
          <w:sz w:val="15"/>
          <w:szCs w:val="15"/>
          <w:color w:val="auto"/>
        </w:rPr>
        <w:t>Voting Trust Agreement among certain principal shareholders of FEMSA together with an English translation (incorporated by reference to FEMSA's registration statement on Form F-4 filed on April 9, 1998 (File No. 333-8618)).</w:t>
      </w:r>
    </w:p>
    <w:p>
      <w:pPr>
        <w:spacing w:after="0" w:line="175" w:lineRule="exact"/>
        <w:rPr>
          <w:sz w:val="20"/>
          <w:szCs w:val="20"/>
          <w:color w:val="auto"/>
        </w:rPr>
      </w:pPr>
    </w:p>
    <w:p>
      <w:pPr>
        <w:ind w:left="980" w:right="439" w:hanging="961"/>
        <w:spacing w:after="0" w:line="235" w:lineRule="auto"/>
        <w:tabs>
          <w:tab w:leader="none" w:pos="960" w:val="left"/>
        </w:tabs>
        <w:rPr>
          <w:sz w:val="20"/>
          <w:szCs w:val="20"/>
          <w:color w:val="auto"/>
        </w:rPr>
      </w:pPr>
      <w:r>
        <w:rPr>
          <w:rFonts w:ascii="Courier New" w:cs="Courier New" w:eastAsia="Courier New" w:hAnsi="Courier New"/>
          <w:sz w:val="15"/>
          <w:szCs w:val="15"/>
          <w:color w:val="auto"/>
        </w:rPr>
        <w:t>2.10</w:t>
      </w:r>
      <w:r>
        <w:rPr>
          <w:sz w:val="20"/>
          <w:szCs w:val="20"/>
          <w:color w:val="auto"/>
        </w:rPr>
        <w:tab/>
      </w:r>
      <w:r>
        <w:rPr>
          <w:rFonts w:ascii="Courier New" w:cs="Courier New" w:eastAsia="Courier New" w:hAnsi="Courier New"/>
          <w:sz w:val="15"/>
          <w:szCs w:val="15"/>
          <w:color w:val="auto"/>
        </w:rPr>
        <w:t>Term Loan Agreement, dated April 23, 2003, among Coca-Cola FEMSA, JPMorgan Chase Bank, Banco J.P. Morgan, S.A., Morgan Stanley Senior Funding, Inc., J.P. Morgan Securities Inc., Banco Nacional de Mexico, S.A., BBVA Bancomer and ING Bank, N.V. (incorporated by reference to Coca-Cola FEMSA's annual report on Form 20-F filed on June 27, 2003 (File No. 1-2260)).</w:t>
      </w:r>
    </w:p>
    <w:p>
      <w:pPr>
        <w:spacing w:after="0" w:line="175" w:lineRule="exact"/>
        <w:rPr>
          <w:sz w:val="20"/>
          <w:szCs w:val="20"/>
          <w:color w:val="auto"/>
        </w:rPr>
      </w:pPr>
    </w:p>
    <w:p>
      <w:pPr>
        <w:ind w:left="980" w:right="439" w:hanging="961"/>
        <w:spacing w:after="0" w:line="235" w:lineRule="auto"/>
        <w:tabs>
          <w:tab w:leader="none" w:pos="960" w:val="left"/>
        </w:tabs>
        <w:rPr>
          <w:sz w:val="20"/>
          <w:szCs w:val="20"/>
          <w:color w:val="auto"/>
        </w:rPr>
      </w:pPr>
      <w:r>
        <w:rPr>
          <w:rFonts w:ascii="Courier New" w:cs="Courier New" w:eastAsia="Courier New" w:hAnsi="Courier New"/>
          <w:sz w:val="15"/>
          <w:szCs w:val="15"/>
          <w:color w:val="auto"/>
        </w:rPr>
        <w:t>2.11</w:t>
      </w:r>
      <w:r>
        <w:rPr>
          <w:sz w:val="20"/>
          <w:szCs w:val="20"/>
          <w:color w:val="auto"/>
        </w:rPr>
        <w:tab/>
      </w:r>
      <w:r>
        <w:rPr>
          <w:rFonts w:ascii="Courier New" w:cs="Courier New" w:eastAsia="Courier New" w:hAnsi="Courier New"/>
          <w:sz w:val="15"/>
          <w:szCs w:val="15"/>
          <w:color w:val="auto"/>
        </w:rPr>
        <w:t>Bridge Loan Agreement, dated April 23, 2003, among Coca-Cola FEMSA, JPMorgan Chase Bank, Banco J.P. Morgan, S.A., Morgan Stanley Senior Funding, Inc., J.P. Morgan Securities Inc., Banco Nacional de Mexico, S.A., BBVA Bancomer and ING Bank, N.V. (incorporated by reference to Coca-Cola FEMSA's annual report on Form 20-F filed on June 27, 2003 (File No. 1-2260)).</w:t>
      </w:r>
    </w:p>
    <w:p>
      <w:pPr>
        <w:spacing w:after="0" w:line="169"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2.12</w:t>
      </w:r>
      <w:r>
        <w:rPr>
          <w:sz w:val="20"/>
          <w:szCs w:val="20"/>
          <w:color w:val="auto"/>
        </w:rPr>
        <w:tab/>
      </w:r>
      <w:r>
        <w:rPr>
          <w:rFonts w:ascii="Courier New" w:cs="Courier New" w:eastAsia="Courier New" w:hAnsi="Courier New"/>
          <w:sz w:val="14"/>
          <w:szCs w:val="14"/>
          <w:color w:val="auto"/>
        </w:rPr>
        <w:t>Mexican Certificados Bursatiles in the amount of Ps. 2,000 million (maturing in four years).</w:t>
      </w:r>
    </w:p>
    <w:p>
      <w:pPr>
        <w:spacing w:after="0" w:line="166"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2.13</w:t>
      </w:r>
      <w:r>
        <w:rPr>
          <w:sz w:val="20"/>
          <w:szCs w:val="20"/>
          <w:color w:val="auto"/>
        </w:rPr>
        <w:tab/>
      </w:r>
      <w:r>
        <w:rPr>
          <w:rFonts w:ascii="Courier New" w:cs="Courier New" w:eastAsia="Courier New" w:hAnsi="Courier New"/>
          <w:sz w:val="14"/>
          <w:szCs w:val="14"/>
          <w:color w:val="auto"/>
        </w:rPr>
        <w:t>Mexican Certificados Bursatiles in the amount of Ps. 1,250 million (maturing in five years).</w:t>
      </w:r>
    </w:p>
    <w:p>
      <w:pPr>
        <w:spacing w:after="0" w:line="166"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2.14</w:t>
      </w:r>
      <w:r>
        <w:rPr>
          <w:sz w:val="20"/>
          <w:szCs w:val="20"/>
          <w:color w:val="auto"/>
        </w:rPr>
        <w:tab/>
      </w:r>
      <w:r>
        <w:rPr>
          <w:rFonts w:ascii="Courier New" w:cs="Courier New" w:eastAsia="Courier New" w:hAnsi="Courier New"/>
          <w:sz w:val="14"/>
          <w:szCs w:val="14"/>
          <w:color w:val="auto"/>
        </w:rPr>
        <w:t>Mexican Certificados Bursatiles in the amount of Ps. 1,000 million (maturing in seven years).</w:t>
      </w:r>
    </w:p>
    <w:p>
      <w:pPr>
        <w:spacing w:after="0" w:line="200" w:lineRule="exact"/>
        <w:rPr>
          <w:sz w:val="20"/>
          <w:szCs w:val="20"/>
          <w:color w:val="auto"/>
        </w:rPr>
      </w:pPr>
    </w:p>
    <w:p>
      <w:pPr>
        <w:spacing w:after="0" w:line="30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151</w:t>
      </w:r>
    </w:p>
    <w:p>
      <w:pPr>
        <w:sectPr>
          <w:pgSz w:w="11900" w:h="16838" w:orient="portrait"/>
          <w:cols w:equalWidth="0" w:num="1">
            <w:col w:w="10239"/>
          </w:cols>
          <w:pgMar w:left="220" w:top="1290" w:right="1440" w:bottom="1440" w:gutter="0" w:footer="0" w:header="0"/>
        </w:sectPr>
      </w:pPr>
    </w:p>
    <w:bookmarkStart w:id="160" w:name="page161"/>
    <w:bookmarkEnd w:id="160"/>
    <w:p>
      <w:pPr>
        <w:ind w:left="980" w:right="699" w:hanging="961"/>
        <w:spacing w:after="0" w:line="234" w:lineRule="auto"/>
        <w:tabs>
          <w:tab w:leader="none" w:pos="960"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5"/>
          <w:szCs w:val="15"/>
          <w:color w:val="auto"/>
        </w:rPr>
        <w:t>Shareholders' Agreement, dated September 12, 1994, as amended, among FEMSA, Labatt Brewing Company Limited and FEMSA Cerveza (incorporated by reference to FEMSA's</w:t>
      </w:r>
    </w:p>
    <w:p>
      <w:pPr>
        <w:ind w:left="980"/>
        <w:spacing w:after="0" w:line="237" w:lineRule="auto"/>
        <w:rPr>
          <w:sz w:val="20"/>
          <w:szCs w:val="20"/>
          <w:color w:val="auto"/>
        </w:rPr>
      </w:pPr>
      <w:r>
        <w:rPr>
          <w:rFonts w:ascii="Courier New" w:cs="Courier New" w:eastAsia="Courier New" w:hAnsi="Courier New"/>
          <w:sz w:val="15"/>
          <w:szCs w:val="15"/>
          <w:color w:val="auto"/>
        </w:rPr>
        <w:t>registration statement on Form F-4 filed on April 9, 1998 (file No.</w:t>
      </w:r>
    </w:p>
    <w:p>
      <w:pPr>
        <w:ind w:left="980"/>
        <w:spacing w:after="0" w:line="238" w:lineRule="auto"/>
        <w:rPr>
          <w:sz w:val="20"/>
          <w:szCs w:val="20"/>
          <w:color w:val="auto"/>
        </w:rPr>
      </w:pPr>
      <w:r>
        <w:rPr>
          <w:rFonts w:ascii="Courier New" w:cs="Courier New" w:eastAsia="Courier New" w:hAnsi="Courier New"/>
          <w:sz w:val="15"/>
          <w:szCs w:val="15"/>
          <w:color w:val="auto"/>
        </w:rPr>
        <w:t>333-8618)).</w:t>
      </w:r>
    </w:p>
    <w:p>
      <w:pPr>
        <w:spacing w:after="0" w:line="173" w:lineRule="exact"/>
        <w:rPr>
          <w:sz w:val="20"/>
          <w:szCs w:val="20"/>
          <w:color w:val="auto"/>
        </w:rPr>
      </w:pPr>
    </w:p>
    <w:p>
      <w:pPr>
        <w:ind w:left="980" w:right="339" w:hanging="961"/>
        <w:spacing w:after="0" w:line="255" w:lineRule="auto"/>
        <w:tabs>
          <w:tab w:leader="none" w:pos="960"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4"/>
          <w:szCs w:val="14"/>
          <w:color w:val="auto"/>
        </w:rPr>
        <w:t>Joint Venture Agreement, dated December 1, 1994, among Labatt, Labatt Holdings, Inc. ("Labatt Holdings"), Labatt USA, Inc., Labatt Importers, Inc., Latrobe Brewing Company, Labatt Holdings II Inc. ("Labatt Holdings II"), FEMSA Cerveza, Multi-National Investment Corporation, Wisdom Import Sales Company, Inc. ("Wisdom Import Sales Company"), LF Holdings I. L.L.C. ("LF Holdings I"), LF Holdings II L.L.C. ("LF Holdings II"), Latrobe Brewing Company L.L.C. and Labatt USA L.L.C. (incorporated by reference to FEMSA's registration statement on Form F-4 filed on April 9, 1998 (File No. 333-8618)).</w:t>
      </w:r>
    </w:p>
    <w:p>
      <w:pPr>
        <w:spacing w:after="0" w:line="166" w:lineRule="exact"/>
        <w:rPr>
          <w:sz w:val="20"/>
          <w:szCs w:val="20"/>
          <w:color w:val="auto"/>
        </w:rPr>
      </w:pPr>
    </w:p>
    <w:p>
      <w:pPr>
        <w:jc w:val="both"/>
        <w:ind w:left="980" w:right="3319" w:hanging="961"/>
        <w:spacing w:after="0" w:line="235" w:lineRule="auto"/>
        <w:tabs>
          <w:tab w:leader="none" w:pos="960"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5"/>
          <w:szCs w:val="15"/>
          <w:color w:val="auto"/>
        </w:rPr>
        <w:t>Distribution Agreement, dated December 1, 1994, among FEMSA Cerveza, Labatt, and certain affiliates (incorporated by reference to FEMSA's registration statement on Form F-4 filed on April 9, 1998 (File No. 333-8618)).</w:t>
      </w:r>
    </w:p>
    <w:p>
      <w:pPr>
        <w:spacing w:after="0" w:line="175" w:lineRule="exact"/>
        <w:rPr>
          <w:sz w:val="20"/>
          <w:szCs w:val="20"/>
          <w:color w:val="auto"/>
        </w:rPr>
      </w:pPr>
    </w:p>
    <w:p>
      <w:pPr>
        <w:ind w:left="980" w:right="3399" w:hanging="961"/>
        <w:spacing w:after="0" w:line="258" w:lineRule="auto"/>
        <w:tabs>
          <w:tab w:leader="none" w:pos="960" w:val="left"/>
        </w:tabs>
        <w:rPr>
          <w:sz w:val="20"/>
          <w:szCs w:val="20"/>
          <w:color w:val="auto"/>
        </w:rPr>
      </w:pPr>
      <w:r>
        <w:rPr>
          <w:rFonts w:ascii="Courier New" w:cs="Courier New" w:eastAsia="Courier New" w:hAnsi="Courier New"/>
          <w:sz w:val="15"/>
          <w:szCs w:val="15"/>
          <w:color w:val="auto"/>
        </w:rPr>
        <w:t>4.3</w:t>
      </w:r>
      <w:r>
        <w:rPr>
          <w:sz w:val="20"/>
          <w:szCs w:val="20"/>
          <w:color w:val="auto"/>
        </w:rPr>
        <w:tab/>
      </w:r>
      <w:r>
        <w:rPr>
          <w:rFonts w:ascii="Courier New" w:cs="Courier New" w:eastAsia="Courier New" w:hAnsi="Courier New"/>
          <w:sz w:val="14"/>
          <w:szCs w:val="14"/>
          <w:color w:val="auto"/>
        </w:rPr>
        <w:t>Members Agreement, dated March 1, 1996, among FEMSA Cerveza and Labatt (incorporated by reference to FEMSA's registration statement on Form F-4 filed on April 9, 1998 (File No. 333-8618)).</w:t>
      </w:r>
    </w:p>
    <w:p>
      <w:pPr>
        <w:spacing w:after="0" w:line="161" w:lineRule="exact"/>
        <w:rPr>
          <w:sz w:val="20"/>
          <w:szCs w:val="20"/>
          <w:color w:val="auto"/>
        </w:rPr>
      </w:pPr>
    </w:p>
    <w:p>
      <w:pPr>
        <w:ind w:left="980" w:right="439" w:hanging="961"/>
        <w:spacing w:after="0" w:line="235" w:lineRule="auto"/>
        <w:tabs>
          <w:tab w:leader="none" w:pos="960" w:val="left"/>
        </w:tabs>
        <w:rPr>
          <w:sz w:val="20"/>
          <w:szCs w:val="20"/>
          <w:color w:val="auto"/>
        </w:rPr>
      </w:pPr>
      <w:r>
        <w:rPr>
          <w:rFonts w:ascii="Courier New" w:cs="Courier New" w:eastAsia="Courier New" w:hAnsi="Courier New"/>
          <w:sz w:val="15"/>
          <w:szCs w:val="15"/>
          <w:color w:val="auto"/>
        </w:rPr>
        <w:t>4.4</w:t>
      </w:r>
      <w:r>
        <w:rPr>
          <w:sz w:val="20"/>
          <w:szCs w:val="20"/>
          <w:color w:val="auto"/>
        </w:rPr>
        <w:tab/>
      </w:r>
      <w:r>
        <w:rPr>
          <w:rFonts w:ascii="Courier New" w:cs="Courier New" w:eastAsia="Courier New" w:hAnsi="Courier New"/>
          <w:sz w:val="15"/>
          <w:szCs w:val="15"/>
          <w:color w:val="auto"/>
        </w:rPr>
        <w:t>Distribution Agreement, dated September 12, 1994, between FEMSA Cerveza and FEMSA Comercio (incorporated by reference to FEMSA's registration statement on Form F-4 filed on April 9, 1998 (File No. 333-8618)).</w:t>
      </w:r>
    </w:p>
    <w:p>
      <w:pPr>
        <w:spacing w:after="0" w:line="174" w:lineRule="exact"/>
        <w:rPr>
          <w:sz w:val="20"/>
          <w:szCs w:val="20"/>
          <w:color w:val="auto"/>
        </w:rPr>
      </w:pPr>
    </w:p>
    <w:p>
      <w:pPr>
        <w:ind w:left="980" w:right="3239" w:hanging="961"/>
        <w:spacing w:after="0" w:line="258" w:lineRule="auto"/>
        <w:tabs>
          <w:tab w:leader="none" w:pos="960" w:val="left"/>
        </w:tabs>
        <w:rPr>
          <w:sz w:val="20"/>
          <w:szCs w:val="20"/>
          <w:color w:val="auto"/>
        </w:rPr>
      </w:pPr>
      <w:r>
        <w:rPr>
          <w:rFonts w:ascii="Courier New" w:cs="Courier New" w:eastAsia="Courier New" w:hAnsi="Courier New"/>
          <w:sz w:val="15"/>
          <w:szCs w:val="15"/>
          <w:color w:val="auto"/>
        </w:rPr>
        <w:t>4.5</w:t>
      </w:r>
      <w:r>
        <w:rPr>
          <w:sz w:val="20"/>
          <w:szCs w:val="20"/>
          <w:color w:val="auto"/>
        </w:rPr>
        <w:tab/>
      </w:r>
      <w:r>
        <w:rPr>
          <w:rFonts w:ascii="Courier New" w:cs="Courier New" w:eastAsia="Courier New" w:hAnsi="Courier New"/>
          <w:sz w:val="14"/>
          <w:szCs w:val="14"/>
          <w:color w:val="auto"/>
        </w:rPr>
        <w:t>Supply Agreement, dated September 12, 1994, between FEMSA Cerveza and FEMSA Empaques (incorporated by reference to FEMSA's registration statement on Form F-4 filed on April 9, 1998 (File No. 333-8618)).</w:t>
      </w:r>
    </w:p>
    <w:p>
      <w:pPr>
        <w:spacing w:after="0" w:line="161" w:lineRule="exact"/>
        <w:rPr>
          <w:sz w:val="20"/>
          <w:szCs w:val="20"/>
          <w:color w:val="auto"/>
        </w:rPr>
      </w:pPr>
    </w:p>
    <w:p>
      <w:pPr>
        <w:ind w:left="980" w:right="3399" w:hanging="961"/>
        <w:spacing w:after="0" w:line="254" w:lineRule="auto"/>
        <w:tabs>
          <w:tab w:leader="none" w:pos="960" w:val="left"/>
        </w:tabs>
        <w:rPr>
          <w:sz w:val="20"/>
          <w:szCs w:val="20"/>
          <w:color w:val="auto"/>
        </w:rPr>
      </w:pPr>
      <w:r>
        <w:rPr>
          <w:rFonts w:ascii="Courier New" w:cs="Courier New" w:eastAsia="Courier New" w:hAnsi="Courier New"/>
          <w:sz w:val="15"/>
          <w:szCs w:val="15"/>
          <w:color w:val="auto"/>
        </w:rPr>
        <w:t>4.6</w:t>
      </w:r>
      <w:r>
        <w:rPr>
          <w:sz w:val="20"/>
          <w:szCs w:val="20"/>
          <w:color w:val="auto"/>
        </w:rPr>
        <w:tab/>
      </w:r>
      <w:r>
        <w:rPr>
          <w:rFonts w:ascii="Courier New" w:cs="Courier New" w:eastAsia="Courier New" w:hAnsi="Courier New"/>
          <w:sz w:val="14"/>
          <w:szCs w:val="14"/>
          <w:color w:val="auto"/>
        </w:rPr>
        <w:t>Services Agreement, dated September 12, 1994, between FEMSA Cerveza and FEMSA Servicios (incorporated by reference to FEMSA's registration statement on Form F-4 filed on April 9, 1998 (File No.</w:t>
      </w:r>
    </w:p>
    <w:p>
      <w:pPr>
        <w:ind w:left="980"/>
        <w:spacing w:after="0" w:line="232" w:lineRule="auto"/>
        <w:rPr>
          <w:sz w:val="20"/>
          <w:szCs w:val="20"/>
          <w:color w:val="auto"/>
        </w:rPr>
      </w:pPr>
      <w:r>
        <w:rPr>
          <w:rFonts w:ascii="Courier New" w:cs="Courier New" w:eastAsia="Courier New" w:hAnsi="Courier New"/>
          <w:sz w:val="15"/>
          <w:szCs w:val="15"/>
          <w:color w:val="auto"/>
        </w:rPr>
        <w:t>333-8618)).</w:t>
      </w:r>
    </w:p>
    <w:p>
      <w:pPr>
        <w:spacing w:after="0" w:line="167"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4.7</w:t>
      </w:r>
      <w:r>
        <w:rPr>
          <w:sz w:val="20"/>
          <w:szCs w:val="20"/>
          <w:color w:val="auto"/>
        </w:rPr>
        <w:tab/>
      </w:r>
      <w:r>
        <w:rPr>
          <w:rFonts w:ascii="Courier New" w:cs="Courier New" w:eastAsia="Courier New" w:hAnsi="Courier New"/>
          <w:sz w:val="14"/>
          <w:szCs w:val="14"/>
          <w:color w:val="auto"/>
        </w:rPr>
        <w:t>Services Agreement, dated December 31, 1999, between Cerveceria Cuauhtemoc Moctezuma and Labatt.</w:t>
      </w:r>
    </w:p>
    <w:p>
      <w:pPr>
        <w:spacing w:after="0" w:line="173" w:lineRule="exact"/>
        <w:rPr>
          <w:sz w:val="20"/>
          <w:szCs w:val="20"/>
          <w:color w:val="auto"/>
        </w:rPr>
      </w:pPr>
    </w:p>
    <w:p>
      <w:pPr>
        <w:ind w:left="980" w:right="519" w:hanging="961"/>
        <w:spacing w:after="0" w:line="234" w:lineRule="auto"/>
        <w:tabs>
          <w:tab w:leader="none" w:pos="960" w:val="left"/>
        </w:tabs>
        <w:rPr>
          <w:sz w:val="20"/>
          <w:szCs w:val="20"/>
          <w:color w:val="auto"/>
        </w:rPr>
      </w:pPr>
      <w:r>
        <w:rPr>
          <w:rFonts w:ascii="Courier New" w:cs="Courier New" w:eastAsia="Courier New" w:hAnsi="Courier New"/>
          <w:sz w:val="15"/>
          <w:szCs w:val="15"/>
          <w:color w:val="auto"/>
        </w:rPr>
        <w:t>4.8</w:t>
      </w:r>
      <w:r>
        <w:rPr>
          <w:sz w:val="20"/>
          <w:szCs w:val="20"/>
          <w:color w:val="auto"/>
        </w:rPr>
        <w:tab/>
      </w:r>
      <w:r>
        <w:rPr>
          <w:rFonts w:ascii="Courier New" w:cs="Courier New" w:eastAsia="Courier New" w:hAnsi="Courier New"/>
          <w:sz w:val="15"/>
          <w:szCs w:val="15"/>
          <w:color w:val="auto"/>
        </w:rPr>
        <w:t>Amended and Restated Shareholder's Agreement, dated July 6, 2002, among CIBSA, Emprex, The Coca-Cola Company and Inmex (incorporated by reference to Coca-Cola FEMSA's</w:t>
      </w:r>
    </w:p>
    <w:p>
      <w:pPr>
        <w:ind w:left="980"/>
        <w:spacing w:after="0" w:line="237" w:lineRule="auto"/>
        <w:rPr>
          <w:sz w:val="20"/>
          <w:szCs w:val="20"/>
          <w:color w:val="auto"/>
        </w:rPr>
      </w:pPr>
      <w:r>
        <w:rPr>
          <w:rFonts w:ascii="Courier New" w:cs="Courier New" w:eastAsia="Courier New" w:hAnsi="Courier New"/>
          <w:sz w:val="15"/>
          <w:szCs w:val="15"/>
          <w:color w:val="auto"/>
        </w:rPr>
        <w:t>annual report on Form 20-F filed on June 27, 2003 (File No.</w:t>
      </w:r>
    </w:p>
    <w:p>
      <w:pPr>
        <w:ind w:left="980"/>
        <w:spacing w:after="0" w:line="238" w:lineRule="auto"/>
        <w:rPr>
          <w:sz w:val="20"/>
          <w:szCs w:val="20"/>
          <w:color w:val="auto"/>
        </w:rPr>
      </w:pPr>
      <w:r>
        <w:rPr>
          <w:rFonts w:ascii="Courier New" w:cs="Courier New" w:eastAsia="Courier New" w:hAnsi="Courier New"/>
          <w:sz w:val="15"/>
          <w:szCs w:val="15"/>
          <w:color w:val="auto"/>
        </w:rPr>
        <w:t>1-12260)).</w:t>
      </w:r>
    </w:p>
    <w:p>
      <w:pPr>
        <w:spacing w:after="0" w:line="173" w:lineRule="exact"/>
        <w:rPr>
          <w:sz w:val="20"/>
          <w:szCs w:val="20"/>
          <w:color w:val="auto"/>
        </w:rPr>
      </w:pPr>
    </w:p>
    <w:p>
      <w:pPr>
        <w:ind w:left="980" w:right="3399" w:hanging="961"/>
        <w:spacing w:after="0" w:line="254" w:lineRule="auto"/>
        <w:tabs>
          <w:tab w:leader="none" w:pos="960" w:val="left"/>
        </w:tabs>
        <w:rPr>
          <w:sz w:val="20"/>
          <w:szCs w:val="20"/>
          <w:color w:val="auto"/>
        </w:rPr>
      </w:pPr>
      <w:r>
        <w:rPr>
          <w:rFonts w:ascii="Courier New" w:cs="Courier New" w:eastAsia="Courier New" w:hAnsi="Courier New"/>
          <w:sz w:val="15"/>
          <w:szCs w:val="15"/>
          <w:color w:val="auto"/>
        </w:rPr>
        <w:t>4.9</w:t>
      </w:r>
      <w:r>
        <w:rPr>
          <w:sz w:val="20"/>
          <w:szCs w:val="20"/>
          <w:color w:val="auto"/>
        </w:rPr>
        <w:tab/>
      </w:r>
      <w:r>
        <w:rPr>
          <w:rFonts w:ascii="Courier New" w:cs="Courier New" w:eastAsia="Courier New" w:hAnsi="Courier New"/>
          <w:sz w:val="14"/>
          <w:szCs w:val="14"/>
          <w:color w:val="auto"/>
        </w:rPr>
        <w:t>Amendment, dated May 6, 2003, to Shareholders' Agreement as amended and restated on July 6, 2002, among CIBSA, Emprex, The Coca-Cola Company and Inmex (incorporated by reference to Coca-Cola FEMSA's annual report on Form 20-F filed on June 27, 2003 (File No.</w:t>
      </w:r>
    </w:p>
    <w:p>
      <w:pPr>
        <w:ind w:left="980"/>
        <w:spacing w:after="0" w:line="232" w:lineRule="auto"/>
        <w:rPr>
          <w:sz w:val="20"/>
          <w:szCs w:val="20"/>
          <w:color w:val="auto"/>
        </w:rPr>
      </w:pPr>
      <w:r>
        <w:rPr>
          <w:rFonts w:ascii="Courier New" w:cs="Courier New" w:eastAsia="Courier New" w:hAnsi="Courier New"/>
          <w:sz w:val="15"/>
          <w:szCs w:val="15"/>
          <w:color w:val="auto"/>
        </w:rPr>
        <w:t>1-12260)).</w:t>
      </w:r>
    </w:p>
    <w:p>
      <w:pPr>
        <w:spacing w:after="0" w:line="174" w:lineRule="exact"/>
        <w:rPr>
          <w:sz w:val="20"/>
          <w:szCs w:val="20"/>
          <w:color w:val="auto"/>
        </w:rPr>
      </w:pPr>
    </w:p>
    <w:p>
      <w:pPr>
        <w:ind w:left="980" w:right="3239" w:hanging="961"/>
        <w:spacing w:after="0" w:line="236" w:lineRule="auto"/>
        <w:tabs>
          <w:tab w:leader="none" w:pos="960" w:val="left"/>
        </w:tabs>
        <w:rPr>
          <w:sz w:val="20"/>
          <w:szCs w:val="20"/>
          <w:color w:val="auto"/>
        </w:rPr>
      </w:pPr>
      <w:r>
        <w:rPr>
          <w:rFonts w:ascii="Courier New" w:cs="Courier New" w:eastAsia="Courier New" w:hAnsi="Courier New"/>
          <w:sz w:val="15"/>
          <w:szCs w:val="15"/>
          <w:color w:val="auto"/>
        </w:rPr>
        <w:t>4.10</w:t>
      </w:r>
      <w:r>
        <w:rPr>
          <w:sz w:val="20"/>
          <w:szCs w:val="20"/>
          <w:color w:val="auto"/>
        </w:rPr>
        <w:tab/>
      </w:r>
      <w:r>
        <w:rPr>
          <w:rFonts w:ascii="Courier New" w:cs="Courier New" w:eastAsia="Courier New" w:hAnsi="Courier New"/>
          <w:sz w:val="15"/>
          <w:szCs w:val="15"/>
          <w:color w:val="auto"/>
        </w:rPr>
        <w:t>Bottler Agreement, dated June 21, 1993, with respect to the Valley of Mexico, between Coca-Cola FEMSA and The Coca-Cola Company, together with an English translation (incorporated by reference to FEMSA's registration statement on Form F-4 filed on April 9, 1998 (File No. 333-8618)).</w:t>
      </w:r>
    </w:p>
    <w:p>
      <w:pPr>
        <w:spacing w:after="0" w:line="174" w:lineRule="exact"/>
        <w:rPr>
          <w:sz w:val="20"/>
          <w:szCs w:val="20"/>
          <w:color w:val="auto"/>
        </w:rPr>
      </w:pPr>
    </w:p>
    <w:p>
      <w:pPr>
        <w:ind w:left="980" w:right="3319" w:hanging="961"/>
        <w:spacing w:after="0" w:line="236" w:lineRule="auto"/>
        <w:tabs>
          <w:tab w:leader="none" w:pos="960" w:val="left"/>
        </w:tabs>
        <w:rPr>
          <w:sz w:val="20"/>
          <w:szCs w:val="20"/>
          <w:color w:val="auto"/>
        </w:rPr>
      </w:pPr>
      <w:r>
        <w:rPr>
          <w:rFonts w:ascii="Courier New" w:cs="Courier New" w:eastAsia="Courier New" w:hAnsi="Courier New"/>
          <w:sz w:val="15"/>
          <w:szCs w:val="15"/>
          <w:color w:val="auto"/>
        </w:rPr>
        <w:t>4.11</w:t>
      </w:r>
      <w:r>
        <w:rPr>
          <w:sz w:val="20"/>
          <w:szCs w:val="20"/>
          <w:color w:val="auto"/>
        </w:rPr>
        <w:tab/>
      </w:r>
      <w:r>
        <w:rPr>
          <w:rFonts w:ascii="Courier New" w:cs="Courier New" w:eastAsia="Courier New" w:hAnsi="Courier New"/>
          <w:sz w:val="15"/>
          <w:szCs w:val="15"/>
          <w:color w:val="auto"/>
        </w:rPr>
        <w:t>Supplemental Agreement, dated June 21, 1993, with respect to the Valley of Mexico, between Coca-Cola FEMSA and The Coca-Cola Company, together with an English translation (incorporated by reference to FEMSA's registration statement on Form F-4 filed on April 9, 1998 (File No. 333-8618)).</w:t>
      </w:r>
    </w:p>
    <w:p>
      <w:pPr>
        <w:spacing w:after="0" w:line="174" w:lineRule="exact"/>
        <w:rPr>
          <w:sz w:val="20"/>
          <w:szCs w:val="20"/>
          <w:color w:val="auto"/>
        </w:rPr>
      </w:pPr>
    </w:p>
    <w:p>
      <w:pPr>
        <w:ind w:left="980" w:right="3399" w:hanging="961"/>
        <w:spacing w:after="0" w:line="236" w:lineRule="auto"/>
        <w:tabs>
          <w:tab w:leader="none" w:pos="960" w:val="left"/>
        </w:tabs>
        <w:rPr>
          <w:sz w:val="20"/>
          <w:szCs w:val="20"/>
          <w:color w:val="auto"/>
        </w:rPr>
      </w:pPr>
      <w:r>
        <w:rPr>
          <w:rFonts w:ascii="Courier New" w:cs="Courier New" w:eastAsia="Courier New" w:hAnsi="Courier New"/>
          <w:sz w:val="15"/>
          <w:szCs w:val="15"/>
          <w:color w:val="auto"/>
        </w:rPr>
        <w:t>4.12</w:t>
      </w:r>
      <w:r>
        <w:rPr>
          <w:sz w:val="20"/>
          <w:szCs w:val="20"/>
          <w:color w:val="auto"/>
        </w:rPr>
        <w:tab/>
      </w:r>
      <w:r>
        <w:rPr>
          <w:rFonts w:ascii="Courier New" w:cs="Courier New" w:eastAsia="Courier New" w:hAnsi="Courier New"/>
          <w:sz w:val="15"/>
          <w:szCs w:val="15"/>
          <w:color w:val="auto"/>
        </w:rPr>
        <w:t>Bottler Agreement, dated June 21, 1993, with respect to Southeast Mexico, between Coca-Cola FEMSA and The Coca-Cola Company, together with an English translation (incorporated by reference to FEMSA's registration statement on Form F-4 filed on April 9, 1998 (File No. 333-8618)).</w:t>
      </w:r>
    </w:p>
    <w:p>
      <w:pPr>
        <w:spacing w:after="0" w:line="174" w:lineRule="exact"/>
        <w:rPr>
          <w:sz w:val="20"/>
          <w:szCs w:val="20"/>
          <w:color w:val="auto"/>
        </w:rPr>
      </w:pPr>
    </w:p>
    <w:p>
      <w:pPr>
        <w:ind w:left="980" w:right="3319" w:hanging="961"/>
        <w:spacing w:after="0" w:line="236" w:lineRule="auto"/>
        <w:tabs>
          <w:tab w:leader="none" w:pos="960" w:val="left"/>
        </w:tabs>
        <w:rPr>
          <w:sz w:val="20"/>
          <w:szCs w:val="20"/>
          <w:color w:val="auto"/>
        </w:rPr>
      </w:pPr>
      <w:r>
        <w:rPr>
          <w:rFonts w:ascii="Courier New" w:cs="Courier New" w:eastAsia="Courier New" w:hAnsi="Courier New"/>
          <w:sz w:val="15"/>
          <w:szCs w:val="15"/>
          <w:color w:val="auto"/>
        </w:rPr>
        <w:t>4.13</w:t>
      </w:r>
      <w:r>
        <w:rPr>
          <w:sz w:val="20"/>
          <w:szCs w:val="20"/>
          <w:color w:val="auto"/>
        </w:rPr>
        <w:tab/>
      </w:r>
      <w:r>
        <w:rPr>
          <w:rFonts w:ascii="Courier New" w:cs="Courier New" w:eastAsia="Courier New" w:hAnsi="Courier New"/>
          <w:sz w:val="15"/>
          <w:szCs w:val="15"/>
          <w:color w:val="auto"/>
        </w:rPr>
        <w:t>Supplemental Agreement, dated June 21, 1993, with respect to Southeast Mexico, between Coca-Cola FEMSA and The Coca-Cola Company, together with an English translation (incorporated by reference to FEMSA's registration statement on Form F-4 filed on April 9, 1998 (File No. 333-8618)).</w:t>
      </w:r>
    </w:p>
    <w:p>
      <w:pPr>
        <w:spacing w:after="0" w:line="174" w:lineRule="exact"/>
        <w:rPr>
          <w:sz w:val="20"/>
          <w:szCs w:val="20"/>
          <w:color w:val="auto"/>
        </w:rPr>
      </w:pPr>
    </w:p>
    <w:p>
      <w:pPr>
        <w:ind w:left="980" w:right="3239" w:hanging="961"/>
        <w:spacing w:after="0" w:line="236" w:lineRule="auto"/>
        <w:tabs>
          <w:tab w:leader="none" w:pos="960" w:val="left"/>
        </w:tabs>
        <w:rPr>
          <w:sz w:val="20"/>
          <w:szCs w:val="20"/>
          <w:color w:val="auto"/>
        </w:rPr>
      </w:pPr>
      <w:r>
        <w:rPr>
          <w:rFonts w:ascii="Courier New" w:cs="Courier New" w:eastAsia="Courier New" w:hAnsi="Courier New"/>
          <w:sz w:val="15"/>
          <w:szCs w:val="15"/>
          <w:color w:val="auto"/>
        </w:rPr>
        <w:t>4.14</w:t>
      </w:r>
      <w:r>
        <w:rPr>
          <w:sz w:val="20"/>
          <w:szCs w:val="20"/>
          <w:color w:val="auto"/>
        </w:rPr>
        <w:tab/>
      </w:r>
      <w:r>
        <w:rPr>
          <w:rFonts w:ascii="Courier New" w:cs="Courier New" w:eastAsia="Courier New" w:hAnsi="Courier New"/>
          <w:sz w:val="15"/>
          <w:szCs w:val="15"/>
          <w:color w:val="auto"/>
        </w:rPr>
        <w:t>Bottler Agreement, dated August 22, 1994, with respect to the greater Buenos Aires area, between Coca-Cola FEMSA and The Coca-Cola Company, together with an English translation (incorporated by reference to FEMSA's registration statement on Form F-4 filed on April 9, 1998 (File No. 333-8618)).</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152</w:t>
      </w:r>
    </w:p>
    <w:p>
      <w:pPr>
        <w:sectPr>
          <w:pgSz w:w="11900" w:h="16838" w:orient="portrait"/>
          <w:cols w:equalWidth="0" w:num="1">
            <w:col w:w="10239"/>
          </w:cols>
          <w:pgMar w:left="220" w:top="1296" w:right="1440" w:bottom="1440" w:gutter="0" w:footer="0" w:header="0"/>
        </w:sectPr>
      </w:pPr>
    </w:p>
    <w:bookmarkStart w:id="161" w:name="page162"/>
    <w:bookmarkEnd w:id="161"/>
    <w:p>
      <w:pPr>
        <w:ind w:left="980" w:right="3319" w:hanging="961"/>
        <w:spacing w:after="0" w:line="236" w:lineRule="auto"/>
        <w:tabs>
          <w:tab w:leader="none" w:pos="960" w:val="left"/>
        </w:tabs>
        <w:rPr>
          <w:sz w:val="20"/>
          <w:szCs w:val="20"/>
          <w:color w:val="auto"/>
        </w:rPr>
      </w:pPr>
      <w:r>
        <w:rPr>
          <w:rFonts w:ascii="Courier New" w:cs="Courier New" w:eastAsia="Courier New" w:hAnsi="Courier New"/>
          <w:sz w:val="15"/>
          <w:szCs w:val="15"/>
          <w:color w:val="auto"/>
        </w:rPr>
        <w:t>4.15</w:t>
      </w:r>
      <w:r>
        <w:rPr>
          <w:sz w:val="20"/>
          <w:szCs w:val="20"/>
          <w:color w:val="auto"/>
        </w:rPr>
        <w:tab/>
      </w:r>
      <w:r>
        <w:rPr>
          <w:rFonts w:ascii="Courier New" w:cs="Courier New" w:eastAsia="Courier New" w:hAnsi="Courier New"/>
          <w:sz w:val="15"/>
          <w:szCs w:val="15"/>
          <w:color w:val="auto"/>
        </w:rPr>
        <w:t>Supplemental Agreement, dated August 22, 1994, with respect to the greater Buenos Aires area, between Coca-Cola FEMSA and The Coca-Cola Company, together with an English translation (incorporated by reference to FEMSA's registration statement on Form F-4 filed on April 9, 1998 (File No. 333-8618)).</w:t>
      </w:r>
    </w:p>
    <w:p>
      <w:pPr>
        <w:spacing w:after="0" w:line="174" w:lineRule="exact"/>
        <w:rPr>
          <w:sz w:val="20"/>
          <w:szCs w:val="20"/>
          <w:color w:val="auto"/>
        </w:rPr>
      </w:pPr>
    </w:p>
    <w:p>
      <w:pPr>
        <w:ind w:left="980" w:right="3239" w:hanging="961"/>
        <w:spacing w:after="0" w:line="256" w:lineRule="auto"/>
        <w:tabs>
          <w:tab w:leader="none" w:pos="960" w:val="left"/>
        </w:tabs>
        <w:rPr>
          <w:sz w:val="20"/>
          <w:szCs w:val="20"/>
          <w:color w:val="auto"/>
        </w:rPr>
      </w:pPr>
      <w:r>
        <w:rPr>
          <w:rFonts w:ascii="Courier New" w:cs="Courier New" w:eastAsia="Courier New" w:hAnsi="Courier New"/>
          <w:sz w:val="15"/>
          <w:szCs w:val="15"/>
          <w:color w:val="auto"/>
        </w:rPr>
        <w:t>4.16</w:t>
      </w:r>
      <w:r>
        <w:rPr>
          <w:sz w:val="20"/>
          <w:szCs w:val="20"/>
          <w:color w:val="auto"/>
        </w:rPr>
        <w:tab/>
      </w:r>
      <w:r>
        <w:rPr>
          <w:rFonts w:ascii="Courier New" w:cs="Courier New" w:eastAsia="Courier New" w:hAnsi="Courier New"/>
          <w:sz w:val="14"/>
          <w:szCs w:val="14"/>
          <w:color w:val="auto"/>
        </w:rPr>
        <w:t>Amendment, dated August 4, 1995, to the Bottler Agreement with respect to the greater Buenos Aires area between Coca-Cola FEMSA and The Coca-Cola Company dated August 22, 1994, together with an English translation (incorporated by reference to FEMSA's registration statement on Form F-4 filed on April 9, 1998 (File No. 333-8618)).</w:t>
      </w:r>
    </w:p>
    <w:p>
      <w:pPr>
        <w:spacing w:after="0" w:line="163" w:lineRule="exact"/>
        <w:rPr>
          <w:sz w:val="20"/>
          <w:szCs w:val="20"/>
          <w:color w:val="auto"/>
        </w:rPr>
      </w:pPr>
    </w:p>
    <w:p>
      <w:pPr>
        <w:ind w:left="980" w:right="3239" w:hanging="961"/>
        <w:spacing w:after="0" w:line="236" w:lineRule="auto"/>
        <w:tabs>
          <w:tab w:leader="none" w:pos="960" w:val="left"/>
        </w:tabs>
        <w:rPr>
          <w:sz w:val="20"/>
          <w:szCs w:val="20"/>
          <w:color w:val="auto"/>
        </w:rPr>
      </w:pPr>
      <w:r>
        <w:rPr>
          <w:rFonts w:ascii="Courier New" w:cs="Courier New" w:eastAsia="Courier New" w:hAnsi="Courier New"/>
          <w:sz w:val="15"/>
          <w:szCs w:val="15"/>
          <w:color w:val="auto"/>
        </w:rPr>
        <w:t>4.17</w:t>
      </w:r>
      <w:r>
        <w:rPr>
          <w:sz w:val="20"/>
          <w:szCs w:val="20"/>
          <w:color w:val="auto"/>
        </w:rPr>
        <w:tab/>
      </w:r>
      <w:r>
        <w:rPr>
          <w:rFonts w:ascii="Courier New" w:cs="Courier New" w:eastAsia="Courier New" w:hAnsi="Courier New"/>
          <w:sz w:val="15"/>
          <w:szCs w:val="15"/>
          <w:color w:val="auto"/>
        </w:rPr>
        <w:t>Bottler Agreement, dated December 1, 1995, with respect to former SIRSA San Isidro Refrescos, S.A. I y C ("SIRSA"), between Coca-Cola FEMSA and The Coca-Cola Company, together with an English translation (incorporated by reference to FEMSA's registration statement on Form F-4 filed on April 9, 1998 (File No. 333-8618)).</w:t>
      </w:r>
    </w:p>
    <w:p>
      <w:pPr>
        <w:spacing w:after="0" w:line="174" w:lineRule="exact"/>
        <w:rPr>
          <w:sz w:val="20"/>
          <w:szCs w:val="20"/>
          <w:color w:val="auto"/>
        </w:rPr>
      </w:pPr>
    </w:p>
    <w:p>
      <w:pPr>
        <w:ind w:left="980" w:right="3579" w:hanging="961"/>
        <w:spacing w:after="0" w:line="236" w:lineRule="auto"/>
        <w:tabs>
          <w:tab w:leader="none" w:pos="960" w:val="left"/>
        </w:tabs>
        <w:rPr>
          <w:sz w:val="20"/>
          <w:szCs w:val="20"/>
          <w:color w:val="auto"/>
        </w:rPr>
      </w:pPr>
      <w:r>
        <w:rPr>
          <w:rFonts w:ascii="Courier New" w:cs="Courier New" w:eastAsia="Courier New" w:hAnsi="Courier New"/>
          <w:sz w:val="15"/>
          <w:szCs w:val="15"/>
          <w:color w:val="auto"/>
        </w:rPr>
        <w:t>4.18</w:t>
      </w:r>
      <w:r>
        <w:rPr>
          <w:sz w:val="20"/>
          <w:szCs w:val="20"/>
          <w:color w:val="auto"/>
        </w:rPr>
        <w:tab/>
      </w:r>
      <w:r>
        <w:rPr>
          <w:rFonts w:ascii="Courier New" w:cs="Courier New" w:eastAsia="Courier New" w:hAnsi="Courier New"/>
          <w:sz w:val="15"/>
          <w:szCs w:val="15"/>
          <w:color w:val="auto"/>
        </w:rPr>
        <w:t>Supplemental Agreement, dated December 1, 1995, with respect to former SIRSA territory, between Coca-Cola FEMSA and The Coca-Cola Company, together with an English translation (incorporated by reference to FEMSA's registration statement on Form F-4 filed on April 9, 1998 (File No. 333-8618)).</w:t>
      </w:r>
    </w:p>
    <w:p>
      <w:pPr>
        <w:spacing w:after="0" w:line="174" w:lineRule="exact"/>
        <w:rPr>
          <w:sz w:val="20"/>
          <w:szCs w:val="20"/>
          <w:color w:val="auto"/>
        </w:rPr>
      </w:pPr>
    </w:p>
    <w:p>
      <w:pPr>
        <w:jc w:val="both"/>
        <w:ind w:left="980" w:right="3239" w:hanging="961"/>
        <w:spacing w:after="0" w:line="256" w:lineRule="auto"/>
        <w:tabs>
          <w:tab w:leader="none" w:pos="960" w:val="left"/>
        </w:tabs>
        <w:rPr>
          <w:sz w:val="20"/>
          <w:szCs w:val="20"/>
          <w:color w:val="auto"/>
        </w:rPr>
      </w:pPr>
      <w:r>
        <w:rPr>
          <w:rFonts w:ascii="Courier New" w:cs="Courier New" w:eastAsia="Courier New" w:hAnsi="Courier New"/>
          <w:sz w:val="15"/>
          <w:szCs w:val="15"/>
          <w:color w:val="auto"/>
        </w:rPr>
        <w:t>4.19</w:t>
      </w:r>
      <w:r>
        <w:rPr>
          <w:sz w:val="20"/>
          <w:szCs w:val="20"/>
          <w:color w:val="auto"/>
        </w:rPr>
        <w:tab/>
      </w:r>
      <w:r>
        <w:rPr>
          <w:rFonts w:ascii="Courier New" w:cs="Courier New" w:eastAsia="Courier New" w:hAnsi="Courier New"/>
          <w:sz w:val="14"/>
          <w:szCs w:val="14"/>
          <w:color w:val="auto"/>
        </w:rPr>
        <w:t>Amendment, dated February 1, 1996, to Bottler Agreement with respect to former SIRSA territory, dated December 1, 1995, between Coca-Cola FEMSA and The Coca-Cola Company, together with an English translation (incorporated by reference to FEMSA's registration statement on Form F-4 filed on April 9, 1998 (File No. 333-8618)).</w:t>
      </w:r>
    </w:p>
    <w:p>
      <w:pPr>
        <w:spacing w:after="0" w:line="163" w:lineRule="exact"/>
        <w:rPr>
          <w:sz w:val="20"/>
          <w:szCs w:val="20"/>
          <w:color w:val="auto"/>
        </w:rPr>
      </w:pPr>
    </w:p>
    <w:p>
      <w:pPr>
        <w:ind w:left="980" w:right="3399" w:hanging="961"/>
        <w:spacing w:after="0" w:line="236" w:lineRule="auto"/>
        <w:tabs>
          <w:tab w:leader="none" w:pos="960" w:val="left"/>
        </w:tabs>
        <w:rPr>
          <w:sz w:val="20"/>
          <w:szCs w:val="20"/>
          <w:color w:val="auto"/>
        </w:rPr>
      </w:pPr>
      <w:r>
        <w:rPr>
          <w:rFonts w:ascii="Courier New" w:cs="Courier New" w:eastAsia="Courier New" w:hAnsi="Courier New"/>
          <w:sz w:val="15"/>
          <w:szCs w:val="15"/>
          <w:color w:val="auto"/>
        </w:rPr>
        <w:t>4.20</w:t>
      </w:r>
      <w:r>
        <w:rPr>
          <w:sz w:val="20"/>
          <w:szCs w:val="20"/>
          <w:color w:val="auto"/>
        </w:rPr>
        <w:tab/>
      </w:r>
      <w:r>
        <w:rPr>
          <w:rFonts w:ascii="Courier New" w:cs="Courier New" w:eastAsia="Courier New" w:hAnsi="Courier New"/>
          <w:sz w:val="15"/>
          <w:szCs w:val="15"/>
          <w:color w:val="auto"/>
        </w:rPr>
        <w:t>Bottler Agreements, dated November 2, 2001, with respect to the Mundet brands in the Valley of Mexico and most of Southeast Mexico, between subsidiaries of Coca-Cola FEMSA and Promotora de Marcas Nacionales, S.A. de C.V. (incorporated by reference to Coca-Cola FEMSA's annual report on Form 20-F filed on July 1, 2002 (File No. 1-12260)).</w:t>
      </w:r>
    </w:p>
    <w:p>
      <w:pPr>
        <w:spacing w:after="0" w:line="175" w:lineRule="exact"/>
        <w:rPr>
          <w:sz w:val="20"/>
          <w:szCs w:val="20"/>
          <w:color w:val="auto"/>
        </w:rPr>
      </w:pPr>
    </w:p>
    <w:p>
      <w:pPr>
        <w:ind w:left="980" w:right="3319" w:hanging="961"/>
        <w:spacing w:after="0" w:line="254" w:lineRule="auto"/>
        <w:tabs>
          <w:tab w:leader="none" w:pos="960" w:val="left"/>
        </w:tabs>
        <w:rPr>
          <w:sz w:val="20"/>
          <w:szCs w:val="20"/>
          <w:color w:val="auto"/>
        </w:rPr>
      </w:pPr>
      <w:r>
        <w:rPr>
          <w:rFonts w:ascii="Courier New" w:cs="Courier New" w:eastAsia="Courier New" w:hAnsi="Courier New"/>
          <w:sz w:val="15"/>
          <w:szCs w:val="15"/>
          <w:color w:val="auto"/>
        </w:rPr>
        <w:t>4.21</w:t>
      </w:r>
      <w:r>
        <w:rPr>
          <w:sz w:val="20"/>
          <w:szCs w:val="20"/>
          <w:color w:val="auto"/>
        </w:rPr>
        <w:tab/>
      </w:r>
      <w:r>
        <w:rPr>
          <w:rFonts w:ascii="Courier New" w:cs="Courier New" w:eastAsia="Courier New" w:hAnsi="Courier New"/>
          <w:sz w:val="14"/>
          <w:szCs w:val="14"/>
          <w:color w:val="auto"/>
        </w:rPr>
        <w:t>Bottler Agreement with respect to the Mexican Golfo area between Panamco Golfo, S.A. de C.V. and The Coca-Cola Company, dated July 1, 1999 (English Translation) (incorporated by reference to Coca-Cola FEMSA's annual report on Form 20-F filed June 27, 2003 (File No.</w:t>
      </w:r>
    </w:p>
    <w:p>
      <w:pPr>
        <w:ind w:left="980"/>
        <w:spacing w:after="0" w:line="232" w:lineRule="auto"/>
        <w:rPr>
          <w:sz w:val="20"/>
          <w:szCs w:val="20"/>
          <w:color w:val="auto"/>
        </w:rPr>
      </w:pPr>
      <w:r>
        <w:rPr>
          <w:rFonts w:ascii="Courier New" w:cs="Courier New" w:eastAsia="Courier New" w:hAnsi="Courier New"/>
          <w:sz w:val="15"/>
          <w:szCs w:val="15"/>
          <w:color w:val="auto"/>
        </w:rPr>
        <w:t>1-12260)).</w:t>
      </w:r>
    </w:p>
    <w:p>
      <w:pPr>
        <w:spacing w:after="0" w:line="174" w:lineRule="exact"/>
        <w:rPr>
          <w:sz w:val="20"/>
          <w:szCs w:val="20"/>
          <w:color w:val="auto"/>
        </w:rPr>
      </w:pPr>
    </w:p>
    <w:p>
      <w:pPr>
        <w:ind w:left="980" w:right="3319" w:hanging="961"/>
        <w:spacing w:after="0" w:line="254" w:lineRule="auto"/>
        <w:tabs>
          <w:tab w:leader="none" w:pos="960" w:val="left"/>
        </w:tabs>
        <w:rPr>
          <w:sz w:val="20"/>
          <w:szCs w:val="20"/>
          <w:color w:val="auto"/>
        </w:rPr>
      </w:pPr>
      <w:r>
        <w:rPr>
          <w:rFonts w:ascii="Courier New" w:cs="Courier New" w:eastAsia="Courier New" w:hAnsi="Courier New"/>
          <w:sz w:val="15"/>
          <w:szCs w:val="15"/>
          <w:color w:val="auto"/>
        </w:rPr>
        <w:t>4.22</w:t>
      </w:r>
      <w:r>
        <w:rPr>
          <w:sz w:val="20"/>
          <w:szCs w:val="20"/>
          <w:color w:val="auto"/>
        </w:rPr>
        <w:tab/>
      </w:r>
      <w:r>
        <w:rPr>
          <w:rFonts w:ascii="Courier New" w:cs="Courier New" w:eastAsia="Courier New" w:hAnsi="Courier New"/>
          <w:sz w:val="14"/>
          <w:szCs w:val="14"/>
          <w:color w:val="auto"/>
        </w:rPr>
        <w:t>Bottler Agreement with respect to the Mexican Bajio area between Panamco Bajio, S.A. de C.V. and The Coca-Cola Company, dated July 1, 1999 (English Translation) (incorporated by reference to Coca-Cola FEMSA's annual report on Form 20-F filed June 27, 2003 (File No.</w:t>
      </w:r>
    </w:p>
    <w:p>
      <w:pPr>
        <w:ind w:left="980"/>
        <w:spacing w:after="0" w:line="232" w:lineRule="auto"/>
        <w:rPr>
          <w:sz w:val="20"/>
          <w:szCs w:val="20"/>
          <w:color w:val="auto"/>
        </w:rPr>
      </w:pPr>
      <w:r>
        <w:rPr>
          <w:rFonts w:ascii="Courier New" w:cs="Courier New" w:eastAsia="Courier New" w:hAnsi="Courier New"/>
          <w:sz w:val="15"/>
          <w:szCs w:val="15"/>
          <w:color w:val="auto"/>
        </w:rPr>
        <w:t>1-12260)).</w:t>
      </w:r>
    </w:p>
    <w:p>
      <w:pPr>
        <w:spacing w:after="0" w:line="174" w:lineRule="exact"/>
        <w:rPr>
          <w:sz w:val="20"/>
          <w:szCs w:val="20"/>
          <w:color w:val="auto"/>
        </w:rPr>
      </w:pPr>
    </w:p>
    <w:p>
      <w:pPr>
        <w:ind w:left="980" w:right="3239" w:hanging="961"/>
        <w:spacing w:after="0" w:line="256" w:lineRule="auto"/>
        <w:tabs>
          <w:tab w:leader="none" w:pos="960" w:val="left"/>
        </w:tabs>
        <w:rPr>
          <w:sz w:val="20"/>
          <w:szCs w:val="20"/>
          <w:color w:val="auto"/>
        </w:rPr>
      </w:pPr>
      <w:r>
        <w:rPr>
          <w:rFonts w:ascii="Courier New" w:cs="Courier New" w:eastAsia="Courier New" w:hAnsi="Courier New"/>
          <w:sz w:val="15"/>
          <w:szCs w:val="15"/>
          <w:color w:val="auto"/>
        </w:rPr>
        <w:t>4.23</w:t>
      </w:r>
      <w:r>
        <w:rPr>
          <w:sz w:val="20"/>
          <w:szCs w:val="20"/>
          <w:color w:val="auto"/>
        </w:rPr>
        <w:tab/>
      </w:r>
      <w:r>
        <w:rPr>
          <w:rFonts w:ascii="Courier New" w:cs="Courier New" w:eastAsia="Courier New" w:hAnsi="Courier New"/>
          <w:sz w:val="14"/>
          <w:szCs w:val="14"/>
          <w:color w:val="auto"/>
        </w:rPr>
        <w:t>Form of Bottler Agreement covering all territories outside of Mexico that belonged to Panamco, including schedule of covered territories (English Translation) (incorporated by reference to Coca-Cola FEMSA's annual report on Form 20-F filed June 27, 2003 (File No. 1-12260)).</w:t>
      </w:r>
    </w:p>
    <w:p>
      <w:pPr>
        <w:spacing w:after="0" w:line="164" w:lineRule="exact"/>
        <w:rPr>
          <w:sz w:val="20"/>
          <w:szCs w:val="20"/>
          <w:color w:val="auto"/>
        </w:rPr>
      </w:pPr>
    </w:p>
    <w:p>
      <w:pPr>
        <w:ind w:left="980" w:right="3499" w:hanging="961"/>
        <w:spacing w:after="0" w:line="258" w:lineRule="auto"/>
        <w:tabs>
          <w:tab w:leader="none" w:pos="960" w:val="left"/>
        </w:tabs>
        <w:rPr>
          <w:sz w:val="20"/>
          <w:szCs w:val="20"/>
          <w:color w:val="auto"/>
        </w:rPr>
      </w:pPr>
      <w:r>
        <w:rPr>
          <w:rFonts w:ascii="Courier New" w:cs="Courier New" w:eastAsia="Courier New" w:hAnsi="Courier New"/>
          <w:sz w:val="15"/>
          <w:szCs w:val="15"/>
          <w:color w:val="auto"/>
        </w:rPr>
        <w:t>4.24</w:t>
      </w:r>
      <w:r>
        <w:rPr>
          <w:sz w:val="20"/>
          <w:szCs w:val="20"/>
          <w:color w:val="auto"/>
        </w:rPr>
        <w:tab/>
      </w:r>
      <w:r>
        <w:rPr>
          <w:rFonts w:ascii="Courier New" w:cs="Courier New" w:eastAsia="Courier New" w:hAnsi="Courier New"/>
          <w:sz w:val="14"/>
          <w:szCs w:val="14"/>
          <w:color w:val="auto"/>
        </w:rPr>
        <w:t>Supply Agreement, dated June 21, 1993, between Coca-Cola FEMSA and FEMSA Empaques (incorporated by reference to FEMSA's registration statement on Form F-4 filed on April 9, 1998 (File No. 333-8618)).</w:t>
      </w:r>
    </w:p>
    <w:p>
      <w:pPr>
        <w:spacing w:after="0" w:line="161" w:lineRule="exact"/>
        <w:rPr>
          <w:sz w:val="20"/>
          <w:szCs w:val="20"/>
          <w:color w:val="auto"/>
        </w:rPr>
      </w:pPr>
    </w:p>
    <w:p>
      <w:pPr>
        <w:ind w:left="980" w:right="3319" w:hanging="961"/>
        <w:spacing w:after="0" w:line="258" w:lineRule="auto"/>
        <w:tabs>
          <w:tab w:leader="none" w:pos="960" w:val="left"/>
        </w:tabs>
        <w:rPr>
          <w:sz w:val="20"/>
          <w:szCs w:val="20"/>
          <w:color w:val="auto"/>
        </w:rPr>
      </w:pPr>
      <w:r>
        <w:rPr>
          <w:rFonts w:ascii="Courier New" w:cs="Courier New" w:eastAsia="Courier New" w:hAnsi="Courier New"/>
          <w:sz w:val="15"/>
          <w:szCs w:val="15"/>
          <w:color w:val="auto"/>
        </w:rPr>
        <w:t>4.25</w:t>
      </w:r>
      <w:r>
        <w:rPr>
          <w:sz w:val="20"/>
          <w:szCs w:val="20"/>
          <w:color w:val="auto"/>
        </w:rPr>
        <w:tab/>
      </w:r>
      <w:r>
        <w:rPr>
          <w:rFonts w:ascii="Courier New" w:cs="Courier New" w:eastAsia="Courier New" w:hAnsi="Courier New"/>
          <w:sz w:val="14"/>
          <w:szCs w:val="14"/>
          <w:color w:val="auto"/>
        </w:rPr>
        <w:t>Services Agreement, dated June 21, 1993, between Coca-Cola FEMSA and FEMSA Servicios (incorporated by reference to FEMSA's registration statement on Form F-4 filed on April 9, 1998 (File No. 333-8618)).</w:t>
      </w:r>
    </w:p>
    <w:p>
      <w:pPr>
        <w:spacing w:after="0" w:line="161" w:lineRule="exact"/>
        <w:rPr>
          <w:sz w:val="20"/>
          <w:szCs w:val="20"/>
          <w:color w:val="auto"/>
        </w:rPr>
      </w:pPr>
    </w:p>
    <w:p>
      <w:pPr>
        <w:ind w:left="980" w:right="339" w:hanging="961"/>
        <w:spacing w:after="0" w:line="235" w:lineRule="auto"/>
        <w:tabs>
          <w:tab w:leader="none" w:pos="960" w:val="left"/>
        </w:tabs>
        <w:rPr>
          <w:sz w:val="20"/>
          <w:szCs w:val="20"/>
          <w:color w:val="auto"/>
        </w:rPr>
      </w:pPr>
      <w:r>
        <w:rPr>
          <w:rFonts w:ascii="Courier New" w:cs="Courier New" w:eastAsia="Courier New" w:hAnsi="Courier New"/>
          <w:sz w:val="15"/>
          <w:szCs w:val="15"/>
          <w:color w:val="auto"/>
        </w:rPr>
        <w:t>4.26</w:t>
      </w:r>
      <w:r>
        <w:rPr>
          <w:sz w:val="20"/>
          <w:szCs w:val="20"/>
          <w:color w:val="auto"/>
        </w:rPr>
        <w:tab/>
      </w:r>
      <w:r>
        <w:rPr>
          <w:rFonts w:ascii="Courier New" w:cs="Courier New" w:eastAsia="Courier New" w:hAnsi="Courier New"/>
          <w:sz w:val="15"/>
          <w:szCs w:val="15"/>
          <w:color w:val="auto"/>
        </w:rPr>
        <w:t>Sugar Sale and Purchase Agreement, dated March 22, 2002, between Nacional Financiera, S.N.C. and Propimex, S.A. de C.V. (incorporated by reference to Coca-Cola FEMSA's Form 20-F filed on July 1, 2002 (File No. 1-12260)).</w:t>
      </w:r>
    </w:p>
    <w:p>
      <w:pPr>
        <w:spacing w:after="0" w:line="167"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4.27</w:t>
      </w:r>
      <w:r>
        <w:rPr>
          <w:sz w:val="20"/>
          <w:szCs w:val="20"/>
          <w:color w:val="auto"/>
        </w:rPr>
        <w:tab/>
      </w:r>
      <w:r>
        <w:rPr>
          <w:rFonts w:ascii="Courier New" w:cs="Courier New" w:eastAsia="Courier New" w:hAnsi="Courier New"/>
          <w:sz w:val="14"/>
          <w:szCs w:val="14"/>
          <w:color w:val="auto"/>
        </w:rPr>
        <w:t>PET Purchase Agreement, dated April 1998, between Coca-Cola FEMSA and ALPLA Fabrica de Plasticos, S.A.</w:t>
      </w:r>
    </w:p>
    <w:p>
      <w:pPr>
        <w:ind w:left="980"/>
        <w:spacing w:after="0" w:line="237" w:lineRule="auto"/>
        <w:rPr>
          <w:sz w:val="20"/>
          <w:szCs w:val="20"/>
          <w:color w:val="auto"/>
        </w:rPr>
      </w:pPr>
      <w:r>
        <w:rPr>
          <w:rFonts w:ascii="Courier New" w:cs="Courier New" w:eastAsia="Courier New" w:hAnsi="Courier New"/>
          <w:sz w:val="15"/>
          <w:szCs w:val="15"/>
          <w:color w:val="auto"/>
        </w:rPr>
        <w:t>de C.V. (incorporated by reference to Coca-Cola FEMSA's Form 20-F filed on July 1, 2002 (File No.</w:t>
      </w:r>
    </w:p>
    <w:p>
      <w:pPr>
        <w:ind w:left="980"/>
        <w:spacing w:after="0" w:line="238" w:lineRule="auto"/>
        <w:rPr>
          <w:sz w:val="20"/>
          <w:szCs w:val="20"/>
          <w:color w:val="auto"/>
        </w:rPr>
      </w:pPr>
      <w:r>
        <w:rPr>
          <w:rFonts w:ascii="Courier New" w:cs="Courier New" w:eastAsia="Courier New" w:hAnsi="Courier New"/>
          <w:sz w:val="15"/>
          <w:szCs w:val="15"/>
          <w:color w:val="auto"/>
        </w:rPr>
        <w:t>1-12260)).</w:t>
      </w:r>
    </w:p>
    <w:p>
      <w:pPr>
        <w:spacing w:after="0" w:line="167"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4.28</w:t>
      </w:r>
      <w:r>
        <w:rPr>
          <w:sz w:val="20"/>
          <w:szCs w:val="20"/>
          <w:color w:val="auto"/>
        </w:rPr>
        <w:tab/>
      </w:r>
      <w:r>
        <w:rPr>
          <w:rFonts w:ascii="Courier New" w:cs="Courier New" w:eastAsia="Courier New" w:hAnsi="Courier New"/>
          <w:sz w:val="14"/>
          <w:szCs w:val="14"/>
          <w:color w:val="auto"/>
        </w:rPr>
        <w:t>Licensing Agreement, dated April 1, 2002, between Famosa and Ball Corporation.</w:t>
      </w:r>
    </w:p>
    <w:p>
      <w:pPr>
        <w:spacing w:after="0" w:line="173" w:lineRule="exact"/>
        <w:rPr>
          <w:sz w:val="20"/>
          <w:szCs w:val="20"/>
          <w:color w:val="auto"/>
        </w:rPr>
      </w:pPr>
    </w:p>
    <w:p>
      <w:pPr>
        <w:ind w:left="980" w:right="3239" w:hanging="961"/>
        <w:spacing w:after="0" w:line="235" w:lineRule="auto"/>
        <w:tabs>
          <w:tab w:leader="none" w:pos="960" w:val="left"/>
        </w:tabs>
        <w:rPr>
          <w:sz w:val="20"/>
          <w:szCs w:val="20"/>
          <w:color w:val="auto"/>
        </w:rPr>
      </w:pPr>
      <w:r>
        <w:rPr>
          <w:rFonts w:ascii="Courier New" w:cs="Courier New" w:eastAsia="Courier New" w:hAnsi="Courier New"/>
          <w:sz w:val="15"/>
          <w:szCs w:val="15"/>
          <w:color w:val="auto"/>
        </w:rPr>
        <w:t>4.29</w:t>
      </w:r>
      <w:r>
        <w:rPr>
          <w:sz w:val="20"/>
          <w:szCs w:val="20"/>
          <w:color w:val="auto"/>
        </w:rPr>
        <w:tab/>
      </w:r>
      <w:r>
        <w:rPr>
          <w:rFonts w:ascii="Courier New" w:cs="Courier New" w:eastAsia="Courier New" w:hAnsi="Courier New"/>
          <w:sz w:val="15"/>
          <w:szCs w:val="15"/>
          <w:color w:val="auto"/>
        </w:rPr>
        <w:t>Advanced Technology Agreement, dated July 21, 1987, and amended July 7, 1992, among Sivesa, Glastechnik Winckler &amp; Co. GMBH, and Heye Glass (incorporated by reference to FEMSA's registration statement on Form F-4 filed on April 9, 1998 (File No. 333-8618)).</w:t>
      </w:r>
    </w:p>
    <w:p>
      <w:pPr>
        <w:spacing w:after="0" w:line="3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153</w:t>
      </w:r>
    </w:p>
    <w:p>
      <w:pPr>
        <w:sectPr>
          <w:pgSz w:w="11900" w:h="16838" w:orient="portrait"/>
          <w:cols w:equalWidth="0" w:num="1">
            <w:col w:w="10239"/>
          </w:cols>
          <w:pgMar w:left="220" w:top="1128" w:right="1440" w:bottom="1440" w:gutter="0" w:footer="0" w:header="0"/>
        </w:sectPr>
      </w:pPr>
    </w:p>
    <w:bookmarkStart w:id="162" w:name="page163"/>
    <w:bookmarkEnd w:id="162"/>
    <w:p>
      <w:pPr>
        <w:ind w:left="980" w:right="3319" w:hanging="961"/>
        <w:spacing w:after="0" w:line="235" w:lineRule="auto"/>
        <w:tabs>
          <w:tab w:leader="none" w:pos="960" w:val="left"/>
        </w:tabs>
        <w:rPr>
          <w:sz w:val="20"/>
          <w:szCs w:val="20"/>
          <w:color w:val="auto"/>
        </w:rPr>
      </w:pPr>
      <w:r>
        <w:rPr>
          <w:rFonts w:ascii="Courier New" w:cs="Courier New" w:eastAsia="Courier New" w:hAnsi="Courier New"/>
          <w:sz w:val="15"/>
          <w:szCs w:val="15"/>
          <w:color w:val="auto"/>
        </w:rPr>
        <w:t>4.30</w:t>
      </w:r>
      <w:r>
        <w:rPr>
          <w:sz w:val="20"/>
          <w:szCs w:val="20"/>
          <w:color w:val="auto"/>
        </w:rPr>
        <w:tab/>
      </w:r>
      <w:r>
        <w:rPr>
          <w:rFonts w:ascii="Courier New" w:cs="Courier New" w:eastAsia="Courier New" w:hAnsi="Courier New"/>
          <w:sz w:val="15"/>
          <w:szCs w:val="15"/>
          <w:color w:val="auto"/>
        </w:rPr>
        <w:t>Software License Agreement, dated August 30, 2000, between FEMSA Logistica and Oracle (incorporated by reference to FEMSA's Form 20-F filed on June 20, 2001 (File No. 1-14814)).</w:t>
      </w:r>
    </w:p>
    <w:p>
      <w:pPr>
        <w:spacing w:after="0" w:line="167"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8.1</w:t>
      </w:r>
      <w:r>
        <w:rPr>
          <w:sz w:val="20"/>
          <w:szCs w:val="20"/>
          <w:color w:val="auto"/>
        </w:rPr>
        <w:tab/>
      </w:r>
      <w:r>
        <w:rPr>
          <w:rFonts w:ascii="Courier New" w:cs="Courier New" w:eastAsia="Courier New" w:hAnsi="Courier New"/>
          <w:sz w:val="14"/>
          <w:szCs w:val="14"/>
          <w:color w:val="auto"/>
        </w:rPr>
        <w:t>Significant subsidiaries</w:t>
      </w:r>
    </w:p>
    <w:p>
      <w:pPr>
        <w:spacing w:after="0" w:line="166"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12.1</w:t>
      </w:r>
      <w:r>
        <w:rPr>
          <w:sz w:val="20"/>
          <w:szCs w:val="20"/>
          <w:color w:val="auto"/>
        </w:rPr>
        <w:tab/>
      </w:r>
      <w:r>
        <w:rPr>
          <w:rFonts w:ascii="Courier New" w:cs="Courier New" w:eastAsia="Courier New" w:hAnsi="Courier New"/>
          <w:sz w:val="14"/>
          <w:szCs w:val="14"/>
          <w:color w:val="auto"/>
        </w:rPr>
        <w:t>Certification, pursuant to Section 906 of the Sarbanes-Oxley Act of</w:t>
      </w:r>
    </w:p>
    <w:p>
      <w:pPr>
        <w:ind w:left="980"/>
        <w:spacing w:after="0" w:line="237" w:lineRule="auto"/>
        <w:rPr>
          <w:sz w:val="20"/>
          <w:szCs w:val="20"/>
          <w:color w:val="auto"/>
        </w:rPr>
      </w:pPr>
      <w:r>
        <w:rPr>
          <w:rFonts w:ascii="Courier New" w:cs="Courier New" w:eastAsia="Courier New" w:hAnsi="Courier New"/>
          <w:sz w:val="15"/>
          <w:szCs w:val="15"/>
          <w:color w:val="auto"/>
        </w:rPr>
        <w:t>2002, dated June 27, 2003.</w:t>
      </w:r>
    </w:p>
    <w:p>
      <w:pPr>
        <w:spacing w:after="0" w:line="200" w:lineRule="exact"/>
        <w:rPr>
          <w:sz w:val="20"/>
          <w:szCs w:val="20"/>
          <w:color w:val="auto"/>
        </w:rPr>
      </w:pPr>
    </w:p>
    <w:p>
      <w:pPr>
        <w:spacing w:after="0" w:line="310"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Omitted from the exhibits filed with this Annual Report are certain instruments and agreements with respect to long-term debt of Coca-Cola FEMSA, none of which authorizes securities in a total amount that exceeds 10% of the total assets of Coca-Cola FEMSA. We hereby agree to furnish to SEC copies of any such omitted instruments or agreements as the Commission requests.</w:t>
      </w:r>
    </w:p>
    <w:p>
      <w:pPr>
        <w:spacing w:after="0" w:line="200" w:lineRule="exact"/>
        <w:rPr>
          <w:sz w:val="20"/>
          <w:szCs w:val="20"/>
          <w:color w:val="auto"/>
        </w:rPr>
      </w:pPr>
    </w:p>
    <w:p>
      <w:pPr>
        <w:spacing w:after="0" w:line="29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154</w:t>
      </w:r>
    </w:p>
    <w:p>
      <w:pPr>
        <w:sectPr>
          <w:pgSz w:w="11900" w:h="16838" w:orient="portrait"/>
          <w:cols w:equalWidth="0" w:num="1">
            <w:col w:w="10239"/>
          </w:cols>
          <w:pgMar w:left="220" w:top="1128" w:right="1440" w:bottom="1440" w:gutter="0" w:footer="0" w:header="0"/>
        </w:sectPr>
      </w:pPr>
    </w:p>
    <w:bookmarkStart w:id="163" w:name="page164"/>
    <w:bookmarkEnd w:id="163"/>
    <w:p>
      <w:pPr>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Stockholders of Fomento Economico Mexicano, S. A. de C. V.,</w:t>
      </w:r>
    </w:p>
    <w:p>
      <w:pPr>
        <w:spacing w:after="0" w:line="341"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We have audited the accompanying consolidated balance sheets of Fomento Economico Mexicano, S.A. de C.V. (a Mexican corporation) and Subsidiaries (collectively referred to as the "Company") as of December 31, 2002 and 2001, and the related consolidated statements of income, changes in stockholders' equity and changes in financial position for each of the three years in the period ended December 31, 2002, all expressed in millions of Mexican pesos of purchasing power as of December 31, 2002. These financial statements are the responsibility of the Company's management. Our responsibility is to express an opinion on these financial statements based on our audits. We did not audit the financial statements of certain consolidated subsidiaries, which statements reflect total assets of approximately 12% and 11% of the consolidated totals as of December 31, 2002 and 2001, respectively, and total revenues of 26%, 22% and 19% of the consolidated totals for each of the three years in the period ended December 31, 2002, respectively. Those statements were audited by other auditors whose reports have been furnished to us, and our opinion, insofar as it relates to the amounts included for those entities, is based solely on the reports of such other auditors.</w:t>
      </w:r>
    </w:p>
    <w:p>
      <w:pPr>
        <w:spacing w:after="0" w:line="34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We conducted our audits in accordance with auditing standards generally accepted in Mexico and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and the reports of the other auditors provide a reasonable basis for our opinion.</w:t>
      </w:r>
    </w:p>
    <w:p>
      <w:pPr>
        <w:spacing w:after="0" w:line="179"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 our opinion, based on our audits and the reports of the other auditors, such consolidated financial statements referred to above present fairly, in all material respects, the financial position of Fomento Economico Mexicano, S.A. de C.V. and Subsidiaries as of December 31, 2002 and 2001, and the results of their operations, the changes in their stockholders' equity and the changes in their financial position for each of the three years in the period ended December 31, 2002 in conformity with accounting principles generally accepted in Mexico.</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mentioned in Note 4:</w:t>
      </w:r>
    </w:p>
    <w:p>
      <w:pPr>
        <w:spacing w:after="0" w:line="173" w:lineRule="exact"/>
        <w:rPr>
          <w:sz w:val="20"/>
          <w:szCs w:val="20"/>
          <w:color w:val="auto"/>
        </w:rPr>
      </w:pPr>
    </w:p>
    <w:p>
      <w:pPr>
        <w:ind w:left="440" w:right="3239" w:hanging="430"/>
        <w:spacing w:after="0" w:line="258" w:lineRule="auto"/>
        <w:tabs>
          <w:tab w:leader="none" w:pos="178"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Effective January 1, 2000 the new procedures for the recognition of deferred income taxes as prescribed by revised Bulletin D-4, "Accounting for Income Taxes, Tax on Assets and Employee Profit Sharing", were adopted.</w:t>
      </w:r>
    </w:p>
    <w:p>
      <w:pPr>
        <w:spacing w:after="0" w:line="161" w:lineRule="exact"/>
        <w:rPr>
          <w:rFonts w:ascii="Courier New" w:cs="Courier New" w:eastAsia="Courier New" w:hAnsi="Courier New"/>
          <w:sz w:val="15"/>
          <w:szCs w:val="15"/>
          <w:color w:val="auto"/>
        </w:rPr>
      </w:pPr>
    </w:p>
    <w:p>
      <w:pPr>
        <w:ind w:left="440" w:right="3399" w:hanging="430"/>
        <w:spacing w:after="0" w:line="235" w:lineRule="auto"/>
        <w:tabs>
          <w:tab w:leader="none" w:pos="178"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January 1, 2001 the new procedures for the recognition of all financial instruments as prescribed by Bulletin C-2, "Financial Instruments", were adopted.</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Accounting practices used by the Company in preparing the accompanying consolidated financial statements conform with accounting principles generally accepted in Mexico but do not conform with accounting principles generally accepted in the United States of America (U.S. GAAP). A description of these differences and a reconciliation of consolidated net income and stockholders' equity to U.S. GAAP as permitted by the regulations of the U.S. Securities and Exchange Commission, which allow omission of the requirement to quantify, in the U.S. GAAP reconciliation, the differences attributable to the effects of comprehensive inflation adjustments recorded locally, are set forth in Notes 24 and 25.</w:t>
      </w:r>
    </w:p>
    <w:p>
      <w:pPr>
        <w:spacing w:after="0" w:line="179"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Our audits also comprehended the translation of the Mexican peso amounts into U.S. dollar amounts and, in our opinion, such translation has been made in conformity with the basis stated in Note 2. The translation of the financial statement amounts into U.S. dollars and the translation of the financial statements into English have been made solely for the convenience of readers in the United States of America.</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Monterrey, N.L., Mexico</w:t>
      </w:r>
    </w:p>
    <w:p>
      <w:pPr>
        <w:spacing w:after="0" w:line="237" w:lineRule="auto"/>
        <w:rPr>
          <w:sz w:val="20"/>
          <w:szCs w:val="20"/>
          <w:color w:val="auto"/>
        </w:rPr>
      </w:pPr>
      <w:r>
        <w:rPr>
          <w:rFonts w:ascii="Courier New" w:cs="Courier New" w:eastAsia="Courier New" w:hAnsi="Courier New"/>
          <w:sz w:val="15"/>
          <w:szCs w:val="15"/>
          <w:color w:val="auto"/>
        </w:rPr>
        <w:t>January 29, 2003, except for Note 27 as to which the date is May 6, 2003</w:t>
      </w:r>
    </w:p>
    <w:p>
      <w:pPr>
        <w:spacing w:after="0" w:line="200" w:lineRule="exact"/>
        <w:rPr>
          <w:sz w:val="20"/>
          <w:szCs w:val="20"/>
          <w:color w:val="auto"/>
        </w:rPr>
      </w:pPr>
    </w:p>
    <w:p>
      <w:pPr>
        <w:spacing w:after="0" w:line="30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w:t>
      </w:r>
    </w:p>
    <w:p>
      <w:pPr>
        <w:sectPr>
          <w:pgSz w:w="11900" w:h="16838" w:orient="portrait"/>
          <w:cols w:equalWidth="0" w:num="1">
            <w:col w:w="10239"/>
          </w:cols>
          <w:pgMar w:left="220" w:top="785" w:right="1440" w:bottom="1440" w:gutter="0" w:footer="0" w:header="0"/>
        </w:sectPr>
      </w:pPr>
    </w:p>
    <w:bookmarkStart w:id="164" w:name="page165"/>
    <w:bookmarkEnd w:id="164"/>
    <w:p>
      <w:pPr>
        <w:spacing w:after="0"/>
        <w:rPr>
          <w:sz w:val="20"/>
          <w:szCs w:val="20"/>
          <w:color w:val="auto"/>
        </w:rPr>
      </w:pPr>
      <w:r>
        <w:rPr>
          <w:rFonts w:ascii="Courier New" w:cs="Courier New" w:eastAsia="Courier New" w:hAnsi="Courier New"/>
          <w:sz w:val="15"/>
          <w:szCs w:val="15"/>
          <w:color w:val="auto"/>
        </w:rPr>
        <w:t>FOMENTO ECONOMICO MEXICANO, S.A. DE C.V. AND SUBSIDIARIES</w:t>
      </w:r>
    </w:p>
    <w:p>
      <w:pPr>
        <w:spacing w:after="0" w:line="237" w:lineRule="auto"/>
        <w:rPr>
          <w:sz w:val="20"/>
          <w:szCs w:val="20"/>
          <w:color w:val="auto"/>
        </w:rPr>
      </w:pPr>
      <w:r>
        <w:rPr>
          <w:rFonts w:ascii="Courier New" w:cs="Courier New" w:eastAsia="Courier New" w:hAnsi="Courier New"/>
          <w:sz w:val="15"/>
          <w:szCs w:val="15"/>
          <w:color w:val="auto"/>
        </w:rPr>
        <w:t>Consolidated Balance Sheets</w:t>
      </w:r>
    </w:p>
    <w:p>
      <w:pPr>
        <w:spacing w:after="0" w:line="238" w:lineRule="auto"/>
        <w:rPr>
          <w:sz w:val="20"/>
          <w:szCs w:val="20"/>
          <w:color w:val="auto"/>
        </w:rPr>
      </w:pPr>
      <w:r>
        <w:rPr>
          <w:rFonts w:ascii="Courier New" w:cs="Courier New" w:eastAsia="Courier New" w:hAnsi="Courier New"/>
          <w:sz w:val="15"/>
          <w:szCs w:val="15"/>
          <w:color w:val="auto"/>
        </w:rPr>
        <w:t>At December 31, 2002 and 2001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Amounts expressed in millions of US dollars ($) and in millions of constant Mexican pesos (Ps.) as of December 31, 2002</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2002</w:t>
            </w: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2001</w:t>
            </w: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ASSETS</w:t>
            </w: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6"/>
        </w:trPr>
        <w:tc>
          <w:tcPr>
            <w:tcW w:w="496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49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5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1,392</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Ps.</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14,556</w:t>
            </w:r>
          </w:p>
        </w:tc>
        <w:tc>
          <w:tcPr>
            <w:tcW w:w="8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Ps.</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7,619</w:t>
            </w:r>
          </w:p>
        </w:tc>
      </w:tr>
      <w:tr>
        <w:trPr>
          <w:trHeight w:val="168"/>
        </w:trPr>
        <w:tc>
          <w:tcPr>
            <w:tcW w:w="49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5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299</w:t>
            </w:r>
          </w:p>
        </w:tc>
        <w:tc>
          <w:tcPr>
            <w:tcW w:w="100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3,132</w:t>
            </w:r>
          </w:p>
        </w:tc>
        <w:tc>
          <w:tcPr>
            <w:tcW w:w="80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3,392</w:t>
            </w:r>
          </w:p>
        </w:tc>
      </w:tr>
      <w:tr>
        <w:trPr>
          <w:trHeight w:val="168"/>
        </w:trPr>
        <w:tc>
          <w:tcPr>
            <w:tcW w:w="49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Inventories</w:t>
            </w:r>
          </w:p>
        </w:tc>
        <w:tc>
          <w:tcPr>
            <w:tcW w:w="5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465</w:t>
            </w:r>
          </w:p>
        </w:tc>
        <w:tc>
          <w:tcPr>
            <w:tcW w:w="100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4,867</w:t>
            </w:r>
          </w:p>
        </w:tc>
        <w:tc>
          <w:tcPr>
            <w:tcW w:w="80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4,413</w:t>
            </w:r>
          </w:p>
        </w:tc>
      </w:tr>
      <w:tr>
        <w:trPr>
          <w:trHeight w:val="168"/>
        </w:trPr>
        <w:tc>
          <w:tcPr>
            <w:tcW w:w="49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Recoverable taxes</w:t>
            </w:r>
          </w:p>
        </w:tc>
        <w:tc>
          <w:tcPr>
            <w:tcW w:w="5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32</w:t>
            </w:r>
          </w:p>
        </w:tc>
        <w:tc>
          <w:tcPr>
            <w:tcW w:w="100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332</w:t>
            </w:r>
          </w:p>
        </w:tc>
        <w:tc>
          <w:tcPr>
            <w:tcW w:w="80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49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Prepaid expenses</w:t>
            </w:r>
          </w:p>
        </w:tc>
        <w:tc>
          <w:tcPr>
            <w:tcW w:w="5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59</w:t>
            </w:r>
          </w:p>
        </w:tc>
        <w:tc>
          <w:tcPr>
            <w:tcW w:w="100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612</w:t>
            </w:r>
          </w:p>
        </w:tc>
        <w:tc>
          <w:tcPr>
            <w:tcW w:w="80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554</w:t>
            </w: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5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2,247</w:t>
            </w:r>
          </w:p>
        </w:tc>
        <w:tc>
          <w:tcPr>
            <w:tcW w:w="100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23,499</w:t>
            </w:r>
          </w:p>
        </w:tc>
        <w:tc>
          <w:tcPr>
            <w:tcW w:w="80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15,991</w:t>
            </w: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Investments in shares</w:t>
            </w:r>
          </w:p>
        </w:tc>
        <w:tc>
          <w:tcPr>
            <w:tcW w:w="5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52</w:t>
            </w:r>
          </w:p>
        </w:tc>
        <w:tc>
          <w:tcPr>
            <w:tcW w:w="100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544</w:t>
            </w:r>
          </w:p>
        </w:tc>
        <w:tc>
          <w:tcPr>
            <w:tcW w:w="80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437</w:t>
            </w: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Property, plant and equipment</w:t>
            </w:r>
          </w:p>
        </w:tc>
        <w:tc>
          <w:tcPr>
            <w:tcW w:w="5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2,845</w:t>
            </w:r>
          </w:p>
        </w:tc>
        <w:tc>
          <w:tcPr>
            <w:tcW w:w="100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29,753</w:t>
            </w:r>
          </w:p>
        </w:tc>
        <w:tc>
          <w:tcPr>
            <w:tcW w:w="80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28,849</w:t>
            </w: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assets</w:t>
            </w:r>
          </w:p>
        </w:tc>
        <w:tc>
          <w:tcPr>
            <w:tcW w:w="5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536</w:t>
            </w:r>
          </w:p>
        </w:tc>
        <w:tc>
          <w:tcPr>
            <w:tcW w:w="100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5,612</w:t>
            </w:r>
          </w:p>
        </w:tc>
        <w:tc>
          <w:tcPr>
            <w:tcW w:w="80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4,609</w:t>
            </w: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Goodwill and other intangible assets</w:t>
            </w:r>
          </w:p>
        </w:tc>
        <w:tc>
          <w:tcPr>
            <w:tcW w:w="5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57</w:t>
            </w:r>
          </w:p>
        </w:tc>
        <w:tc>
          <w:tcPr>
            <w:tcW w:w="100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596</w:t>
            </w:r>
          </w:p>
        </w:tc>
        <w:tc>
          <w:tcPr>
            <w:tcW w:w="80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1,250</w:t>
            </w: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ASSETS</w:t>
            </w:r>
          </w:p>
        </w:tc>
        <w:tc>
          <w:tcPr>
            <w:tcW w:w="5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5,737</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Ps.</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60,004</w:t>
            </w:r>
          </w:p>
        </w:tc>
        <w:tc>
          <w:tcPr>
            <w:tcW w:w="8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Ps.</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51,136</w:t>
            </w: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LIABILITIES AND STOCKHOLDERS' EQUITY</w:t>
            </w: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9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Bank loans</w:t>
            </w:r>
          </w:p>
        </w:tc>
        <w:tc>
          <w:tcPr>
            <w:tcW w:w="5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299</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Ps.</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3,127</w:t>
            </w:r>
          </w:p>
        </w:tc>
        <w:tc>
          <w:tcPr>
            <w:tcW w:w="8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Ps.</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1,198</w:t>
            </w:r>
          </w:p>
        </w:tc>
      </w:tr>
      <w:tr>
        <w:trPr>
          <w:trHeight w:val="168"/>
        </w:trPr>
        <w:tc>
          <w:tcPr>
            <w:tcW w:w="49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Interest payable</w:t>
            </w:r>
          </w:p>
        </w:tc>
        <w:tc>
          <w:tcPr>
            <w:tcW w:w="5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w:t>
            </w:r>
          </w:p>
        </w:tc>
        <w:tc>
          <w:tcPr>
            <w:tcW w:w="100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152</w:t>
            </w:r>
          </w:p>
        </w:tc>
        <w:tc>
          <w:tcPr>
            <w:tcW w:w="80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162</w:t>
            </w:r>
          </w:p>
        </w:tc>
      </w:tr>
      <w:tr>
        <w:trPr>
          <w:trHeight w:val="168"/>
        </w:trPr>
        <w:tc>
          <w:tcPr>
            <w:tcW w:w="49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Current maturities of long-term debt</w:t>
            </w:r>
          </w:p>
        </w:tc>
        <w:tc>
          <w:tcPr>
            <w:tcW w:w="5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84</w:t>
            </w:r>
          </w:p>
        </w:tc>
        <w:tc>
          <w:tcPr>
            <w:tcW w:w="100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876</w:t>
            </w:r>
          </w:p>
        </w:tc>
        <w:tc>
          <w:tcPr>
            <w:tcW w:w="80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367</w:t>
            </w:r>
          </w:p>
        </w:tc>
      </w:tr>
      <w:tr>
        <w:trPr>
          <w:trHeight w:val="168"/>
        </w:trPr>
        <w:tc>
          <w:tcPr>
            <w:tcW w:w="49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Suppliers</w:t>
            </w:r>
          </w:p>
        </w:tc>
        <w:tc>
          <w:tcPr>
            <w:tcW w:w="5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485</w:t>
            </w:r>
          </w:p>
        </w:tc>
        <w:tc>
          <w:tcPr>
            <w:tcW w:w="100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5,071</w:t>
            </w:r>
          </w:p>
        </w:tc>
        <w:tc>
          <w:tcPr>
            <w:tcW w:w="80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4,513</w:t>
            </w:r>
          </w:p>
        </w:tc>
      </w:tr>
      <w:tr>
        <w:trPr>
          <w:trHeight w:val="168"/>
        </w:trPr>
        <w:tc>
          <w:tcPr>
            <w:tcW w:w="49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Taxes payable</w:t>
            </w:r>
          </w:p>
        </w:tc>
        <w:tc>
          <w:tcPr>
            <w:tcW w:w="5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74</w:t>
            </w:r>
          </w:p>
        </w:tc>
        <w:tc>
          <w:tcPr>
            <w:tcW w:w="100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773</w:t>
            </w:r>
          </w:p>
        </w:tc>
        <w:tc>
          <w:tcPr>
            <w:tcW w:w="80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1,079</w:t>
            </w:r>
          </w:p>
        </w:tc>
      </w:tr>
      <w:tr>
        <w:trPr>
          <w:trHeight w:val="168"/>
        </w:trPr>
        <w:tc>
          <w:tcPr>
            <w:tcW w:w="552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Accounts payable, accrued expenses and other liabilities</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171</w:t>
            </w:r>
          </w:p>
        </w:tc>
        <w:tc>
          <w:tcPr>
            <w:tcW w:w="100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1,795</w:t>
            </w:r>
          </w:p>
        </w:tc>
        <w:tc>
          <w:tcPr>
            <w:tcW w:w="80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1,387</w:t>
            </w: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5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1,128</w:t>
            </w:r>
          </w:p>
        </w:tc>
        <w:tc>
          <w:tcPr>
            <w:tcW w:w="100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11,794</w:t>
            </w:r>
          </w:p>
        </w:tc>
        <w:tc>
          <w:tcPr>
            <w:tcW w:w="80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8,706</w:t>
            </w: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Liabilities:</w:t>
            </w: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9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Bank loans and notes payable</w:t>
            </w:r>
          </w:p>
        </w:tc>
        <w:tc>
          <w:tcPr>
            <w:tcW w:w="5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937</w:t>
            </w:r>
          </w:p>
        </w:tc>
        <w:tc>
          <w:tcPr>
            <w:tcW w:w="100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9,803</w:t>
            </w:r>
          </w:p>
        </w:tc>
        <w:tc>
          <w:tcPr>
            <w:tcW w:w="80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7,117</w:t>
            </w:r>
          </w:p>
        </w:tc>
      </w:tr>
      <w:tr>
        <w:trPr>
          <w:trHeight w:val="168"/>
        </w:trPr>
        <w:tc>
          <w:tcPr>
            <w:tcW w:w="49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Labor liabilities</w:t>
            </w:r>
          </w:p>
        </w:tc>
        <w:tc>
          <w:tcPr>
            <w:tcW w:w="5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102</w:t>
            </w:r>
          </w:p>
        </w:tc>
        <w:tc>
          <w:tcPr>
            <w:tcW w:w="100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1,072</w:t>
            </w:r>
          </w:p>
        </w:tc>
        <w:tc>
          <w:tcPr>
            <w:tcW w:w="80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800</w:t>
            </w:r>
          </w:p>
        </w:tc>
      </w:tr>
      <w:tr>
        <w:trPr>
          <w:trHeight w:val="168"/>
        </w:trPr>
        <w:tc>
          <w:tcPr>
            <w:tcW w:w="49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Deferred taxes</w:t>
            </w:r>
          </w:p>
        </w:tc>
        <w:tc>
          <w:tcPr>
            <w:tcW w:w="5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381</w:t>
            </w:r>
          </w:p>
        </w:tc>
        <w:tc>
          <w:tcPr>
            <w:tcW w:w="100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3,987</w:t>
            </w:r>
          </w:p>
        </w:tc>
        <w:tc>
          <w:tcPr>
            <w:tcW w:w="80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3,943</w:t>
            </w:r>
          </w:p>
        </w:tc>
      </w:tr>
      <w:tr>
        <w:trPr>
          <w:trHeight w:val="168"/>
        </w:trPr>
        <w:tc>
          <w:tcPr>
            <w:tcW w:w="49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Other liabilities</w:t>
            </w:r>
          </w:p>
        </w:tc>
        <w:tc>
          <w:tcPr>
            <w:tcW w:w="5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52</w:t>
            </w:r>
          </w:p>
        </w:tc>
        <w:tc>
          <w:tcPr>
            <w:tcW w:w="100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535</w:t>
            </w:r>
          </w:p>
        </w:tc>
        <w:tc>
          <w:tcPr>
            <w:tcW w:w="80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565</w:t>
            </w: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Long-Term Liabilities</w:t>
            </w:r>
          </w:p>
        </w:tc>
        <w:tc>
          <w:tcPr>
            <w:tcW w:w="5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1,472</w:t>
            </w:r>
          </w:p>
        </w:tc>
        <w:tc>
          <w:tcPr>
            <w:tcW w:w="100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15,397</w:t>
            </w:r>
          </w:p>
        </w:tc>
        <w:tc>
          <w:tcPr>
            <w:tcW w:w="80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12,425</w:t>
            </w: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Liabilities</w:t>
            </w:r>
          </w:p>
        </w:tc>
        <w:tc>
          <w:tcPr>
            <w:tcW w:w="5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2,600</w:t>
            </w:r>
          </w:p>
        </w:tc>
        <w:tc>
          <w:tcPr>
            <w:tcW w:w="100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27,191</w:t>
            </w:r>
          </w:p>
        </w:tc>
        <w:tc>
          <w:tcPr>
            <w:tcW w:w="80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21,131</w:t>
            </w:r>
          </w:p>
        </w:tc>
      </w:tr>
      <w:tr>
        <w:trPr>
          <w:trHeight w:val="336"/>
        </w:trPr>
        <w:tc>
          <w:tcPr>
            <w:tcW w:w="496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49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Minority interest in consolidated subsidiaries</w:t>
            </w:r>
          </w:p>
        </w:tc>
        <w:tc>
          <w:tcPr>
            <w:tcW w:w="5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937</w:t>
            </w:r>
          </w:p>
        </w:tc>
        <w:tc>
          <w:tcPr>
            <w:tcW w:w="100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9,798</w:t>
            </w:r>
          </w:p>
        </w:tc>
        <w:tc>
          <w:tcPr>
            <w:tcW w:w="80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8,832</w:t>
            </w:r>
          </w:p>
        </w:tc>
      </w:tr>
      <w:tr>
        <w:trPr>
          <w:trHeight w:val="168"/>
        </w:trPr>
        <w:tc>
          <w:tcPr>
            <w:tcW w:w="49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Majority interest:</w:t>
            </w: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9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Capital stock</w:t>
            </w:r>
          </w:p>
        </w:tc>
        <w:tc>
          <w:tcPr>
            <w:tcW w:w="5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390</w:t>
            </w:r>
          </w:p>
        </w:tc>
        <w:tc>
          <w:tcPr>
            <w:tcW w:w="100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4,081</w:t>
            </w:r>
          </w:p>
        </w:tc>
        <w:tc>
          <w:tcPr>
            <w:tcW w:w="80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4,081</w:t>
            </w:r>
          </w:p>
        </w:tc>
      </w:tr>
      <w:tr>
        <w:trPr>
          <w:trHeight w:val="168"/>
        </w:trPr>
        <w:tc>
          <w:tcPr>
            <w:tcW w:w="49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5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952</w:t>
            </w:r>
          </w:p>
        </w:tc>
        <w:tc>
          <w:tcPr>
            <w:tcW w:w="100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9,952</w:t>
            </w:r>
          </w:p>
        </w:tc>
        <w:tc>
          <w:tcPr>
            <w:tcW w:w="80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9,952</w:t>
            </w:r>
          </w:p>
        </w:tc>
      </w:tr>
      <w:tr>
        <w:trPr>
          <w:trHeight w:val="168"/>
        </w:trPr>
        <w:tc>
          <w:tcPr>
            <w:tcW w:w="49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Retained earnings from prior years</w:t>
            </w:r>
          </w:p>
        </w:tc>
        <w:tc>
          <w:tcPr>
            <w:tcW w:w="5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1,188</w:t>
            </w:r>
          </w:p>
        </w:tc>
        <w:tc>
          <w:tcPr>
            <w:tcW w:w="100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12,430</w:t>
            </w:r>
          </w:p>
        </w:tc>
        <w:tc>
          <w:tcPr>
            <w:tcW w:w="80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9,731</w:t>
            </w:r>
          </w:p>
        </w:tc>
      </w:tr>
      <w:tr>
        <w:trPr>
          <w:trHeight w:val="168"/>
        </w:trPr>
        <w:tc>
          <w:tcPr>
            <w:tcW w:w="49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Net income for the year</w:t>
            </w:r>
          </w:p>
        </w:tc>
        <w:tc>
          <w:tcPr>
            <w:tcW w:w="5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271</w:t>
            </w:r>
          </w:p>
        </w:tc>
        <w:tc>
          <w:tcPr>
            <w:tcW w:w="100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2,837</w:t>
            </w:r>
          </w:p>
        </w:tc>
        <w:tc>
          <w:tcPr>
            <w:tcW w:w="80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3,393</w:t>
            </w:r>
          </w:p>
        </w:tc>
      </w:tr>
      <w:tr>
        <w:trPr>
          <w:trHeight w:val="168"/>
        </w:trPr>
        <w:tc>
          <w:tcPr>
            <w:tcW w:w="49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Cumulative translation adjustment</w:t>
            </w:r>
          </w:p>
        </w:tc>
        <w:tc>
          <w:tcPr>
            <w:tcW w:w="5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(40)</w:t>
            </w:r>
          </w:p>
        </w:tc>
        <w:tc>
          <w:tcPr>
            <w:tcW w:w="100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(415)</w:t>
            </w:r>
          </w:p>
        </w:tc>
        <w:tc>
          <w:tcPr>
            <w:tcW w:w="80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(189)</w:t>
            </w:r>
          </w:p>
        </w:tc>
      </w:tr>
      <w:tr>
        <w:trPr>
          <w:trHeight w:val="168"/>
        </w:trPr>
        <w:tc>
          <w:tcPr>
            <w:tcW w:w="49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9"/>
              </w:rPr>
              <w:t>Cumulative result of holding non-monetary assets</w:t>
            </w:r>
          </w:p>
        </w:tc>
        <w:tc>
          <w:tcPr>
            <w:tcW w:w="5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(561)</w:t>
            </w:r>
          </w:p>
        </w:tc>
        <w:tc>
          <w:tcPr>
            <w:tcW w:w="100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(5,870)</w:t>
            </w:r>
          </w:p>
        </w:tc>
        <w:tc>
          <w:tcPr>
            <w:tcW w:w="80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(5,795)</w:t>
            </w: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Majority Interest</w:t>
            </w:r>
          </w:p>
        </w:tc>
        <w:tc>
          <w:tcPr>
            <w:tcW w:w="5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2,200</w:t>
            </w:r>
          </w:p>
        </w:tc>
        <w:tc>
          <w:tcPr>
            <w:tcW w:w="100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23,015</w:t>
            </w:r>
          </w:p>
        </w:tc>
        <w:tc>
          <w:tcPr>
            <w:tcW w:w="80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21,173</w:t>
            </w:r>
          </w:p>
        </w:tc>
      </w:tr>
      <w:tr>
        <w:trPr>
          <w:trHeight w:val="336"/>
        </w:trPr>
        <w:tc>
          <w:tcPr>
            <w:tcW w:w="4960" w:type="dxa"/>
            <w:vAlign w:val="bottom"/>
          </w:tcPr>
          <w:p>
            <w:pPr>
              <w:spacing w:after="0"/>
              <w:rPr>
                <w:sz w:val="20"/>
                <w:szCs w:val="20"/>
                <w:color w:val="auto"/>
              </w:rPr>
            </w:pPr>
            <w:r>
              <w:rPr>
                <w:rFonts w:ascii="Courier New" w:cs="Courier New" w:eastAsia="Courier New" w:hAnsi="Courier New"/>
                <w:sz w:val="15"/>
                <w:szCs w:val="15"/>
                <w:color w:val="auto"/>
              </w:rPr>
              <w:t>Total Stockholders' Equity</w:t>
            </w:r>
          </w:p>
        </w:tc>
        <w:tc>
          <w:tcPr>
            <w:tcW w:w="560" w:type="dxa"/>
            <w:vAlign w:val="bottom"/>
          </w:tcPr>
          <w:p>
            <w:pPr>
              <w:spacing w:after="0"/>
              <w:rPr>
                <w:sz w:val="24"/>
                <w:szCs w:val="2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3,137</w:t>
            </w:r>
          </w:p>
        </w:tc>
        <w:tc>
          <w:tcPr>
            <w:tcW w:w="1000" w:type="dxa"/>
            <w:vAlign w:val="bottom"/>
          </w:tcPr>
          <w:p>
            <w:pPr>
              <w:spacing w:after="0"/>
              <w:rPr>
                <w:sz w:val="24"/>
                <w:szCs w:val="2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32,813</w:t>
            </w:r>
          </w:p>
        </w:tc>
        <w:tc>
          <w:tcPr>
            <w:tcW w:w="8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30,005</w:t>
            </w: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LIABILITIES AND STOCKHOLDERS' EQUITY</w:t>
            </w:r>
          </w:p>
        </w:tc>
        <w:tc>
          <w:tcPr>
            <w:tcW w:w="5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5,737</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Ps.</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60,004</w:t>
            </w:r>
          </w:p>
        </w:tc>
        <w:tc>
          <w:tcPr>
            <w:tcW w:w="8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Ps.</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51,136</w:t>
            </w:r>
          </w:p>
        </w:tc>
      </w:tr>
    </w:tbl>
    <w:p>
      <w:pPr>
        <w:spacing w:after="0" w:line="200" w:lineRule="exact"/>
        <w:rPr>
          <w:sz w:val="20"/>
          <w:szCs w:val="20"/>
          <w:color w:val="auto"/>
        </w:rPr>
      </w:pPr>
    </w:p>
    <w:p>
      <w:pPr>
        <w:spacing w:after="0" w:line="309" w:lineRule="exact"/>
        <w:rPr>
          <w:sz w:val="20"/>
          <w:szCs w:val="20"/>
          <w:color w:val="auto"/>
        </w:rPr>
      </w:pPr>
    </w:p>
    <w:p>
      <w:pPr>
        <w:ind w:right="4020"/>
        <w:spacing w:after="0" w:line="234" w:lineRule="auto"/>
        <w:rPr>
          <w:sz w:val="20"/>
          <w:szCs w:val="20"/>
          <w:color w:val="auto"/>
        </w:rPr>
      </w:pPr>
      <w:r>
        <w:rPr>
          <w:rFonts w:ascii="Courier New" w:cs="Courier New" w:eastAsia="Courier New" w:hAnsi="Courier New"/>
          <w:sz w:val="15"/>
          <w:szCs w:val="15"/>
          <w:color w:val="auto"/>
        </w:rPr>
        <w:t>The accompanying notes are an integral part of these consolidated balance sheets. Monterrey, N.L., Mexico, January 29, 2003</w:t>
      </w:r>
    </w:p>
    <w:p>
      <w:pPr>
        <w:sectPr>
          <w:pgSz w:w="11900" w:h="16838" w:orient="portrait"/>
          <w:cols w:equalWidth="0" w:num="1">
            <w:col w:w="10420"/>
          </w:cols>
          <w:pgMar w:left="220" w:top="1290" w:right="1259" w:bottom="1440" w:gutter="0" w:footer="0" w:header="0"/>
        </w:sect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Jose Antonio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Exectuive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Federico Reyes Garcia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Financial Officer</w:t>
      </w:r>
    </w:p>
    <w:p>
      <w:pPr>
        <w:spacing w:after="0" w:line="200" w:lineRule="exact"/>
        <w:rPr>
          <w:sz w:val="20"/>
          <w:szCs w:val="20"/>
          <w:color w:val="auto"/>
        </w:rPr>
      </w:pPr>
    </w:p>
    <w:p>
      <w:pPr>
        <w:sectPr>
          <w:pgSz w:w="11900" w:h="16838" w:orient="portrait"/>
          <w:cols w:equalWidth="0" w:num="2">
            <w:col w:w="3920" w:space="720"/>
            <w:col w:w="5780"/>
          </w:cols>
          <w:pgMar w:left="220" w:top="1290" w:right="1259" w:bottom="1440" w:gutter="0" w:footer="0" w:header="0"/>
          <w:type w:val="continuous"/>
        </w:sectPr>
      </w:pPr>
    </w:p>
    <w:p>
      <w:pPr>
        <w:spacing w:after="0" w:line="146"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F-2</w:t>
      </w:r>
    </w:p>
    <w:p>
      <w:pPr>
        <w:sectPr>
          <w:pgSz w:w="11900" w:h="16838" w:orient="portrait"/>
          <w:cols w:equalWidth="0" w:num="1">
            <w:col w:w="10420"/>
          </w:cols>
          <w:pgMar w:left="220" w:top="1290" w:right="1259" w:bottom="1440" w:gutter="0" w:footer="0" w:header="0"/>
          <w:type w:val="continuous"/>
        </w:sectPr>
      </w:pPr>
    </w:p>
    <w:bookmarkStart w:id="165" w:name="page166"/>
    <w:bookmarkEnd w:id="165"/>
    <w:p>
      <w:pPr>
        <w:spacing w:after="0"/>
        <w:rPr>
          <w:sz w:val="20"/>
          <w:szCs w:val="20"/>
          <w:color w:val="auto"/>
        </w:rPr>
      </w:pPr>
      <w:r>
        <w:rPr>
          <w:rFonts w:ascii="Courier New" w:cs="Courier New" w:eastAsia="Courier New" w:hAnsi="Courier New"/>
          <w:sz w:val="15"/>
          <w:szCs w:val="15"/>
          <w:color w:val="auto"/>
        </w:rPr>
        <w:t>FOMENTO ECONOMICO MEXICANO, S.A. DE C.V. AND SUBSIDIARIES</w:t>
      </w:r>
    </w:p>
    <w:p>
      <w:pPr>
        <w:spacing w:after="0" w:line="237" w:lineRule="auto"/>
        <w:rPr>
          <w:sz w:val="20"/>
          <w:szCs w:val="20"/>
          <w:color w:val="auto"/>
        </w:rPr>
      </w:pPr>
      <w:r>
        <w:rPr>
          <w:rFonts w:ascii="Courier New" w:cs="Courier New" w:eastAsia="Courier New" w:hAnsi="Courier New"/>
          <w:sz w:val="15"/>
          <w:szCs w:val="15"/>
          <w:color w:val="auto"/>
        </w:rPr>
        <w:t>Consolidated Income Statements</w:t>
      </w:r>
    </w:p>
    <w:p>
      <w:pPr>
        <w:spacing w:after="0" w:line="238" w:lineRule="auto"/>
        <w:rPr>
          <w:sz w:val="20"/>
          <w:szCs w:val="20"/>
          <w:color w:val="auto"/>
        </w:rPr>
      </w:pPr>
      <w:r>
        <w:rPr>
          <w:rFonts w:ascii="Courier New" w:cs="Courier New" w:eastAsia="Courier New" w:hAnsi="Courier New"/>
          <w:sz w:val="15"/>
          <w:szCs w:val="15"/>
          <w:color w:val="auto"/>
        </w:rPr>
        <w:t>For the years ended December 31, 2002, 2001 and 2000.</w:t>
      </w:r>
    </w:p>
    <w:p>
      <w:pPr>
        <w:spacing w:after="0" w:line="237" w:lineRule="auto"/>
        <w:rPr>
          <w:sz w:val="20"/>
          <w:szCs w:val="20"/>
          <w:color w:val="auto"/>
        </w:rPr>
      </w:pPr>
      <w:r>
        <w:rPr>
          <w:rFonts w:ascii="Courier New" w:cs="Courier New" w:eastAsia="Courier New" w:hAnsi="Courier New"/>
          <w:sz w:val="15"/>
          <w:szCs w:val="15"/>
          <w:color w:val="auto"/>
        </w:rPr>
        <w:t>Amounts expressed in millions of US dollars ($) and in millions of constant</w:t>
      </w:r>
    </w:p>
    <w:p>
      <w:pPr>
        <w:spacing w:after="0" w:line="238" w:lineRule="auto"/>
        <w:rPr>
          <w:sz w:val="20"/>
          <w:szCs w:val="20"/>
          <w:color w:val="auto"/>
        </w:rPr>
      </w:pPr>
      <w:r>
        <w:rPr>
          <w:rFonts w:ascii="Courier New" w:cs="Courier New" w:eastAsia="Courier New" w:hAnsi="Courier New"/>
          <w:sz w:val="15"/>
          <w:szCs w:val="15"/>
          <w:color w:val="auto"/>
        </w:rPr>
        <w:t>Mexican pesos (Ps.) as of December 31, 2002</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20" w:type="dxa"/>
            <w:vAlign w:val="bottom"/>
          </w:tcPr>
          <w:p>
            <w:pPr>
              <w:jc w:val="right"/>
              <w:ind w:right="1007"/>
              <w:spacing w:after="0"/>
              <w:rPr>
                <w:sz w:val="20"/>
                <w:szCs w:val="20"/>
                <w:color w:val="auto"/>
              </w:rPr>
            </w:pPr>
            <w:r>
              <w:rPr>
                <w:rFonts w:ascii="Courier New" w:cs="Courier New" w:eastAsia="Courier New" w:hAnsi="Courier New"/>
                <w:sz w:val="15"/>
                <w:szCs w:val="15"/>
                <w:color w:val="auto"/>
              </w:rPr>
              <w:t>2002</w:t>
            </w:r>
          </w:p>
        </w:tc>
        <w:tc>
          <w:tcPr>
            <w:tcW w:w="66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2001</w:t>
            </w:r>
          </w:p>
        </w:tc>
        <w:tc>
          <w:tcPr>
            <w:tcW w:w="6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r>
      <w:tr>
        <w:trPr>
          <w:trHeight w:val="505"/>
        </w:trPr>
        <w:tc>
          <w:tcPr>
            <w:tcW w:w="3600" w:type="dxa"/>
            <w:vAlign w:val="bottom"/>
          </w:tcPr>
          <w:p>
            <w:pPr>
              <w:ind w:left="360"/>
              <w:spacing w:after="0"/>
              <w:rPr>
                <w:sz w:val="20"/>
                <w:szCs w:val="20"/>
                <w:color w:val="auto"/>
              </w:rPr>
            </w:pPr>
            <w:r>
              <w:rPr>
                <w:rFonts w:ascii="Courier New" w:cs="Courier New" w:eastAsia="Courier New" w:hAnsi="Courier New"/>
                <w:sz w:val="15"/>
                <w:szCs w:val="15"/>
                <w:color w:val="auto"/>
              </w:rPr>
              <w:t>Net sales</w:t>
            </w:r>
          </w:p>
        </w:tc>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5,043</w:t>
            </w:r>
          </w:p>
        </w:tc>
        <w:tc>
          <w:tcPr>
            <w:tcW w:w="16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Ps.   52,746</w:t>
            </w:r>
          </w:p>
        </w:tc>
        <w:tc>
          <w:tcPr>
            <w:tcW w:w="660" w:type="dxa"/>
            <w:vAlign w:val="bottom"/>
          </w:tcPr>
          <w:p>
            <w:pPr>
              <w:ind w:left="220"/>
              <w:spacing w:after="0"/>
              <w:rPr>
                <w:sz w:val="20"/>
                <w:szCs w:val="20"/>
                <w:color w:val="auto"/>
              </w:rPr>
            </w:pPr>
            <w:r>
              <w:rPr>
                <w:rFonts w:ascii="Courier New" w:cs="Courier New" w:eastAsia="Courier New" w:hAnsi="Courier New"/>
                <w:sz w:val="15"/>
                <w:szCs w:val="15"/>
                <w:color w:val="auto"/>
              </w:rPr>
              <w:t>Ps.</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49,952</w:t>
            </w:r>
          </w:p>
        </w:tc>
        <w:tc>
          <w:tcPr>
            <w:tcW w:w="600" w:type="dxa"/>
            <w:vAlign w:val="bottom"/>
          </w:tcPr>
          <w:p>
            <w:pPr>
              <w:ind w:left="120"/>
              <w:spacing w:after="0"/>
              <w:rPr>
                <w:sz w:val="20"/>
                <w:szCs w:val="20"/>
                <w:color w:val="auto"/>
              </w:rPr>
            </w:pPr>
            <w:r>
              <w:rPr>
                <w:rFonts w:ascii="Courier New" w:cs="Courier New" w:eastAsia="Courier New" w:hAnsi="Courier New"/>
                <w:sz w:val="15"/>
                <w:szCs w:val="15"/>
                <w:color w:val="auto"/>
              </w:rPr>
              <w:t>Ps.</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47,805</w:t>
            </w:r>
          </w:p>
        </w:tc>
      </w:tr>
      <w:tr>
        <w:trPr>
          <w:trHeight w:val="168"/>
        </w:trPr>
        <w:tc>
          <w:tcPr>
            <w:tcW w:w="36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Other operating revenues</w:t>
            </w:r>
          </w:p>
        </w:tc>
        <w:tc>
          <w:tcPr>
            <w:tcW w:w="14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w:t>
            </w: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195</w:t>
            </w:r>
          </w:p>
        </w:tc>
        <w:tc>
          <w:tcPr>
            <w:tcW w:w="6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145</w:t>
            </w:r>
          </w:p>
        </w:tc>
        <w:tc>
          <w:tcPr>
            <w:tcW w:w="600" w:type="dxa"/>
            <w:vAlign w:val="bottom"/>
          </w:tcPr>
          <w:p>
            <w:pPr>
              <w:spacing w:after="0"/>
              <w:rPr>
                <w:sz w:val="14"/>
                <w:szCs w:val="14"/>
                <w:color w:val="auto"/>
              </w:rPr>
            </w:pP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revenues</w:t>
            </w:r>
          </w:p>
        </w:tc>
        <w:tc>
          <w:tcPr>
            <w:tcW w:w="14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5,062</w:t>
            </w: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52,941</w:t>
            </w:r>
          </w:p>
        </w:tc>
        <w:tc>
          <w:tcPr>
            <w:tcW w:w="6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50,097</w:t>
            </w:r>
          </w:p>
        </w:tc>
        <w:tc>
          <w:tcPr>
            <w:tcW w:w="600" w:type="dxa"/>
            <w:vAlign w:val="bottom"/>
          </w:tcPr>
          <w:p>
            <w:pPr>
              <w:spacing w:after="0"/>
              <w:rPr>
                <w:sz w:val="14"/>
                <w:szCs w:val="14"/>
                <w:color w:val="auto"/>
              </w:rPr>
            </w:pP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47,869</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sales</w:t>
            </w:r>
          </w:p>
        </w:tc>
        <w:tc>
          <w:tcPr>
            <w:tcW w:w="14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2,521</w:t>
            </w: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26,364</w:t>
            </w:r>
          </w:p>
        </w:tc>
        <w:tc>
          <w:tcPr>
            <w:tcW w:w="6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24,871</w:t>
            </w:r>
          </w:p>
        </w:tc>
        <w:tc>
          <w:tcPr>
            <w:tcW w:w="600" w:type="dxa"/>
            <w:vAlign w:val="bottom"/>
          </w:tcPr>
          <w:p>
            <w:pPr>
              <w:spacing w:after="0"/>
              <w:rPr>
                <w:sz w:val="14"/>
                <w:szCs w:val="14"/>
                <w:color w:val="auto"/>
              </w:rPr>
            </w:pP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23,729</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3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2,541</w:t>
            </w:r>
          </w:p>
        </w:tc>
        <w:tc>
          <w:tcPr>
            <w:tcW w:w="15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26,577</w:t>
            </w:r>
          </w:p>
        </w:tc>
        <w:tc>
          <w:tcPr>
            <w:tcW w:w="15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25,226</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24,140</w:t>
            </w:r>
          </w:p>
        </w:tc>
      </w:tr>
    </w:tbl>
    <w:p>
      <w:pPr>
        <w:spacing w:after="0" w:line="5" w:lineRule="exact"/>
        <w:rPr>
          <w:sz w:val="20"/>
          <w:szCs w:val="20"/>
          <w:color w:val="auto"/>
        </w:rPr>
      </w:pPr>
    </w:p>
    <w:p>
      <w:pPr>
        <w:ind w:left="180" w:hanging="170"/>
        <w:spacing w:after="0"/>
        <w:tabs>
          <w:tab w:leader="none" w:pos="180"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Operating expenses:</w:t>
      </w:r>
    </w:p>
    <w:tbl>
      <w:tblPr>
        <w:tblLayout w:type="fixed"/>
        <w:tblInd w:w="360" w:type="dxa"/>
        <w:tblCellMar>
          <w:top w:w="0" w:type="dxa"/>
          <w:left w:w="0" w:type="dxa"/>
          <w:bottom w:w="0" w:type="dxa"/>
          <w:right w:w="0" w:type="dxa"/>
        </w:tblCellMar>
      </w:tblPr>
      <w:tr>
        <w:trPr>
          <w:trHeight w:val="169"/>
        </w:trPr>
        <w:tc>
          <w:tcPr>
            <w:tcW w:w="3060" w:type="dxa"/>
            <w:vAlign w:val="bottom"/>
          </w:tcPr>
          <w:p>
            <w:pPr>
              <w:spacing w:after="0" w:line="169" w:lineRule="exact"/>
              <w:rPr>
                <w:sz w:val="20"/>
                <w:szCs w:val="20"/>
                <w:color w:val="auto"/>
              </w:rPr>
            </w:pPr>
            <w:r>
              <w:rPr>
                <w:rFonts w:ascii="Courier New" w:cs="Courier New" w:eastAsia="Courier New" w:hAnsi="Courier New"/>
                <w:sz w:val="15"/>
                <w:szCs w:val="15"/>
                <w:color w:val="auto"/>
              </w:rPr>
              <w:t>Administrative</w:t>
            </w:r>
          </w:p>
        </w:tc>
        <w:tc>
          <w:tcPr>
            <w:tcW w:w="2800" w:type="dxa"/>
            <w:vAlign w:val="bottom"/>
          </w:tcPr>
          <w:p>
            <w:pPr>
              <w:jc w:val="right"/>
              <w:ind w:right="447"/>
              <w:spacing w:after="0" w:line="169" w:lineRule="exact"/>
              <w:rPr>
                <w:sz w:val="20"/>
                <w:szCs w:val="20"/>
                <w:color w:val="auto"/>
              </w:rPr>
            </w:pPr>
            <w:r>
              <w:rPr>
                <w:rFonts w:ascii="Courier New" w:cs="Courier New" w:eastAsia="Courier New" w:hAnsi="Courier New"/>
                <w:sz w:val="15"/>
                <w:szCs w:val="15"/>
                <w:color w:val="auto"/>
              </w:rPr>
              <w:t>446</w:t>
            </w:r>
          </w:p>
        </w:tc>
        <w:tc>
          <w:tcPr>
            <w:tcW w:w="1580" w:type="dxa"/>
            <w:vAlign w:val="bottom"/>
          </w:tcPr>
          <w:p>
            <w:pPr>
              <w:jc w:val="right"/>
              <w:ind w:right="467"/>
              <w:spacing w:after="0" w:line="169" w:lineRule="exact"/>
              <w:rPr>
                <w:sz w:val="20"/>
                <w:szCs w:val="20"/>
                <w:color w:val="auto"/>
              </w:rPr>
            </w:pPr>
            <w:r>
              <w:rPr>
                <w:rFonts w:ascii="Courier New" w:cs="Courier New" w:eastAsia="Courier New" w:hAnsi="Courier New"/>
                <w:sz w:val="15"/>
                <w:szCs w:val="15"/>
                <w:color w:val="auto"/>
              </w:rPr>
              <w:t>4,659</w:t>
            </w:r>
          </w:p>
        </w:tc>
        <w:tc>
          <w:tcPr>
            <w:tcW w:w="1520" w:type="dxa"/>
            <w:vAlign w:val="bottom"/>
          </w:tcPr>
          <w:p>
            <w:pPr>
              <w:jc w:val="right"/>
              <w:ind w:right="407"/>
              <w:spacing w:after="0" w:line="169" w:lineRule="exact"/>
              <w:rPr>
                <w:sz w:val="20"/>
                <w:szCs w:val="20"/>
                <w:color w:val="auto"/>
              </w:rPr>
            </w:pPr>
            <w:r>
              <w:rPr>
                <w:rFonts w:ascii="Courier New" w:cs="Courier New" w:eastAsia="Courier New" w:hAnsi="Courier New"/>
                <w:sz w:val="15"/>
                <w:szCs w:val="15"/>
                <w:color w:val="auto"/>
              </w:rPr>
              <w:t>4,608</w:t>
            </w:r>
          </w:p>
        </w:tc>
        <w:tc>
          <w:tcPr>
            <w:tcW w:w="102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4,424</w:t>
            </w:r>
          </w:p>
        </w:tc>
      </w:tr>
      <w:tr>
        <w:trPr>
          <w:trHeight w:val="168"/>
        </w:trPr>
        <w:tc>
          <w:tcPr>
            <w:tcW w:w="3060" w:type="dxa"/>
            <w:vAlign w:val="bottom"/>
          </w:tcPr>
          <w:p>
            <w:pPr>
              <w:spacing w:after="0" w:line="168" w:lineRule="exact"/>
              <w:rPr>
                <w:sz w:val="20"/>
                <w:szCs w:val="20"/>
                <w:color w:val="auto"/>
              </w:rPr>
            </w:pPr>
            <w:r>
              <w:rPr>
                <w:rFonts w:ascii="Courier New" w:cs="Courier New" w:eastAsia="Courier New" w:hAnsi="Courier New"/>
                <w:sz w:val="15"/>
                <w:szCs w:val="15"/>
                <w:color w:val="auto"/>
              </w:rPr>
              <w:t>Sales</w:t>
            </w:r>
          </w:p>
        </w:tc>
        <w:tc>
          <w:tcPr>
            <w:tcW w:w="28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1,196</w:t>
            </w:r>
          </w:p>
        </w:tc>
        <w:tc>
          <w:tcPr>
            <w:tcW w:w="15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12,511</w:t>
            </w:r>
          </w:p>
        </w:tc>
        <w:tc>
          <w:tcPr>
            <w:tcW w:w="15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12,118</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12,090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5260"/>
        <w:spacing w:after="0"/>
        <w:tabs>
          <w:tab w:leader="none" w:pos="6720" w:val="left"/>
          <w:tab w:leader="none" w:pos="8220" w:val="left"/>
          <w:tab w:leader="none" w:pos="9780" w:val="left"/>
        </w:tabs>
        <w:rPr>
          <w:sz w:val="20"/>
          <w:szCs w:val="20"/>
          <w:color w:val="auto"/>
        </w:rPr>
      </w:pPr>
      <w:r>
        <w:rPr>
          <w:rFonts w:ascii="Courier New" w:cs="Courier New" w:eastAsia="Courier New" w:hAnsi="Courier New"/>
          <w:sz w:val="15"/>
          <w:szCs w:val="15"/>
          <w:color w:val="auto"/>
        </w:rPr>
        <w:t>1,642</w:t>
      </w:r>
      <w:r>
        <w:rPr>
          <w:sz w:val="20"/>
          <w:szCs w:val="20"/>
          <w:color w:val="auto"/>
        </w:rPr>
        <w:tab/>
      </w:r>
      <w:r>
        <w:rPr>
          <w:rFonts w:ascii="Courier New" w:cs="Courier New" w:eastAsia="Courier New" w:hAnsi="Courier New"/>
          <w:sz w:val="15"/>
          <w:szCs w:val="15"/>
          <w:color w:val="auto"/>
        </w:rPr>
        <w:t>17,170</w:t>
      </w:r>
      <w:r>
        <w:rPr>
          <w:sz w:val="20"/>
          <w:szCs w:val="20"/>
          <w:color w:val="auto"/>
        </w:rPr>
        <w:tab/>
      </w:r>
      <w:r>
        <w:rPr>
          <w:rFonts w:ascii="Courier New" w:cs="Courier New" w:eastAsia="Courier New" w:hAnsi="Courier New"/>
          <w:sz w:val="15"/>
          <w:szCs w:val="15"/>
          <w:color w:val="auto"/>
        </w:rPr>
        <w:t>16,726</w:t>
      </w:r>
      <w:r>
        <w:rPr>
          <w:sz w:val="20"/>
          <w:szCs w:val="20"/>
          <w:color w:val="auto"/>
        </w:rPr>
        <w:tab/>
      </w:r>
      <w:r>
        <w:rPr>
          <w:rFonts w:ascii="Courier New" w:cs="Courier New" w:eastAsia="Courier New" w:hAnsi="Courier New"/>
          <w:sz w:val="15"/>
          <w:szCs w:val="15"/>
          <w:color w:val="auto"/>
        </w:rPr>
        <w:t>16,514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12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899</w:t>
            </w:r>
          </w:p>
        </w:tc>
        <w:tc>
          <w:tcPr>
            <w:tcW w:w="16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9,407</w:t>
            </w:r>
          </w:p>
        </w:tc>
        <w:tc>
          <w:tcPr>
            <w:tcW w:w="15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8,500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7,626</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Participation in the results of affiliated companies</w:t>
            </w: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8</w:t>
            </w:r>
          </w:p>
        </w:tc>
        <w:tc>
          <w:tcPr>
            <w:tcW w:w="16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84</w:t>
            </w:r>
          </w:p>
        </w:tc>
        <w:tc>
          <w:tcPr>
            <w:tcW w:w="15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33</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60" w:type="dxa"/>
            <w:vAlign w:val="bottom"/>
          </w:tcPr>
          <w:p>
            <w:pPr>
              <w:spacing w:after="0"/>
              <w:rPr>
                <w:sz w:val="14"/>
                <w:szCs w:val="14"/>
                <w:color w:val="auto"/>
              </w:rPr>
            </w:pPr>
          </w:p>
        </w:tc>
        <w:tc>
          <w:tcPr>
            <w:tcW w:w="20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907</w:t>
            </w:r>
          </w:p>
        </w:tc>
        <w:tc>
          <w:tcPr>
            <w:tcW w:w="16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9,491</w:t>
            </w:r>
          </w:p>
        </w:tc>
        <w:tc>
          <w:tcPr>
            <w:tcW w:w="144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8,533</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7,663</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Integral result of financing:</w:t>
            </w:r>
          </w:p>
        </w:tc>
        <w:tc>
          <w:tcPr>
            <w:tcW w:w="20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2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Interest expense</w:t>
            </w:r>
          </w:p>
        </w:tc>
        <w:tc>
          <w:tcPr>
            <w:tcW w:w="2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(87)</w:t>
            </w:r>
          </w:p>
        </w:tc>
        <w:tc>
          <w:tcPr>
            <w:tcW w:w="16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(906)</w:t>
            </w:r>
          </w:p>
        </w:tc>
        <w:tc>
          <w:tcPr>
            <w:tcW w:w="14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(948)</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(1,160)</w:t>
            </w:r>
          </w:p>
        </w:tc>
      </w:tr>
      <w:tr>
        <w:trPr>
          <w:trHeight w:val="168"/>
        </w:trPr>
        <w:tc>
          <w:tcPr>
            <w:tcW w:w="42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Interest income</w:t>
            </w:r>
          </w:p>
        </w:tc>
        <w:tc>
          <w:tcPr>
            <w:tcW w:w="20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43</w:t>
            </w: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446</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476</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441</w:t>
            </w:r>
          </w:p>
        </w:tc>
      </w:tr>
      <w:tr>
        <w:trPr>
          <w:trHeight w:val="168"/>
        </w:trPr>
        <w:tc>
          <w:tcPr>
            <w:tcW w:w="42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Foreign exchange gain (loss)</w:t>
            </w:r>
          </w:p>
        </w:tc>
        <w:tc>
          <w:tcPr>
            <w:tcW w:w="20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(31)</w:t>
            </w:r>
          </w:p>
        </w:tc>
        <w:tc>
          <w:tcPr>
            <w:tcW w:w="16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(325)</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230</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(1,121)</w:t>
            </w:r>
          </w:p>
        </w:tc>
      </w:tr>
      <w:tr>
        <w:trPr>
          <w:trHeight w:val="168"/>
        </w:trPr>
        <w:tc>
          <w:tcPr>
            <w:tcW w:w="42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Gain (loss) on monetary position</w:t>
            </w:r>
          </w:p>
        </w:tc>
        <w:tc>
          <w:tcPr>
            <w:tcW w:w="20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37</w:t>
            </w: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389</w:t>
            </w:r>
          </w:p>
        </w:tc>
        <w:tc>
          <w:tcPr>
            <w:tcW w:w="14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(40)</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269</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00" w:type="dxa"/>
            <w:vAlign w:val="bottom"/>
          </w:tcPr>
          <w:p>
            <w:pPr>
              <w:spacing w:after="0"/>
              <w:rPr>
                <w:sz w:val="14"/>
                <w:szCs w:val="14"/>
                <w:color w:val="auto"/>
              </w:rPr>
            </w:pPr>
          </w:p>
        </w:tc>
        <w:tc>
          <w:tcPr>
            <w:tcW w:w="24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(38)</w:t>
            </w:r>
          </w:p>
        </w:tc>
        <w:tc>
          <w:tcPr>
            <w:tcW w:w="16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(396)</w:t>
            </w:r>
          </w:p>
        </w:tc>
        <w:tc>
          <w:tcPr>
            <w:tcW w:w="144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(282)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(1,571)</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(expenses), net</w:t>
            </w:r>
          </w:p>
        </w:tc>
        <w:tc>
          <w:tcPr>
            <w:tcW w:w="24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(82)</w:t>
            </w:r>
          </w:p>
        </w:tc>
        <w:tc>
          <w:tcPr>
            <w:tcW w:w="16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(858)</w:t>
            </w:r>
          </w:p>
        </w:tc>
        <w:tc>
          <w:tcPr>
            <w:tcW w:w="14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(297)</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243</w:t>
            </w:r>
          </w:p>
        </w:tc>
      </w:tr>
    </w:tbl>
    <w:p>
      <w:pPr>
        <w:spacing w:after="0" w:line="5" w:lineRule="exact"/>
        <w:rPr>
          <w:sz w:val="20"/>
          <w:szCs w:val="20"/>
          <w:color w:val="auto"/>
        </w:rPr>
      </w:pPr>
    </w:p>
    <w:p>
      <w:pPr>
        <w:ind w:left="180" w:hanging="170"/>
        <w:spacing w:after="0"/>
        <w:tabs>
          <w:tab w:leader="none" w:pos="180"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Income for the year before income tax, tax on assets</w:t>
      </w:r>
    </w:p>
    <w:tbl>
      <w:tblPr>
        <w:tblLayout w:type="fixed"/>
        <w:tblInd w:w="0" w:type="dxa"/>
        <w:tblCellMar>
          <w:top w:w="0" w:type="dxa"/>
          <w:left w:w="0" w:type="dxa"/>
          <w:bottom w:w="0" w:type="dxa"/>
          <w:right w:w="0" w:type="dxa"/>
        </w:tblCellMar>
      </w:tblPr>
      <w:tr>
        <w:trPr>
          <w:trHeight w:val="169"/>
        </w:trPr>
        <w:tc>
          <w:tcPr>
            <w:tcW w:w="4340" w:type="dxa"/>
            <w:vAlign w:val="bottom"/>
          </w:tcPr>
          <w:p>
            <w:pPr>
              <w:ind w:left="360"/>
              <w:spacing w:after="0" w:line="169" w:lineRule="exact"/>
              <w:rPr>
                <w:sz w:val="20"/>
                <w:szCs w:val="20"/>
                <w:color w:val="auto"/>
              </w:rPr>
            </w:pPr>
            <w:r>
              <w:rPr>
                <w:rFonts w:ascii="Courier New" w:cs="Courier New" w:eastAsia="Courier New" w:hAnsi="Courier New"/>
                <w:sz w:val="15"/>
                <w:szCs w:val="15"/>
                <w:color w:val="auto"/>
              </w:rPr>
              <w:t>and employee profit sharing</w:t>
            </w:r>
          </w:p>
        </w:tc>
        <w:tc>
          <w:tcPr>
            <w:tcW w:w="1880" w:type="dxa"/>
            <w:vAlign w:val="bottom"/>
          </w:tcPr>
          <w:p>
            <w:pPr>
              <w:jc w:val="right"/>
              <w:ind w:right="547"/>
              <w:spacing w:after="0" w:line="169" w:lineRule="exact"/>
              <w:rPr>
                <w:sz w:val="20"/>
                <w:szCs w:val="20"/>
                <w:color w:val="auto"/>
              </w:rPr>
            </w:pPr>
            <w:r>
              <w:rPr>
                <w:rFonts w:ascii="Courier New" w:cs="Courier New" w:eastAsia="Courier New" w:hAnsi="Courier New"/>
                <w:sz w:val="15"/>
                <w:szCs w:val="15"/>
                <w:color w:val="auto"/>
              </w:rPr>
              <w:t>787</w:t>
            </w:r>
          </w:p>
        </w:tc>
        <w:tc>
          <w:tcPr>
            <w:tcW w:w="1620" w:type="dxa"/>
            <w:vAlign w:val="bottom"/>
          </w:tcPr>
          <w:p>
            <w:pPr>
              <w:jc w:val="right"/>
              <w:ind w:right="507"/>
              <w:spacing w:after="0" w:line="169" w:lineRule="exact"/>
              <w:rPr>
                <w:sz w:val="20"/>
                <w:szCs w:val="20"/>
                <w:color w:val="auto"/>
              </w:rPr>
            </w:pPr>
            <w:r>
              <w:rPr>
                <w:rFonts w:ascii="Courier New" w:cs="Courier New" w:eastAsia="Courier New" w:hAnsi="Courier New"/>
                <w:sz w:val="15"/>
                <w:szCs w:val="15"/>
                <w:color w:val="auto"/>
              </w:rPr>
              <w:t>8,237</w:t>
            </w:r>
          </w:p>
        </w:tc>
        <w:tc>
          <w:tcPr>
            <w:tcW w:w="1520" w:type="dxa"/>
            <w:vAlign w:val="bottom"/>
          </w:tcPr>
          <w:p>
            <w:pPr>
              <w:jc w:val="right"/>
              <w:ind w:right="447"/>
              <w:spacing w:after="0" w:line="169" w:lineRule="exact"/>
              <w:rPr>
                <w:sz w:val="20"/>
                <w:szCs w:val="20"/>
                <w:color w:val="auto"/>
              </w:rPr>
            </w:pPr>
            <w:r>
              <w:rPr>
                <w:rFonts w:ascii="Courier New" w:cs="Courier New" w:eastAsia="Courier New" w:hAnsi="Courier New"/>
                <w:sz w:val="15"/>
                <w:szCs w:val="15"/>
                <w:color w:val="auto"/>
              </w:rPr>
              <w:t>7,954</w:t>
            </w:r>
          </w:p>
        </w:tc>
        <w:tc>
          <w:tcPr>
            <w:tcW w:w="98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6,335</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 tax on assets and employee</w:t>
            </w:r>
          </w:p>
        </w:tc>
        <w:tc>
          <w:tcPr>
            <w:tcW w:w="18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4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profit sharing</w:t>
            </w:r>
          </w:p>
        </w:tc>
        <w:tc>
          <w:tcPr>
            <w:tcW w:w="18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346</w:t>
            </w:r>
          </w:p>
        </w:tc>
        <w:tc>
          <w:tcPr>
            <w:tcW w:w="16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3,624</w:t>
            </w:r>
          </w:p>
        </w:tc>
        <w:tc>
          <w:tcPr>
            <w:tcW w:w="1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2,945</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2,508</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80" w:type="dxa"/>
            <w:vAlign w:val="bottom"/>
          </w:tcPr>
          <w:p>
            <w:pPr>
              <w:spacing w:after="0"/>
              <w:rPr>
                <w:sz w:val="20"/>
                <w:szCs w:val="20"/>
                <w:color w:val="auto"/>
              </w:rPr>
            </w:pPr>
            <w:r>
              <w:rPr>
                <w:rFonts w:ascii="Courier New" w:cs="Courier New" w:eastAsia="Courier New" w:hAnsi="Courier New"/>
                <w:sz w:val="15"/>
                <w:szCs w:val="15"/>
                <w:color w:val="auto"/>
              </w:rPr>
              <w:t>Net income before change in accounting principle</w:t>
            </w:r>
          </w:p>
        </w:tc>
        <w:tc>
          <w:tcPr>
            <w:tcW w:w="14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441</w:t>
            </w:r>
          </w:p>
        </w:tc>
        <w:tc>
          <w:tcPr>
            <w:tcW w:w="16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4,613</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5,009</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3,827</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Change in accounting principle</w:t>
            </w:r>
          </w:p>
        </w:tc>
        <w:tc>
          <w:tcPr>
            <w:tcW w:w="14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(29)</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tabs>
          <w:tab w:leader="none" w:pos="4720" w:val="left"/>
          <w:tab w:leader="none" w:pos="5420" w:val="left"/>
          <w:tab w:leader="none" w:pos="6020" w:val="left"/>
          <w:tab w:leader="none" w:pos="6820" w:val="left"/>
          <w:tab w:leader="none" w:pos="7520" w:val="left"/>
          <w:tab w:leader="none" w:pos="8380" w:val="left"/>
          <w:tab w:leader="none" w:pos="9080" w:val="left"/>
          <w:tab w:leader="none" w:pos="9880" w:val="left"/>
        </w:tabs>
        <w:rPr>
          <w:sz w:val="20"/>
          <w:szCs w:val="20"/>
          <w:color w:val="auto"/>
        </w:rPr>
      </w:pPr>
      <w:r>
        <w:rPr>
          <w:rFonts w:ascii="Courier New" w:cs="Courier New" w:eastAsia="Courier New" w:hAnsi="Courier New"/>
          <w:sz w:val="15"/>
          <w:szCs w:val="15"/>
          <w:color w:val="auto"/>
        </w:rPr>
        <w:t>Consolidated net income for the year</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441</w:t>
      </w:r>
      <w:r>
        <w:rPr>
          <w:sz w:val="20"/>
          <w:szCs w:val="20"/>
          <w:color w:val="auto"/>
        </w:rPr>
        <w:tab/>
      </w:r>
      <w:r>
        <w:rPr>
          <w:rFonts w:ascii="Courier New" w:cs="Courier New" w:eastAsia="Courier New" w:hAnsi="Courier New"/>
          <w:sz w:val="15"/>
          <w:szCs w:val="15"/>
          <w:color w:val="auto"/>
        </w:rPr>
        <w:t>Ps.</w:t>
      </w:r>
      <w:r>
        <w:rPr>
          <w:sz w:val="20"/>
          <w:szCs w:val="20"/>
          <w:color w:val="auto"/>
        </w:rPr>
        <w:tab/>
      </w:r>
      <w:r>
        <w:rPr>
          <w:rFonts w:ascii="Courier New" w:cs="Courier New" w:eastAsia="Courier New" w:hAnsi="Courier New"/>
          <w:sz w:val="15"/>
          <w:szCs w:val="15"/>
          <w:color w:val="auto"/>
        </w:rPr>
        <w:t>4,613</w:t>
      </w:r>
      <w:r>
        <w:rPr>
          <w:sz w:val="20"/>
          <w:szCs w:val="20"/>
          <w:color w:val="auto"/>
        </w:rPr>
        <w:tab/>
      </w:r>
      <w:r>
        <w:rPr>
          <w:rFonts w:ascii="Courier New" w:cs="Courier New" w:eastAsia="Courier New" w:hAnsi="Courier New"/>
          <w:sz w:val="15"/>
          <w:szCs w:val="15"/>
          <w:color w:val="auto"/>
        </w:rPr>
        <w:t>Ps.</w:t>
      </w:r>
      <w:r>
        <w:rPr>
          <w:sz w:val="20"/>
          <w:szCs w:val="20"/>
          <w:color w:val="auto"/>
        </w:rPr>
        <w:tab/>
      </w:r>
      <w:r>
        <w:rPr>
          <w:rFonts w:ascii="Courier New" w:cs="Courier New" w:eastAsia="Courier New" w:hAnsi="Courier New"/>
          <w:sz w:val="15"/>
          <w:szCs w:val="15"/>
          <w:color w:val="auto"/>
        </w:rPr>
        <w:t>4,980</w:t>
        <w:tab/>
        <w:t>Ps.</w:t>
      </w:r>
      <w:r>
        <w:rPr>
          <w:sz w:val="20"/>
          <w:szCs w:val="20"/>
          <w:color w:val="auto"/>
        </w:rPr>
        <w:tab/>
      </w:r>
      <w:r>
        <w:rPr>
          <w:rFonts w:ascii="Courier New" w:cs="Courier New" w:eastAsia="Courier New" w:hAnsi="Courier New"/>
          <w:sz w:val="14"/>
          <w:szCs w:val="14"/>
          <w:color w:val="auto"/>
        </w:rPr>
        <w:t>3,827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300" w:type="dxa"/>
            <w:vAlign w:val="bottom"/>
          </w:tcPr>
          <w:p>
            <w:pPr>
              <w:spacing w:after="0"/>
              <w:rPr>
                <w:sz w:val="20"/>
                <w:szCs w:val="20"/>
                <w:color w:val="auto"/>
              </w:rPr>
            </w:pPr>
            <w:r>
              <w:rPr>
                <w:rFonts w:ascii="Courier New" w:cs="Courier New" w:eastAsia="Courier New" w:hAnsi="Courier New"/>
                <w:sz w:val="15"/>
                <w:szCs w:val="15"/>
                <w:color w:val="auto"/>
              </w:rPr>
              <w:t>Net</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majority</w:t>
            </w:r>
          </w:p>
        </w:tc>
        <w:tc>
          <w:tcPr>
            <w:tcW w:w="2260" w:type="dxa"/>
            <w:vAlign w:val="bottom"/>
          </w:tcPr>
          <w:p>
            <w:pPr>
              <w:ind w:left="40"/>
              <w:spacing w:after="0"/>
              <w:rPr>
                <w:sz w:val="20"/>
                <w:szCs w:val="20"/>
                <w:color w:val="auto"/>
              </w:rPr>
            </w:pPr>
            <w:r>
              <w:rPr>
                <w:rFonts w:ascii="Courier New" w:cs="Courier New" w:eastAsia="Courier New" w:hAnsi="Courier New"/>
                <w:sz w:val="15"/>
                <w:szCs w:val="15"/>
                <w:color w:val="auto"/>
              </w:rPr>
              <w:t>income</w:t>
            </w:r>
          </w:p>
        </w:tc>
        <w:tc>
          <w:tcPr>
            <w:tcW w:w="25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271</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2,837</w:t>
            </w:r>
          </w:p>
        </w:tc>
        <w:tc>
          <w:tcPr>
            <w:tcW w:w="15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3,393</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2,748</w:t>
            </w:r>
          </w:p>
        </w:tc>
      </w:tr>
      <w:tr>
        <w:trPr>
          <w:trHeight w:val="168"/>
        </w:trPr>
        <w:tc>
          <w:tcPr>
            <w:tcW w:w="300" w:type="dxa"/>
            <w:vAlign w:val="bottom"/>
          </w:tcPr>
          <w:p>
            <w:pPr>
              <w:spacing w:after="0" w:line="168" w:lineRule="exact"/>
              <w:rPr>
                <w:sz w:val="20"/>
                <w:szCs w:val="20"/>
                <w:color w:val="auto"/>
              </w:rPr>
            </w:pPr>
            <w:r>
              <w:rPr>
                <w:rFonts w:ascii="Courier New" w:cs="Courier New" w:eastAsia="Courier New" w:hAnsi="Courier New"/>
                <w:sz w:val="15"/>
                <w:szCs w:val="15"/>
                <w:color w:val="auto"/>
              </w:rPr>
              <w:t>Net</w:t>
            </w:r>
          </w:p>
        </w:tc>
        <w:tc>
          <w:tcPr>
            <w:tcW w:w="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minority</w:t>
            </w:r>
          </w:p>
        </w:tc>
        <w:tc>
          <w:tcPr>
            <w:tcW w:w="2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income</w:t>
            </w:r>
          </w:p>
        </w:tc>
        <w:tc>
          <w:tcPr>
            <w:tcW w:w="25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170</w:t>
            </w:r>
          </w:p>
        </w:tc>
        <w:tc>
          <w:tcPr>
            <w:tcW w:w="15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1,776</w:t>
            </w:r>
          </w:p>
        </w:tc>
        <w:tc>
          <w:tcPr>
            <w:tcW w:w="1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1,587</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1,079</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tabs>
          <w:tab w:leader="none" w:pos="4720" w:val="left"/>
          <w:tab w:leader="none" w:pos="5420" w:val="left"/>
          <w:tab w:leader="none" w:pos="6020" w:val="left"/>
          <w:tab w:leader="none" w:pos="6820" w:val="left"/>
          <w:tab w:leader="none" w:pos="7600" w:val="left"/>
          <w:tab w:leader="none" w:pos="8380" w:val="left"/>
          <w:tab w:leader="none" w:pos="9260" w:val="left"/>
          <w:tab w:leader="none" w:pos="9880" w:val="left"/>
        </w:tabs>
        <w:rPr>
          <w:sz w:val="20"/>
          <w:szCs w:val="20"/>
          <w:color w:val="auto"/>
        </w:rPr>
      </w:pPr>
      <w:r>
        <w:rPr>
          <w:rFonts w:ascii="Courier New" w:cs="Courier New" w:eastAsia="Courier New" w:hAnsi="Courier New"/>
          <w:sz w:val="15"/>
          <w:szCs w:val="15"/>
          <w:color w:val="auto"/>
        </w:rPr>
        <w:t>Consolidated net income for the year</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441</w:t>
      </w:r>
      <w:r>
        <w:rPr>
          <w:sz w:val="20"/>
          <w:szCs w:val="20"/>
          <w:color w:val="auto"/>
        </w:rPr>
        <w:tab/>
      </w:r>
      <w:r>
        <w:rPr>
          <w:rFonts w:ascii="Courier New" w:cs="Courier New" w:eastAsia="Courier New" w:hAnsi="Courier New"/>
          <w:sz w:val="15"/>
          <w:szCs w:val="15"/>
          <w:color w:val="auto"/>
        </w:rPr>
        <w:t>Ps.</w:t>
      </w:r>
      <w:r>
        <w:rPr>
          <w:sz w:val="20"/>
          <w:szCs w:val="20"/>
          <w:color w:val="auto"/>
        </w:rPr>
        <w:tab/>
      </w:r>
      <w:r>
        <w:rPr>
          <w:rFonts w:ascii="Courier New" w:cs="Courier New" w:eastAsia="Courier New" w:hAnsi="Courier New"/>
          <w:sz w:val="15"/>
          <w:szCs w:val="15"/>
          <w:color w:val="auto"/>
        </w:rPr>
        <w:t>4,613</w:t>
      </w:r>
      <w:r>
        <w:rPr>
          <w:sz w:val="20"/>
          <w:szCs w:val="20"/>
          <w:color w:val="auto"/>
        </w:rPr>
        <w:tab/>
      </w:r>
      <w:r>
        <w:rPr>
          <w:rFonts w:ascii="Courier New" w:cs="Courier New" w:eastAsia="Courier New" w:hAnsi="Courier New"/>
          <w:sz w:val="15"/>
          <w:szCs w:val="15"/>
          <w:color w:val="auto"/>
        </w:rPr>
        <w:t>Ps.</w:t>
      </w:r>
      <w:r>
        <w:rPr>
          <w:sz w:val="20"/>
          <w:szCs w:val="20"/>
          <w:color w:val="auto"/>
        </w:rPr>
        <w:tab/>
      </w:r>
      <w:r>
        <w:rPr>
          <w:rFonts w:ascii="Courier New" w:cs="Courier New" w:eastAsia="Courier New" w:hAnsi="Courier New"/>
          <w:sz w:val="15"/>
          <w:szCs w:val="15"/>
          <w:color w:val="auto"/>
        </w:rPr>
        <w:t>4,980</w:t>
      </w:r>
      <w:r>
        <w:rPr>
          <w:sz w:val="20"/>
          <w:szCs w:val="20"/>
          <w:color w:val="auto"/>
        </w:rPr>
        <w:tab/>
      </w:r>
      <w:r>
        <w:rPr>
          <w:rFonts w:ascii="Courier New" w:cs="Courier New" w:eastAsia="Courier New" w:hAnsi="Courier New"/>
          <w:sz w:val="15"/>
          <w:szCs w:val="15"/>
          <w:color w:val="auto"/>
        </w:rPr>
        <w:t>Ps.</w:t>
      </w:r>
      <w:r>
        <w:rPr>
          <w:sz w:val="20"/>
          <w:szCs w:val="20"/>
          <w:color w:val="auto"/>
        </w:rPr>
        <w:tab/>
      </w:r>
      <w:r>
        <w:rPr>
          <w:rFonts w:ascii="Courier New" w:cs="Courier New" w:eastAsia="Courier New" w:hAnsi="Courier New"/>
          <w:sz w:val="14"/>
          <w:szCs w:val="14"/>
          <w:color w:val="auto"/>
        </w:rPr>
        <w:t>3,827</w:t>
      </w:r>
    </w:p>
    <w:p>
      <w:pPr>
        <w:spacing w:after="0" w:line="5" w:lineRule="exact"/>
        <w:rPr>
          <w:sz w:val="20"/>
          <w:szCs w:val="20"/>
          <w:color w:val="auto"/>
        </w:rPr>
      </w:pPr>
    </w:p>
    <w:p>
      <w:pPr>
        <w:ind w:left="180" w:hanging="170"/>
        <w:spacing w:after="0"/>
        <w:tabs>
          <w:tab w:leader="none" w:pos="180"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Net majority income per share</w:t>
      </w:r>
    </w:p>
    <w:tbl>
      <w:tblPr>
        <w:tblLayout w:type="fixed"/>
        <w:tblInd w:w="360" w:type="dxa"/>
        <w:tblCellMar>
          <w:top w:w="0" w:type="dxa"/>
          <w:left w:w="0" w:type="dxa"/>
          <w:bottom w:w="0" w:type="dxa"/>
          <w:right w:w="0" w:type="dxa"/>
        </w:tblCellMar>
      </w:tblPr>
      <w:tr>
        <w:trPr>
          <w:trHeight w:val="169"/>
        </w:trPr>
        <w:tc>
          <w:tcPr>
            <w:tcW w:w="1360" w:type="dxa"/>
            <w:vAlign w:val="bottom"/>
          </w:tcPr>
          <w:p>
            <w:pPr>
              <w:spacing w:after="0" w:line="169" w:lineRule="exact"/>
              <w:rPr>
                <w:sz w:val="20"/>
                <w:szCs w:val="20"/>
                <w:color w:val="auto"/>
              </w:rPr>
            </w:pPr>
            <w:r>
              <w:rPr>
                <w:rFonts w:ascii="Courier New" w:cs="Courier New" w:eastAsia="Courier New" w:hAnsi="Courier New"/>
                <w:sz w:val="15"/>
                <w:szCs w:val="15"/>
                <w:color w:val="auto"/>
                <w:w w:val="99"/>
              </w:rPr>
              <w:t>(US dollars and</w:t>
            </w:r>
          </w:p>
        </w:tc>
        <w:tc>
          <w:tcPr>
            <w:tcW w:w="2580" w:type="dxa"/>
            <w:vAlign w:val="bottom"/>
          </w:tcPr>
          <w:p>
            <w:pPr>
              <w:ind w:left="40"/>
              <w:spacing w:after="0" w:line="169" w:lineRule="exact"/>
              <w:rPr>
                <w:sz w:val="20"/>
                <w:szCs w:val="20"/>
                <w:color w:val="auto"/>
              </w:rPr>
            </w:pPr>
            <w:r>
              <w:rPr>
                <w:rFonts w:ascii="Courier New" w:cs="Courier New" w:eastAsia="Courier New" w:hAnsi="Courier New"/>
                <w:sz w:val="15"/>
                <w:szCs w:val="15"/>
                <w:color w:val="auto"/>
              </w:rPr>
              <w:t>constant Mexican pesos):</w:t>
            </w: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9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Per Series "B" share</w:t>
            </w: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94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Before change in accounting principle</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0.046</w:t>
            </w:r>
          </w:p>
        </w:tc>
        <w:tc>
          <w:tcPr>
            <w:tcW w:w="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Ps.</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0.478</w:t>
            </w:r>
          </w:p>
        </w:tc>
        <w:tc>
          <w:tcPr>
            <w:tcW w:w="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Ps.</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0.576</w:t>
            </w:r>
          </w:p>
        </w:tc>
        <w:tc>
          <w:tcPr>
            <w:tcW w:w="6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Ps.</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0.459</w:t>
            </w:r>
          </w:p>
        </w:tc>
      </w:tr>
      <w:tr>
        <w:trPr>
          <w:trHeight w:val="168"/>
        </w:trPr>
        <w:tc>
          <w:tcPr>
            <w:tcW w:w="13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9"/>
              </w:rPr>
              <w:t>After change</w:t>
            </w:r>
          </w:p>
        </w:tc>
        <w:tc>
          <w:tcPr>
            <w:tcW w:w="2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 accounting principle</w:t>
            </w:r>
          </w:p>
        </w:tc>
        <w:tc>
          <w:tcPr>
            <w:tcW w:w="7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0.046</w:t>
            </w:r>
          </w:p>
        </w:tc>
        <w:tc>
          <w:tcPr>
            <w:tcW w:w="7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0.478</w:t>
            </w:r>
          </w:p>
        </w:tc>
        <w:tc>
          <w:tcPr>
            <w:tcW w:w="7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0.571</w:t>
            </w:r>
          </w:p>
        </w:tc>
        <w:tc>
          <w:tcPr>
            <w:tcW w:w="66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0.459</w:t>
            </w:r>
          </w:p>
        </w:tc>
      </w:tr>
      <w:tr>
        <w:trPr>
          <w:trHeight w:val="336"/>
        </w:trPr>
        <w:tc>
          <w:tcPr>
            <w:tcW w:w="3940" w:type="dxa"/>
            <w:vAlign w:val="bottom"/>
            <w:gridSpan w:val="2"/>
          </w:tcPr>
          <w:p>
            <w:pPr>
              <w:spacing w:after="0"/>
              <w:rPr>
                <w:sz w:val="20"/>
                <w:szCs w:val="20"/>
                <w:color w:val="auto"/>
              </w:rPr>
            </w:pPr>
            <w:r>
              <w:rPr>
                <w:rFonts w:ascii="Courier New" w:cs="Courier New" w:eastAsia="Courier New" w:hAnsi="Courier New"/>
                <w:sz w:val="15"/>
                <w:szCs w:val="15"/>
                <w:color w:val="auto"/>
              </w:rPr>
              <w:t>Per Series "D" share</w:t>
            </w: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394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Before change in accounting principle</w:t>
            </w:r>
          </w:p>
        </w:tc>
        <w:tc>
          <w:tcPr>
            <w:tcW w:w="7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0.057</w:t>
            </w:r>
          </w:p>
        </w:tc>
        <w:tc>
          <w:tcPr>
            <w:tcW w:w="7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0.597</w:t>
            </w:r>
          </w:p>
        </w:tc>
        <w:tc>
          <w:tcPr>
            <w:tcW w:w="7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0.720</w:t>
            </w:r>
          </w:p>
        </w:tc>
        <w:tc>
          <w:tcPr>
            <w:tcW w:w="66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0.574</w:t>
            </w:r>
          </w:p>
        </w:tc>
      </w:tr>
      <w:tr>
        <w:trPr>
          <w:trHeight w:val="168"/>
        </w:trPr>
        <w:tc>
          <w:tcPr>
            <w:tcW w:w="13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9"/>
              </w:rPr>
              <w:t>After change</w:t>
            </w:r>
          </w:p>
        </w:tc>
        <w:tc>
          <w:tcPr>
            <w:tcW w:w="2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 accounting principle</w:t>
            </w:r>
          </w:p>
        </w:tc>
        <w:tc>
          <w:tcPr>
            <w:tcW w:w="7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0.057</w:t>
            </w:r>
          </w:p>
        </w:tc>
        <w:tc>
          <w:tcPr>
            <w:tcW w:w="7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0.597</w:t>
            </w:r>
          </w:p>
        </w:tc>
        <w:tc>
          <w:tcPr>
            <w:tcW w:w="7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0.714</w:t>
            </w:r>
          </w:p>
        </w:tc>
        <w:tc>
          <w:tcPr>
            <w:tcW w:w="66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0.574</w:t>
            </w:r>
          </w:p>
        </w:tc>
      </w:tr>
    </w:tbl>
    <w:p>
      <w:pPr>
        <w:spacing w:after="0" w:line="335"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The accompanying notes are an integral part of these consolidated income statements.</w:t>
      </w:r>
    </w:p>
    <w:p>
      <w:pPr>
        <w:spacing w:after="0" w:line="200" w:lineRule="exact"/>
        <w:rPr>
          <w:sz w:val="20"/>
          <w:szCs w:val="20"/>
          <w:color w:val="auto"/>
        </w:rPr>
      </w:pPr>
    </w:p>
    <w:p>
      <w:pPr>
        <w:spacing w:after="0" w:line="30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0500"/>
          </w:cols>
          <w:pgMar w:left="220" w:top="1122" w:right="1179" w:bottom="1440" w:gutter="0" w:footer="0" w:header="0"/>
        </w:sectPr>
      </w:pPr>
    </w:p>
    <w:bookmarkStart w:id="166" w:name="page167"/>
    <w:bookmarkEnd w:id="166"/>
    <w:p>
      <w:pPr>
        <w:jc w:val="both"/>
        <w:ind w:right="3500"/>
        <w:spacing w:after="0" w:line="235" w:lineRule="auto"/>
        <w:rPr>
          <w:sz w:val="20"/>
          <w:szCs w:val="20"/>
          <w:color w:val="auto"/>
        </w:rPr>
      </w:pPr>
      <w:r>
        <w:rPr>
          <w:rFonts w:ascii="Courier New" w:cs="Courier New" w:eastAsia="Courier New" w:hAnsi="Courier New"/>
          <w:sz w:val="15"/>
          <w:szCs w:val="15"/>
          <w:color w:val="auto"/>
        </w:rPr>
        <w:t>FOMENTO ECONOMICO MEXICANO, S.A. DE C.V AND SUBSIDIARIES Consolidated Statements of Changes in Financial Position For the years ended December 31, 2002, 2001 and 2000.</w:t>
      </w:r>
    </w:p>
    <w:p>
      <w:pPr>
        <w:spacing w:after="0" w:line="5" w:lineRule="exact"/>
        <w:rPr>
          <w:sz w:val="20"/>
          <w:szCs w:val="20"/>
          <w:color w:val="auto"/>
        </w:rPr>
      </w:pPr>
    </w:p>
    <w:p>
      <w:pPr>
        <w:ind w:right="3940"/>
        <w:spacing w:after="0" w:line="234" w:lineRule="auto"/>
        <w:rPr>
          <w:sz w:val="20"/>
          <w:szCs w:val="20"/>
          <w:color w:val="auto"/>
        </w:rPr>
      </w:pPr>
      <w:r>
        <w:rPr>
          <w:rFonts w:ascii="Courier New" w:cs="Courier New" w:eastAsia="Courier New" w:hAnsi="Courier New"/>
          <w:sz w:val="15"/>
          <w:szCs w:val="15"/>
          <w:color w:val="auto"/>
        </w:rPr>
        <w:t>Amounts expressed in millions of US dollars ($) and in millions of constant Mexican pesos (Ps.) as of December 31, 2002</w:t>
      </w:r>
    </w:p>
    <w:p>
      <w:pPr>
        <w:spacing w:after="0" w:line="167" w:lineRule="exact"/>
        <w:rPr>
          <w:sz w:val="20"/>
          <w:szCs w:val="20"/>
          <w:color w:val="auto"/>
        </w:rPr>
      </w:pPr>
    </w:p>
    <w:p>
      <w:pPr>
        <w:ind w:left="6040"/>
        <w:spacing w:after="0"/>
        <w:tabs>
          <w:tab w:leader="none" w:pos="8380" w:val="left"/>
          <w:tab w:leader="none" w:pos="9960" w:val="left"/>
        </w:tabs>
        <w:rPr>
          <w:sz w:val="20"/>
          <w:szCs w:val="20"/>
          <w:color w:val="auto"/>
        </w:rPr>
      </w:pPr>
      <w:r>
        <w:rPr>
          <w:rFonts w:ascii="Courier New" w:cs="Courier New" w:eastAsia="Courier New" w:hAnsi="Courier New"/>
          <w:sz w:val="15"/>
          <w:szCs w:val="15"/>
          <w:color w:val="auto"/>
        </w:rPr>
        <w:t>2002</w:t>
      </w:r>
      <w:r>
        <w:rPr>
          <w:sz w:val="20"/>
          <w:szCs w:val="20"/>
          <w:color w:val="auto"/>
        </w:rPr>
        <w:tab/>
      </w:r>
      <w:r>
        <w:rPr>
          <w:rFonts w:ascii="Courier New" w:cs="Courier New" w:eastAsia="Courier New" w:hAnsi="Courier New"/>
          <w:sz w:val="15"/>
          <w:szCs w:val="15"/>
          <w:color w:val="auto"/>
        </w:rPr>
        <w:t>2001</w:t>
      </w:r>
      <w:r>
        <w:rPr>
          <w:sz w:val="20"/>
          <w:szCs w:val="20"/>
          <w:color w:val="auto"/>
        </w:rPr>
        <w:tab/>
      </w:r>
      <w:r>
        <w:rPr>
          <w:rFonts w:ascii="Courier New" w:cs="Courier New" w:eastAsia="Courier New" w:hAnsi="Courier New"/>
          <w:sz w:val="15"/>
          <w:szCs w:val="15"/>
          <w:color w:val="auto"/>
        </w:rPr>
        <w:t>2000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20" w:type="dxa"/>
            <w:vAlign w:val="bottom"/>
          </w:tcPr>
          <w:p>
            <w:pPr>
              <w:spacing w:after="0"/>
              <w:rPr>
                <w:sz w:val="20"/>
                <w:szCs w:val="20"/>
                <w:color w:val="auto"/>
              </w:rPr>
            </w:pPr>
            <w:r>
              <w:rPr>
                <w:rFonts w:ascii="Courier New" w:cs="Courier New" w:eastAsia="Courier New" w:hAnsi="Courier New"/>
                <w:sz w:val="15"/>
                <w:szCs w:val="15"/>
                <w:color w:val="auto"/>
              </w:rPr>
              <w:t>Resources Generated by (Used in):</w:t>
            </w: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Operations:</w:t>
            </w: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1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Consolidated net income for the year</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441</w:t>
            </w:r>
          </w:p>
        </w:tc>
        <w:tc>
          <w:tcPr>
            <w:tcW w:w="6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Ps.</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4,613</w:t>
            </w:r>
          </w:p>
        </w:tc>
        <w:tc>
          <w:tcPr>
            <w:tcW w:w="7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Ps.</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4,980</w:t>
            </w:r>
          </w:p>
        </w:tc>
        <w:tc>
          <w:tcPr>
            <w:tcW w:w="6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Ps.</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3,827</w:t>
            </w:r>
          </w:p>
        </w:tc>
      </w:tr>
      <w:tr>
        <w:trPr>
          <w:trHeight w:val="168"/>
        </w:trPr>
        <w:tc>
          <w:tcPr>
            <w:tcW w:w="41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Depreciation</w:t>
            </w:r>
          </w:p>
        </w:tc>
        <w:tc>
          <w:tcPr>
            <w:tcW w:w="10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227</w:t>
            </w:r>
          </w:p>
        </w:tc>
        <w:tc>
          <w:tcPr>
            <w:tcW w:w="60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2,378</w:t>
            </w:r>
          </w:p>
        </w:tc>
        <w:tc>
          <w:tcPr>
            <w:tcW w:w="74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2,290</w:t>
            </w:r>
          </w:p>
        </w:tc>
        <w:tc>
          <w:tcPr>
            <w:tcW w:w="6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2,415</w:t>
            </w:r>
          </w:p>
        </w:tc>
      </w:tr>
      <w:tr>
        <w:trPr>
          <w:trHeight w:val="168"/>
        </w:trPr>
        <w:tc>
          <w:tcPr>
            <w:tcW w:w="41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Amortization and other</w:t>
            </w:r>
          </w:p>
        </w:tc>
        <w:tc>
          <w:tcPr>
            <w:tcW w:w="10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216</w:t>
            </w:r>
          </w:p>
        </w:tc>
        <w:tc>
          <w:tcPr>
            <w:tcW w:w="60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2,259</w:t>
            </w:r>
          </w:p>
        </w:tc>
        <w:tc>
          <w:tcPr>
            <w:tcW w:w="74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1,571</w:t>
            </w:r>
          </w:p>
        </w:tc>
        <w:tc>
          <w:tcPr>
            <w:tcW w:w="6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1,494</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5440"/>
        <w:spacing w:after="0"/>
        <w:tabs>
          <w:tab w:leader="none" w:pos="6720" w:val="left"/>
          <w:tab w:leader="none" w:pos="8380" w:val="left"/>
          <w:tab w:leader="none" w:pos="9880" w:val="left"/>
        </w:tabs>
        <w:rPr>
          <w:sz w:val="20"/>
          <w:szCs w:val="20"/>
          <w:color w:val="auto"/>
        </w:rPr>
      </w:pPr>
      <w:r>
        <w:rPr>
          <w:rFonts w:ascii="Courier New" w:cs="Courier New" w:eastAsia="Courier New" w:hAnsi="Courier New"/>
          <w:sz w:val="15"/>
          <w:szCs w:val="15"/>
          <w:color w:val="auto"/>
        </w:rPr>
        <w:t>884</w:t>
      </w:r>
      <w:r>
        <w:rPr>
          <w:sz w:val="20"/>
          <w:szCs w:val="20"/>
          <w:color w:val="auto"/>
        </w:rPr>
        <w:tab/>
      </w:r>
      <w:r>
        <w:rPr>
          <w:rFonts w:ascii="Courier New" w:cs="Courier New" w:eastAsia="Courier New" w:hAnsi="Courier New"/>
          <w:sz w:val="15"/>
          <w:szCs w:val="15"/>
          <w:color w:val="auto"/>
        </w:rPr>
        <w:t>9,250</w:t>
      </w:r>
      <w:r>
        <w:rPr>
          <w:sz w:val="20"/>
          <w:szCs w:val="20"/>
          <w:color w:val="auto"/>
        </w:rPr>
        <w:tab/>
      </w:r>
      <w:r>
        <w:rPr>
          <w:rFonts w:ascii="Courier New" w:cs="Courier New" w:eastAsia="Courier New" w:hAnsi="Courier New"/>
          <w:sz w:val="15"/>
          <w:szCs w:val="15"/>
          <w:color w:val="auto"/>
        </w:rPr>
        <w:t>8,841</w:t>
      </w:r>
      <w:r>
        <w:rPr>
          <w:sz w:val="20"/>
          <w:szCs w:val="20"/>
          <w:color w:val="auto"/>
        </w:rPr>
        <w:tab/>
      </w:r>
      <w:r>
        <w:rPr>
          <w:rFonts w:ascii="Courier New" w:cs="Courier New" w:eastAsia="Courier New" w:hAnsi="Courier New"/>
          <w:sz w:val="14"/>
          <w:szCs w:val="14"/>
          <w:color w:val="auto"/>
        </w:rPr>
        <w:t>7,736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Working capital:</w:t>
            </w:r>
          </w:p>
        </w:tc>
        <w:tc>
          <w:tcPr>
            <w:tcW w:w="19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19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40</w:t>
            </w:r>
          </w:p>
        </w:tc>
        <w:tc>
          <w:tcPr>
            <w:tcW w:w="15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418</w:t>
            </w: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(154)</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168</w:t>
            </w:r>
          </w:p>
        </w:tc>
      </w:tr>
      <w:tr>
        <w:trPr>
          <w:trHeight w:val="168"/>
        </w:trPr>
        <w:tc>
          <w:tcPr>
            <w:tcW w:w="4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Inventories</w:t>
            </w:r>
          </w:p>
        </w:tc>
        <w:tc>
          <w:tcPr>
            <w:tcW w:w="194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(66)</w:t>
            </w:r>
          </w:p>
        </w:tc>
        <w:tc>
          <w:tcPr>
            <w:tcW w:w="15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(686)</w:t>
            </w: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(17)</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(434)</w:t>
            </w:r>
          </w:p>
        </w:tc>
      </w:tr>
      <w:tr>
        <w:trPr>
          <w:trHeight w:val="168"/>
        </w:trPr>
        <w:tc>
          <w:tcPr>
            <w:tcW w:w="4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Prepaid expenses</w:t>
            </w:r>
          </w:p>
        </w:tc>
        <w:tc>
          <w:tcPr>
            <w:tcW w:w="194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(5)</w:t>
            </w:r>
          </w:p>
        </w:tc>
        <w:tc>
          <w:tcPr>
            <w:tcW w:w="15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(56)</w:t>
            </w: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(166)</w:t>
            </w:r>
          </w:p>
        </w:tc>
      </w:tr>
      <w:tr>
        <w:trPr>
          <w:trHeight w:val="168"/>
        </w:trPr>
        <w:tc>
          <w:tcPr>
            <w:tcW w:w="4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Suppliers and other liabilities</w:t>
            </w:r>
          </w:p>
        </w:tc>
        <w:tc>
          <w:tcPr>
            <w:tcW w:w="19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84</w:t>
            </w:r>
          </w:p>
        </w:tc>
        <w:tc>
          <w:tcPr>
            <w:tcW w:w="15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873</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221</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856</w:t>
            </w:r>
          </w:p>
        </w:tc>
      </w:tr>
      <w:tr>
        <w:trPr>
          <w:trHeight w:val="168"/>
        </w:trPr>
        <w:tc>
          <w:tcPr>
            <w:tcW w:w="4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Recoverable taxes, net</w:t>
            </w:r>
          </w:p>
        </w:tc>
        <w:tc>
          <w:tcPr>
            <w:tcW w:w="194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(58)</w:t>
            </w:r>
          </w:p>
        </w:tc>
        <w:tc>
          <w:tcPr>
            <w:tcW w:w="15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(607)</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645</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(216)</w:t>
            </w:r>
          </w:p>
        </w:tc>
      </w:tr>
      <w:tr>
        <w:trPr>
          <w:trHeight w:val="168"/>
        </w:trPr>
        <w:tc>
          <w:tcPr>
            <w:tcW w:w="4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Interest payable</w:t>
            </w:r>
          </w:p>
        </w:tc>
        <w:tc>
          <w:tcPr>
            <w:tcW w:w="194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(1)</w:t>
            </w:r>
          </w:p>
        </w:tc>
        <w:tc>
          <w:tcPr>
            <w:tcW w:w="15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(10)</w:t>
            </w: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(47)</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w:t>
            </w:r>
          </w:p>
        </w:tc>
      </w:tr>
      <w:tr>
        <w:trPr>
          <w:trHeight w:val="168"/>
        </w:trPr>
        <w:tc>
          <w:tcPr>
            <w:tcW w:w="4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Labor liabilities</w:t>
            </w:r>
          </w:p>
        </w:tc>
        <w:tc>
          <w:tcPr>
            <w:tcW w:w="19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(90)</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20" w:type="dxa"/>
            <w:vAlign w:val="bottom"/>
          </w:tcPr>
          <w:p>
            <w:pPr>
              <w:spacing w:after="0"/>
              <w:rPr>
                <w:sz w:val="20"/>
                <w:szCs w:val="20"/>
                <w:color w:val="auto"/>
              </w:rPr>
            </w:pPr>
            <w:r>
              <w:rPr>
                <w:rFonts w:ascii="Courier New" w:cs="Courier New" w:eastAsia="Courier New" w:hAnsi="Courier New"/>
                <w:sz w:val="15"/>
                <w:szCs w:val="15"/>
                <w:color w:val="auto"/>
              </w:rPr>
              <w:t>Net Resources Generated by Operating Activities</w:t>
            </w:r>
          </w:p>
        </w:tc>
        <w:tc>
          <w:tcPr>
            <w:tcW w:w="14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878</w:t>
            </w:r>
          </w:p>
        </w:tc>
        <w:tc>
          <w:tcPr>
            <w:tcW w:w="15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9,182</w:t>
            </w:r>
          </w:p>
        </w:tc>
        <w:tc>
          <w:tcPr>
            <w:tcW w:w="15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9,390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7,984</w:t>
            </w:r>
          </w:p>
        </w:tc>
      </w:tr>
    </w:tbl>
    <w:p>
      <w:pPr>
        <w:spacing w:after="0" w:line="5" w:lineRule="exact"/>
        <w:rPr>
          <w:sz w:val="20"/>
          <w:szCs w:val="20"/>
          <w:color w:val="auto"/>
        </w:rPr>
      </w:pPr>
    </w:p>
    <w:p>
      <w:pPr>
        <w:ind w:left="180" w:hanging="170"/>
        <w:spacing w:after="0"/>
        <w:tabs>
          <w:tab w:leader="none" w:pos="180"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Investments:</w:t>
      </w:r>
    </w:p>
    <w:tbl>
      <w:tblPr>
        <w:tblLayout w:type="fixed"/>
        <w:tblInd w:w="360" w:type="dxa"/>
        <w:tblCellMar>
          <w:top w:w="0" w:type="dxa"/>
          <w:left w:w="0" w:type="dxa"/>
          <w:bottom w:w="0" w:type="dxa"/>
          <w:right w:w="0" w:type="dxa"/>
        </w:tblCellMar>
      </w:tblPr>
      <w:tr>
        <w:trPr>
          <w:trHeight w:val="169"/>
        </w:trPr>
        <w:tc>
          <w:tcPr>
            <w:tcW w:w="4460" w:type="dxa"/>
            <w:vAlign w:val="bottom"/>
          </w:tcPr>
          <w:p>
            <w:pPr>
              <w:spacing w:after="0" w:line="169" w:lineRule="exact"/>
              <w:rPr>
                <w:sz w:val="20"/>
                <w:szCs w:val="20"/>
                <w:color w:val="auto"/>
              </w:rPr>
            </w:pPr>
            <w:r>
              <w:rPr>
                <w:rFonts w:ascii="Courier New" w:cs="Courier New" w:eastAsia="Courier New" w:hAnsi="Courier New"/>
                <w:sz w:val="15"/>
                <w:szCs w:val="15"/>
                <w:color w:val="auto"/>
              </w:rPr>
              <w:t>Investments in shares</w:t>
            </w:r>
          </w:p>
        </w:tc>
        <w:tc>
          <w:tcPr>
            <w:tcW w:w="1400" w:type="dxa"/>
            <w:vAlign w:val="bottom"/>
          </w:tcPr>
          <w:p>
            <w:pPr>
              <w:jc w:val="right"/>
              <w:ind w:right="367"/>
              <w:spacing w:after="0" w:line="169" w:lineRule="exact"/>
              <w:rPr>
                <w:sz w:val="20"/>
                <w:szCs w:val="20"/>
                <w:color w:val="auto"/>
              </w:rPr>
            </w:pPr>
            <w:r>
              <w:rPr>
                <w:rFonts w:ascii="Courier New" w:cs="Courier New" w:eastAsia="Courier New" w:hAnsi="Courier New"/>
                <w:sz w:val="15"/>
                <w:szCs w:val="15"/>
                <w:color w:val="auto"/>
              </w:rPr>
              <w:t>(12)</w:t>
            </w:r>
          </w:p>
        </w:tc>
        <w:tc>
          <w:tcPr>
            <w:tcW w:w="1580" w:type="dxa"/>
            <w:vAlign w:val="bottom"/>
          </w:tcPr>
          <w:p>
            <w:pPr>
              <w:jc w:val="right"/>
              <w:ind w:right="467"/>
              <w:spacing w:after="0" w:line="169" w:lineRule="exact"/>
              <w:rPr>
                <w:sz w:val="20"/>
                <w:szCs w:val="20"/>
                <w:color w:val="auto"/>
              </w:rPr>
            </w:pPr>
            <w:r>
              <w:rPr>
                <w:rFonts w:ascii="Courier New" w:cs="Courier New" w:eastAsia="Courier New" w:hAnsi="Courier New"/>
                <w:sz w:val="15"/>
                <w:szCs w:val="15"/>
                <w:color w:val="auto"/>
              </w:rPr>
              <w:t>(127)</w:t>
            </w:r>
          </w:p>
        </w:tc>
        <w:tc>
          <w:tcPr>
            <w:tcW w:w="1560" w:type="dxa"/>
            <w:vAlign w:val="bottom"/>
          </w:tcPr>
          <w:p>
            <w:pPr>
              <w:jc w:val="right"/>
              <w:ind w:right="447"/>
              <w:spacing w:after="0" w:line="169" w:lineRule="exact"/>
              <w:rPr>
                <w:sz w:val="20"/>
                <w:szCs w:val="20"/>
                <w:color w:val="auto"/>
              </w:rPr>
            </w:pPr>
            <w:r>
              <w:rPr>
                <w:rFonts w:ascii="Courier New" w:cs="Courier New" w:eastAsia="Courier New" w:hAnsi="Courier New"/>
                <w:sz w:val="15"/>
                <w:szCs w:val="15"/>
                <w:color w:val="auto"/>
              </w:rPr>
              <w:t>78</w:t>
            </w:r>
          </w:p>
        </w:tc>
        <w:tc>
          <w:tcPr>
            <w:tcW w:w="1060" w:type="dxa"/>
            <w:vAlign w:val="bottom"/>
          </w:tcPr>
          <w:p>
            <w:pPr>
              <w:jc w:val="right"/>
              <w:ind w:right="7"/>
              <w:spacing w:after="0" w:line="169" w:lineRule="exact"/>
              <w:rPr>
                <w:sz w:val="20"/>
                <w:szCs w:val="20"/>
                <w:color w:val="auto"/>
              </w:rPr>
            </w:pPr>
            <w:r>
              <w:rPr>
                <w:rFonts w:ascii="Courier New" w:cs="Courier New" w:eastAsia="Courier New" w:hAnsi="Courier New"/>
                <w:sz w:val="15"/>
                <w:szCs w:val="15"/>
                <w:color w:val="auto"/>
              </w:rPr>
              <w:t>689</w:t>
            </w:r>
          </w:p>
        </w:tc>
      </w:tr>
      <w:tr>
        <w:trPr>
          <w:trHeight w:val="168"/>
        </w:trPr>
        <w:tc>
          <w:tcPr>
            <w:tcW w:w="4460" w:type="dxa"/>
            <w:vAlign w:val="bottom"/>
          </w:tcPr>
          <w:p>
            <w:pPr>
              <w:spacing w:after="0" w:line="168" w:lineRule="exact"/>
              <w:rPr>
                <w:sz w:val="20"/>
                <w:szCs w:val="20"/>
                <w:color w:val="auto"/>
              </w:rPr>
            </w:pPr>
            <w:r>
              <w:rPr>
                <w:rFonts w:ascii="Courier New" w:cs="Courier New" w:eastAsia="Courier New" w:hAnsi="Courier New"/>
                <w:sz w:val="15"/>
                <w:szCs w:val="15"/>
                <w:color w:val="auto"/>
              </w:rPr>
              <w:t>Property, plant and equipment</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(295)</w:t>
            </w:r>
          </w:p>
        </w:tc>
        <w:tc>
          <w:tcPr>
            <w:tcW w:w="15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(3,086)</w:t>
            </w:r>
          </w:p>
        </w:tc>
        <w:tc>
          <w:tcPr>
            <w:tcW w:w="15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(3,219)</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(3,006)</w:t>
            </w:r>
          </w:p>
        </w:tc>
      </w:tr>
      <w:tr>
        <w:trPr>
          <w:trHeight w:val="168"/>
        </w:trPr>
        <w:tc>
          <w:tcPr>
            <w:tcW w:w="446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charges</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(235)</w:t>
            </w:r>
          </w:p>
        </w:tc>
        <w:tc>
          <w:tcPr>
            <w:tcW w:w="15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(2,454)</w:t>
            </w:r>
          </w:p>
        </w:tc>
        <w:tc>
          <w:tcPr>
            <w:tcW w:w="15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(2,095)</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(1,565)</w:t>
            </w:r>
          </w:p>
        </w:tc>
      </w:tr>
      <w:tr>
        <w:trPr>
          <w:trHeight w:val="168"/>
        </w:trPr>
        <w:tc>
          <w:tcPr>
            <w:tcW w:w="4460" w:type="dxa"/>
            <w:vAlign w:val="bottom"/>
          </w:tcPr>
          <w:p>
            <w:pPr>
              <w:spacing w:after="0" w:line="168" w:lineRule="exact"/>
              <w:rPr>
                <w:sz w:val="20"/>
                <w:szCs w:val="20"/>
                <w:color w:val="auto"/>
              </w:rPr>
            </w:pPr>
            <w:r>
              <w:rPr>
                <w:rFonts w:ascii="Courier New" w:cs="Courier New" w:eastAsia="Courier New" w:hAnsi="Courier New"/>
                <w:sz w:val="15"/>
                <w:szCs w:val="15"/>
                <w:color w:val="auto"/>
              </w:rPr>
              <w:t>Acquisition of Promotora de Marcas Nacionales</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(167)</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68</w:t>
            </w:r>
          </w:p>
        </w:tc>
      </w:tr>
      <w:tr>
        <w:trPr>
          <w:trHeight w:val="168"/>
        </w:trPr>
        <w:tc>
          <w:tcPr>
            <w:tcW w:w="4460" w:type="dxa"/>
            <w:vAlign w:val="bottom"/>
          </w:tcPr>
          <w:p>
            <w:pPr>
              <w:spacing w:after="0" w:line="168" w:lineRule="exact"/>
              <w:rPr>
                <w:sz w:val="20"/>
                <w:szCs w:val="20"/>
                <w:color w:val="auto"/>
              </w:rPr>
            </w:pPr>
            <w:r>
              <w:rPr>
                <w:rFonts w:ascii="Courier New" w:cs="Courier New" w:eastAsia="Courier New" w:hAnsi="Courier New"/>
                <w:sz w:val="15"/>
                <w:szCs w:val="15"/>
                <w:color w:val="auto"/>
              </w:rPr>
              <w:t>Sale of fixed assets of Amoxxo</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242</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60" w:type="dxa"/>
            <w:vAlign w:val="bottom"/>
          </w:tcPr>
          <w:p>
            <w:pPr>
              <w:spacing w:after="0" w:line="168" w:lineRule="exact"/>
              <w:rPr>
                <w:sz w:val="20"/>
                <w:szCs w:val="20"/>
                <w:color w:val="auto"/>
              </w:rPr>
            </w:pPr>
            <w:r>
              <w:rPr>
                <w:rFonts w:ascii="Courier New" w:cs="Courier New" w:eastAsia="Courier New" w:hAnsi="Courier New"/>
                <w:sz w:val="15"/>
                <w:szCs w:val="15"/>
                <w:color w:val="auto"/>
              </w:rPr>
              <w:t>Sale of fixed assets of Coca-Cola FEMSA</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129</w:t>
            </w:r>
          </w:p>
        </w:tc>
        <w:tc>
          <w:tcPr>
            <w:tcW w:w="1060" w:type="dxa"/>
            <w:vAlign w:val="bottom"/>
          </w:tcPr>
          <w:p>
            <w:pPr>
              <w:spacing w:after="0"/>
              <w:rPr>
                <w:sz w:val="14"/>
                <w:szCs w:val="14"/>
                <w:color w:val="auto"/>
              </w:rPr>
            </w:pPr>
          </w:p>
        </w:tc>
      </w:tr>
      <w:tr>
        <w:trPr>
          <w:trHeight w:val="168"/>
        </w:trPr>
        <w:tc>
          <w:tcPr>
            <w:tcW w:w="44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4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assets, net</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(16)</w:t>
            </w:r>
          </w:p>
        </w:tc>
        <w:tc>
          <w:tcPr>
            <w:tcW w:w="15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(164)</w:t>
            </w: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195</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Net Resources Used in Investing Activities</w:t>
            </w:r>
          </w:p>
        </w:tc>
        <w:tc>
          <w:tcPr>
            <w:tcW w:w="17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(558)</w:t>
            </w:r>
          </w:p>
        </w:tc>
        <w:tc>
          <w:tcPr>
            <w:tcW w:w="15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(5,831)</w:t>
            </w:r>
          </w:p>
        </w:tc>
        <w:tc>
          <w:tcPr>
            <w:tcW w:w="156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(4,837)</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(4,524)</w:t>
            </w:r>
          </w:p>
        </w:tc>
      </w:tr>
    </w:tbl>
    <w:p>
      <w:pPr>
        <w:spacing w:after="0" w:line="5" w:lineRule="exact"/>
        <w:rPr>
          <w:sz w:val="20"/>
          <w:szCs w:val="20"/>
          <w:color w:val="auto"/>
        </w:rPr>
      </w:pPr>
    </w:p>
    <w:p>
      <w:pPr>
        <w:ind w:left="180" w:hanging="170"/>
        <w:spacing w:after="0"/>
        <w:tabs>
          <w:tab w:leader="none" w:pos="180"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Financing Activities:</w:t>
      </w:r>
    </w:p>
    <w:tbl>
      <w:tblPr>
        <w:tblLayout w:type="fixed"/>
        <w:tblInd w:w="360" w:type="dxa"/>
        <w:tblCellMar>
          <w:top w:w="0" w:type="dxa"/>
          <w:left w:w="0" w:type="dxa"/>
          <w:bottom w:w="0" w:type="dxa"/>
          <w:right w:w="0" w:type="dxa"/>
        </w:tblCellMar>
      </w:tblPr>
      <w:tr>
        <w:trPr>
          <w:trHeight w:val="169"/>
        </w:trPr>
        <w:tc>
          <w:tcPr>
            <w:tcW w:w="4720" w:type="dxa"/>
            <w:vAlign w:val="bottom"/>
          </w:tcPr>
          <w:p>
            <w:pPr>
              <w:spacing w:after="0" w:line="169" w:lineRule="exact"/>
              <w:rPr>
                <w:sz w:val="20"/>
                <w:szCs w:val="20"/>
                <w:color w:val="auto"/>
              </w:rPr>
            </w:pPr>
            <w:r>
              <w:rPr>
                <w:rFonts w:ascii="Courier New" w:cs="Courier New" w:eastAsia="Courier New" w:hAnsi="Courier New"/>
                <w:sz w:val="15"/>
                <w:szCs w:val="15"/>
                <w:color w:val="auto"/>
              </w:rPr>
              <w:t>Bank loans and notes payable</w:t>
            </w:r>
          </w:p>
        </w:tc>
        <w:tc>
          <w:tcPr>
            <w:tcW w:w="1140" w:type="dxa"/>
            <w:vAlign w:val="bottom"/>
          </w:tcPr>
          <w:p>
            <w:pPr>
              <w:jc w:val="right"/>
              <w:ind w:right="447"/>
              <w:spacing w:after="0" w:line="169" w:lineRule="exact"/>
              <w:rPr>
                <w:sz w:val="20"/>
                <w:szCs w:val="20"/>
                <w:color w:val="auto"/>
              </w:rPr>
            </w:pPr>
            <w:r>
              <w:rPr>
                <w:rFonts w:ascii="Courier New" w:cs="Courier New" w:eastAsia="Courier New" w:hAnsi="Courier New"/>
                <w:sz w:val="15"/>
                <w:szCs w:val="15"/>
                <w:color w:val="auto"/>
              </w:rPr>
              <w:t>524</w:t>
            </w:r>
          </w:p>
        </w:tc>
        <w:tc>
          <w:tcPr>
            <w:tcW w:w="1660" w:type="dxa"/>
            <w:vAlign w:val="bottom"/>
          </w:tcPr>
          <w:p>
            <w:pPr>
              <w:jc w:val="right"/>
              <w:ind w:right="627"/>
              <w:spacing w:after="0" w:line="169" w:lineRule="exact"/>
              <w:rPr>
                <w:sz w:val="20"/>
                <w:szCs w:val="20"/>
                <w:color w:val="auto"/>
              </w:rPr>
            </w:pPr>
            <w:r>
              <w:rPr>
                <w:rFonts w:ascii="Courier New" w:cs="Courier New" w:eastAsia="Courier New" w:hAnsi="Courier New"/>
                <w:sz w:val="15"/>
                <w:szCs w:val="15"/>
                <w:color w:val="auto"/>
              </w:rPr>
              <w:t>5,482</w:t>
            </w:r>
          </w:p>
        </w:tc>
        <w:tc>
          <w:tcPr>
            <w:tcW w:w="1580" w:type="dxa"/>
            <w:vAlign w:val="bottom"/>
          </w:tcPr>
          <w:p>
            <w:pPr>
              <w:jc w:val="right"/>
              <w:ind w:right="447"/>
              <w:spacing w:after="0" w:line="169" w:lineRule="exact"/>
              <w:rPr>
                <w:sz w:val="20"/>
                <w:szCs w:val="20"/>
                <w:color w:val="auto"/>
              </w:rPr>
            </w:pPr>
            <w:r>
              <w:rPr>
                <w:rFonts w:ascii="Courier New" w:cs="Courier New" w:eastAsia="Courier New" w:hAnsi="Courier New"/>
                <w:sz w:val="15"/>
                <w:szCs w:val="15"/>
                <w:color w:val="auto"/>
              </w:rPr>
              <w:t>(508)</w:t>
            </w:r>
          </w:p>
        </w:tc>
        <w:tc>
          <w:tcPr>
            <w:tcW w:w="96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(620)</w:t>
            </w:r>
          </w:p>
        </w:tc>
      </w:tr>
      <w:tr>
        <w:trPr>
          <w:trHeight w:val="168"/>
        </w:trPr>
        <w:tc>
          <w:tcPr>
            <w:tcW w:w="472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in real terms of long-term liabilities</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(37)</w:t>
            </w:r>
          </w:p>
        </w:tc>
        <w:tc>
          <w:tcPr>
            <w:tcW w:w="16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(390)</w:t>
            </w: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(293)</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(243)</w:t>
            </w:r>
          </w:p>
        </w:tc>
      </w:tr>
      <w:tr>
        <w:trPr>
          <w:trHeight w:val="168"/>
        </w:trPr>
        <w:tc>
          <w:tcPr>
            <w:tcW w:w="4720" w:type="dxa"/>
            <w:vAlign w:val="bottom"/>
          </w:tcPr>
          <w:p>
            <w:pPr>
              <w:spacing w:after="0" w:line="168" w:lineRule="exact"/>
              <w:rPr>
                <w:sz w:val="20"/>
                <w:szCs w:val="20"/>
                <w:color w:val="auto"/>
              </w:rPr>
            </w:pPr>
            <w:r>
              <w:rPr>
                <w:rFonts w:ascii="Courier New" w:cs="Courier New" w:eastAsia="Courier New" w:hAnsi="Courier New"/>
                <w:sz w:val="15"/>
                <w:szCs w:val="15"/>
                <w:color w:val="auto"/>
              </w:rPr>
              <w:t>Notes payable and others</w:t>
            </w: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w:t>
            </w:r>
          </w:p>
        </w:tc>
        <w:tc>
          <w:tcPr>
            <w:tcW w:w="16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78</w:t>
            </w: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(68)</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(357)</w:t>
            </w:r>
          </w:p>
        </w:tc>
      </w:tr>
      <w:tr>
        <w:trPr>
          <w:trHeight w:val="168"/>
        </w:trPr>
        <w:tc>
          <w:tcPr>
            <w:tcW w:w="4720" w:type="dxa"/>
            <w:vAlign w:val="bottom"/>
          </w:tcPr>
          <w:p>
            <w:pPr>
              <w:spacing w:after="0" w:line="168" w:lineRule="exact"/>
              <w:rPr>
                <w:sz w:val="20"/>
                <w:szCs w:val="20"/>
                <w:color w:val="auto"/>
              </w:rPr>
            </w:pPr>
            <w:r>
              <w:rPr>
                <w:rFonts w:ascii="Courier New" w:cs="Courier New" w:eastAsia="Courier New" w:hAnsi="Courier New"/>
                <w:sz w:val="15"/>
                <w:szCs w:val="15"/>
                <w:color w:val="auto"/>
              </w:rPr>
              <w:t>Dividends declared and paid</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(109)</w:t>
            </w:r>
          </w:p>
        </w:tc>
        <w:tc>
          <w:tcPr>
            <w:tcW w:w="16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(1,140)</w:t>
            </w: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(632)</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(720)</w:t>
            </w:r>
          </w:p>
        </w:tc>
      </w:tr>
      <w:tr>
        <w:trPr>
          <w:trHeight w:val="168"/>
        </w:trPr>
        <w:tc>
          <w:tcPr>
            <w:tcW w:w="4720" w:type="dxa"/>
            <w:vAlign w:val="bottom"/>
          </w:tcPr>
          <w:p>
            <w:pPr>
              <w:spacing w:after="0" w:line="168" w:lineRule="exact"/>
              <w:rPr>
                <w:sz w:val="20"/>
                <w:szCs w:val="20"/>
                <w:color w:val="auto"/>
              </w:rPr>
            </w:pPr>
            <w:r>
              <w:rPr>
                <w:rFonts w:ascii="Courier New" w:cs="Courier New" w:eastAsia="Courier New" w:hAnsi="Courier New"/>
                <w:sz w:val="15"/>
                <w:szCs w:val="15"/>
                <w:color w:val="auto"/>
              </w:rPr>
              <w:t>Repurchase of FEMSA shares</w:t>
            </w: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(68)</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(256)</w:t>
            </w:r>
          </w:p>
        </w:tc>
      </w:tr>
      <w:tr>
        <w:trPr>
          <w:trHeight w:val="168"/>
        </w:trPr>
        <w:tc>
          <w:tcPr>
            <w:tcW w:w="4720" w:type="dxa"/>
            <w:vAlign w:val="bottom"/>
          </w:tcPr>
          <w:p>
            <w:pPr>
              <w:spacing w:after="0" w:line="168" w:lineRule="exact"/>
              <w:rPr>
                <w:sz w:val="20"/>
                <w:szCs w:val="20"/>
                <w:color w:val="auto"/>
              </w:rPr>
            </w:pPr>
            <w:r>
              <w:rPr>
                <w:rFonts w:ascii="Courier New" w:cs="Courier New" w:eastAsia="Courier New" w:hAnsi="Courier New"/>
                <w:sz w:val="15"/>
                <w:szCs w:val="15"/>
                <w:color w:val="auto"/>
              </w:rPr>
              <w:t>Decrease in the minority interest of:</w:t>
            </w:r>
          </w:p>
        </w:tc>
        <w:tc>
          <w:tcPr>
            <w:tcW w:w="11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7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FEMSA Cerveza</w:t>
            </w: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(119)</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(169)</w:t>
            </w:r>
          </w:p>
        </w:tc>
      </w:tr>
      <w:tr>
        <w:trPr>
          <w:trHeight w:val="168"/>
        </w:trPr>
        <w:tc>
          <w:tcPr>
            <w:tcW w:w="47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Logistica-CCM</w:t>
            </w: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(37)</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Amoxxo</w:t>
            </w: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(335)</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20" w:type="dxa"/>
            <w:vAlign w:val="bottom"/>
          </w:tcPr>
          <w:p>
            <w:pPr>
              <w:spacing w:after="0" w:line="168" w:lineRule="exact"/>
              <w:rPr>
                <w:sz w:val="20"/>
                <w:szCs w:val="20"/>
                <w:color w:val="auto"/>
              </w:rPr>
            </w:pPr>
            <w:r>
              <w:rPr>
                <w:rFonts w:ascii="Courier New" w:cs="Courier New" w:eastAsia="Courier New" w:hAnsi="Courier New"/>
                <w:sz w:val="15"/>
                <w:szCs w:val="15"/>
                <w:color w:val="auto"/>
              </w:rPr>
              <w:t>Cumulative translation adjustment</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(42)</w:t>
            </w:r>
          </w:p>
        </w:tc>
        <w:tc>
          <w:tcPr>
            <w:tcW w:w="16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(444)</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774</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306</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20" w:type="dxa"/>
            <w:vAlign w:val="bottom"/>
          </w:tcPr>
          <w:p>
            <w:pPr>
              <w:spacing w:after="0"/>
              <w:rPr>
                <w:sz w:val="20"/>
                <w:szCs w:val="20"/>
                <w:color w:val="auto"/>
              </w:rPr>
            </w:pPr>
            <w:r>
              <w:rPr>
                <w:rFonts w:ascii="Courier New" w:cs="Courier New" w:eastAsia="Courier New" w:hAnsi="Courier New"/>
                <w:sz w:val="15"/>
                <w:szCs w:val="15"/>
                <w:color w:val="auto"/>
              </w:rPr>
              <w:t>Net Resources Generated by (Used in) Financing Activities</w:t>
            </w:r>
          </w:p>
        </w:tc>
        <w:tc>
          <w:tcPr>
            <w:tcW w:w="10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343</w:t>
            </w:r>
          </w:p>
        </w:tc>
        <w:tc>
          <w:tcPr>
            <w:tcW w:w="15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3,586</w:t>
            </w:r>
          </w:p>
        </w:tc>
        <w:tc>
          <w:tcPr>
            <w:tcW w:w="160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(1,286)</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(2,059)</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80" w:type="dxa"/>
            <w:vAlign w:val="bottom"/>
          </w:tcPr>
          <w:p>
            <w:pPr>
              <w:spacing w:after="0"/>
              <w:rPr>
                <w:sz w:val="20"/>
                <w:szCs w:val="20"/>
                <w:color w:val="auto"/>
              </w:rPr>
            </w:pPr>
            <w:r>
              <w:rPr>
                <w:rFonts w:ascii="Courier New" w:cs="Courier New" w:eastAsia="Courier New" w:hAnsi="Courier New"/>
                <w:sz w:val="15"/>
                <w:szCs w:val="15"/>
                <w:color w:val="auto"/>
              </w:rPr>
              <w:t>Net Increase in Cash and Cash Equivalents</w:t>
            </w: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663</w:t>
            </w:r>
          </w:p>
        </w:tc>
        <w:tc>
          <w:tcPr>
            <w:tcW w:w="15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6,937</w:t>
            </w:r>
          </w:p>
        </w:tc>
        <w:tc>
          <w:tcPr>
            <w:tcW w:w="15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3,267</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1,401</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at the Beginning of the Year</w:t>
            </w: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729</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7,619</w:t>
            </w: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4,352</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2,951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tabs>
          <w:tab w:leader="none" w:pos="4800" w:val="left"/>
          <w:tab w:leader="none" w:pos="5240" w:val="left"/>
          <w:tab w:leader="none" w:pos="6020" w:val="left"/>
          <w:tab w:leader="none" w:pos="6640" w:val="left"/>
          <w:tab w:leader="none" w:pos="7520" w:val="left"/>
          <w:tab w:leader="none" w:pos="8380" w:val="left"/>
          <w:tab w:leader="none" w:pos="9520" w:val="left"/>
        </w:tabs>
        <w:rPr>
          <w:sz w:val="20"/>
          <w:szCs w:val="20"/>
          <w:color w:val="auto"/>
        </w:rPr>
      </w:pPr>
      <w:r>
        <w:rPr>
          <w:rFonts w:ascii="Courier New" w:cs="Courier New" w:eastAsia="Courier New" w:hAnsi="Courier New"/>
          <w:sz w:val="15"/>
          <w:szCs w:val="15"/>
          <w:color w:val="auto"/>
        </w:rPr>
        <w:t>Cash and Cash Equivalents at the End of the Year</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1,392</w:t>
      </w:r>
      <w:r>
        <w:rPr>
          <w:sz w:val="20"/>
          <w:szCs w:val="20"/>
          <w:color w:val="auto"/>
        </w:rPr>
        <w:tab/>
      </w:r>
      <w:r>
        <w:rPr>
          <w:rFonts w:ascii="Courier New" w:cs="Courier New" w:eastAsia="Courier New" w:hAnsi="Courier New"/>
          <w:sz w:val="15"/>
          <w:szCs w:val="15"/>
          <w:color w:val="auto"/>
        </w:rPr>
        <w:t>Ps.</w:t>
      </w:r>
      <w:r>
        <w:rPr>
          <w:sz w:val="20"/>
          <w:szCs w:val="20"/>
          <w:color w:val="auto"/>
        </w:rPr>
        <w:tab/>
      </w:r>
      <w:r>
        <w:rPr>
          <w:rFonts w:ascii="Courier New" w:cs="Courier New" w:eastAsia="Courier New" w:hAnsi="Courier New"/>
          <w:sz w:val="15"/>
          <w:szCs w:val="15"/>
          <w:color w:val="auto"/>
        </w:rPr>
        <w:t>14,556</w:t>
      </w:r>
      <w:r>
        <w:rPr>
          <w:sz w:val="20"/>
          <w:szCs w:val="20"/>
          <w:color w:val="auto"/>
        </w:rPr>
        <w:tab/>
      </w:r>
      <w:r>
        <w:rPr>
          <w:rFonts w:ascii="Courier New" w:cs="Courier New" w:eastAsia="Courier New" w:hAnsi="Courier New"/>
          <w:sz w:val="15"/>
          <w:szCs w:val="15"/>
          <w:color w:val="auto"/>
        </w:rPr>
        <w:t>Ps.</w:t>
      </w:r>
      <w:r>
        <w:rPr>
          <w:sz w:val="20"/>
          <w:szCs w:val="20"/>
          <w:color w:val="auto"/>
        </w:rPr>
        <w:tab/>
      </w:r>
      <w:r>
        <w:rPr>
          <w:rFonts w:ascii="Courier New" w:cs="Courier New" w:eastAsia="Courier New" w:hAnsi="Courier New"/>
          <w:sz w:val="15"/>
          <w:szCs w:val="15"/>
          <w:color w:val="auto"/>
        </w:rPr>
        <w:t>7,619</w:t>
      </w:r>
      <w:r>
        <w:rPr>
          <w:sz w:val="20"/>
          <w:szCs w:val="20"/>
          <w:color w:val="auto"/>
        </w:rPr>
        <w:tab/>
      </w:r>
      <w:r>
        <w:rPr>
          <w:rFonts w:ascii="Courier New" w:cs="Courier New" w:eastAsia="Courier New" w:hAnsi="Courier New"/>
          <w:sz w:val="14"/>
          <w:szCs w:val="14"/>
          <w:color w:val="auto"/>
        </w:rPr>
        <w:t>Ps. 4,352</w:t>
      </w:r>
    </w:p>
    <w:p>
      <w:pPr>
        <w:spacing w:after="0" w:line="5" w:lineRule="exact"/>
        <w:rPr>
          <w:sz w:val="20"/>
          <w:szCs w:val="20"/>
          <w:color w:val="auto"/>
        </w:rPr>
      </w:pPr>
    </w:p>
    <w:p>
      <w:pPr>
        <w:ind w:left="180" w:hanging="170"/>
        <w:spacing w:after="0"/>
        <w:tabs>
          <w:tab w:leader="none" w:pos="180"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9"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The accompanying notes are an integral part of these consolidated statements of changes in financial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0500"/>
          </w:cols>
          <w:pgMar w:left="220" w:top="1297" w:right="1179" w:bottom="1440" w:gutter="0" w:footer="0" w:header="0"/>
        </w:sectPr>
      </w:pPr>
    </w:p>
    <w:bookmarkStart w:id="167" w:name="page168"/>
    <w:bookmarkEnd w:id="167"/>
    <w:p>
      <w:pPr>
        <w:spacing w:after="0" w:line="1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FOMENTO ECONOMICO MEXICANO, S.A. DE C.V. AND SUBSIDIARIES</w:t>
      </w:r>
    </w:p>
    <w:p>
      <w:pPr>
        <w:spacing w:after="0" w:line="237" w:lineRule="auto"/>
        <w:rPr>
          <w:sz w:val="20"/>
          <w:szCs w:val="20"/>
          <w:color w:val="auto"/>
        </w:rPr>
      </w:pPr>
      <w:r>
        <w:rPr>
          <w:rFonts w:ascii="Courier New" w:cs="Courier New" w:eastAsia="Courier New" w:hAnsi="Courier New"/>
          <w:sz w:val="15"/>
          <w:szCs w:val="15"/>
          <w:color w:val="auto"/>
        </w:rPr>
        <w:t>Consolidated Statements of Changes in Stockholders' Equity</w:t>
      </w:r>
    </w:p>
    <w:p>
      <w:pPr>
        <w:spacing w:after="0" w:line="238" w:lineRule="auto"/>
        <w:rPr>
          <w:sz w:val="20"/>
          <w:szCs w:val="20"/>
          <w:color w:val="auto"/>
        </w:rPr>
      </w:pPr>
      <w:r>
        <w:rPr>
          <w:rFonts w:ascii="Courier New" w:cs="Courier New" w:eastAsia="Courier New" w:hAnsi="Courier New"/>
          <w:sz w:val="15"/>
          <w:szCs w:val="15"/>
          <w:color w:val="auto"/>
        </w:rPr>
        <w:t>For the years ended December 31, 2002, 2001 and 2000.</w:t>
      </w:r>
    </w:p>
    <w:p>
      <w:pPr>
        <w:spacing w:after="0" w:line="237" w:lineRule="auto"/>
        <w:rPr>
          <w:sz w:val="20"/>
          <w:szCs w:val="20"/>
          <w:color w:val="auto"/>
        </w:rPr>
      </w:pPr>
      <w:r>
        <w:rPr>
          <w:rFonts w:ascii="Courier New" w:cs="Courier New" w:eastAsia="Courier New" w:hAnsi="Courier New"/>
          <w:sz w:val="15"/>
          <w:szCs w:val="15"/>
          <w:color w:val="auto"/>
        </w:rPr>
        <w:t>Amounts expressed in millions of constant Mexican pesos (Ps.) as of December 31, 2002</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Capital</w:t>
            </w:r>
          </w:p>
        </w:tc>
        <w:tc>
          <w:tcPr>
            <w:tcW w:w="12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Additional</w:t>
            </w:r>
          </w:p>
        </w:tc>
        <w:tc>
          <w:tcPr>
            <w:tcW w:w="11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Retained</w:t>
            </w:r>
          </w:p>
        </w:tc>
        <w:tc>
          <w:tcPr>
            <w:tcW w:w="4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Net</w:t>
            </w:r>
          </w:p>
        </w:tc>
        <w:tc>
          <w:tcPr>
            <w:tcW w:w="11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Cumulative</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Cumulative</w:t>
            </w:r>
          </w:p>
        </w:tc>
      </w:tr>
      <w:tr>
        <w:trPr>
          <w:trHeight w:val="168"/>
        </w:trPr>
        <w:tc>
          <w:tcPr>
            <w:tcW w:w="3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Stock</w:t>
            </w:r>
          </w:p>
        </w:tc>
        <w:tc>
          <w:tcPr>
            <w:tcW w:w="4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Paid-in</w:t>
            </w: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Earnings</w:t>
            </w:r>
          </w:p>
        </w:tc>
        <w:tc>
          <w:tcPr>
            <w:tcW w:w="48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Income</w:t>
            </w:r>
          </w:p>
        </w:tc>
        <w:tc>
          <w:tcPr>
            <w:tcW w:w="11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Translation</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Result</w:t>
            </w:r>
          </w:p>
        </w:tc>
      </w:tr>
      <w:tr>
        <w:trPr>
          <w:trHeight w:val="168"/>
        </w:trPr>
        <w:tc>
          <w:tcPr>
            <w:tcW w:w="3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Capital</w:t>
            </w: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from Prior</w:t>
            </w:r>
          </w:p>
        </w:tc>
        <w:tc>
          <w:tcPr>
            <w:tcW w:w="4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for the</w:t>
            </w:r>
          </w:p>
        </w:tc>
        <w:tc>
          <w:tcPr>
            <w:tcW w:w="11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Adjustment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of Holding</w:t>
            </w:r>
          </w:p>
        </w:tc>
      </w:tr>
      <w:tr>
        <w:trPr>
          <w:trHeight w:val="168"/>
        </w:trPr>
        <w:tc>
          <w:tcPr>
            <w:tcW w:w="3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Years</w:t>
            </w:r>
          </w:p>
        </w:tc>
        <w:tc>
          <w:tcPr>
            <w:tcW w:w="4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Year</w:t>
            </w: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Non-monetary</w:t>
            </w:r>
          </w:p>
        </w:tc>
      </w:tr>
      <w:tr>
        <w:trPr>
          <w:trHeight w:val="168"/>
        </w:trPr>
        <w:tc>
          <w:tcPr>
            <w:tcW w:w="3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Assets</w:t>
            </w:r>
          </w:p>
        </w:tc>
      </w:tr>
      <w:tr>
        <w:trPr>
          <w:trHeight w:val="336"/>
        </w:trPr>
        <w:tc>
          <w:tcPr>
            <w:tcW w:w="3460" w:type="dxa"/>
            <w:vAlign w:val="bottom"/>
          </w:tcPr>
          <w:p>
            <w:pPr>
              <w:spacing w:after="0"/>
              <w:rPr>
                <w:sz w:val="20"/>
                <w:szCs w:val="20"/>
                <w:color w:val="auto"/>
              </w:rPr>
            </w:pPr>
            <w:r>
              <w:rPr>
                <w:rFonts w:ascii="Courier New" w:cs="Courier New" w:eastAsia="Courier New" w:hAnsi="Courier New"/>
                <w:sz w:val="15"/>
                <w:szCs w:val="15"/>
                <w:color w:val="auto"/>
              </w:rPr>
              <w:t>Balances at December 31, 1999</w:t>
            </w:r>
          </w:p>
        </w:tc>
        <w:tc>
          <w:tcPr>
            <w:tcW w:w="740" w:type="dxa"/>
            <w:vAlign w:val="bottom"/>
          </w:tcPr>
          <w:p>
            <w:pPr>
              <w:ind w:left="320"/>
              <w:spacing w:after="0"/>
              <w:rPr>
                <w:sz w:val="20"/>
                <w:szCs w:val="20"/>
                <w:color w:val="auto"/>
              </w:rPr>
            </w:pPr>
            <w:r>
              <w:rPr>
                <w:rFonts w:ascii="Courier New" w:cs="Courier New" w:eastAsia="Courier New" w:hAnsi="Courier New"/>
                <w:sz w:val="15"/>
                <w:szCs w:val="15"/>
                <w:color w:val="auto"/>
              </w:rPr>
              <w:t>Ps.</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4,105</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Ps.</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9,952</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w w:val="88"/>
              </w:rPr>
              <w:t>Ps.</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8,196</w:t>
            </w:r>
          </w:p>
        </w:tc>
        <w:tc>
          <w:tcPr>
            <w:tcW w:w="480" w:type="dxa"/>
            <w:vAlign w:val="bottom"/>
          </w:tcPr>
          <w:p>
            <w:pPr>
              <w:ind w:left="220"/>
              <w:spacing w:after="0"/>
              <w:rPr>
                <w:sz w:val="20"/>
                <w:szCs w:val="20"/>
                <w:color w:val="auto"/>
              </w:rPr>
            </w:pPr>
            <w:r>
              <w:rPr>
                <w:rFonts w:ascii="Courier New" w:cs="Courier New" w:eastAsia="Courier New" w:hAnsi="Courier New"/>
                <w:sz w:val="15"/>
                <w:szCs w:val="15"/>
                <w:color w:val="auto"/>
                <w:w w:val="88"/>
              </w:rPr>
              <w:t>Ps.</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3,436</w:t>
            </w:r>
          </w:p>
        </w:tc>
        <w:tc>
          <w:tcPr>
            <w:tcW w:w="11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Ps. (740)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Ps. (4,116)</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Transfer of prior year income</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3,436</w:t>
            </w:r>
          </w:p>
        </w:tc>
        <w:tc>
          <w:tcPr>
            <w:tcW w:w="4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(3,436)</w:t>
            </w: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Dividends declared and paid</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(594)</w:t>
            </w: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income tax effect</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(3,280)</w:t>
            </w: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Repurchase of FEMSA shares</w:t>
            </w:r>
          </w:p>
        </w:tc>
        <w:tc>
          <w:tcPr>
            <w:tcW w:w="7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(237)</w:t>
            </w: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Decrease in the minority interest of</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FEMSA Cerveza</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Comprehensive income</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2,748</w:t>
            </w:r>
          </w:p>
        </w:tc>
        <w:tc>
          <w:tcPr>
            <w:tcW w:w="52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156</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(810)</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Balances at December 31, 2000</w:t>
            </w:r>
          </w:p>
        </w:tc>
        <w:tc>
          <w:tcPr>
            <w:tcW w:w="7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Ps.</w:t>
            </w:r>
          </w:p>
        </w:tc>
        <w:tc>
          <w:tcPr>
            <w:tcW w:w="13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4,086 Ps.</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9,952</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Ps.</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7,521</w:t>
            </w:r>
          </w:p>
        </w:tc>
        <w:tc>
          <w:tcPr>
            <w:tcW w:w="4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88"/>
              </w:rPr>
              <w:t>Ps.</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2,748</w:t>
            </w:r>
          </w:p>
        </w:tc>
        <w:tc>
          <w:tcPr>
            <w:tcW w:w="5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Ps.</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(584)</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Ps.(4,926)</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Transfer of prior year income</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2,748</w:t>
            </w:r>
          </w:p>
        </w:tc>
        <w:tc>
          <w:tcPr>
            <w:tcW w:w="4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(2,748)</w:t>
            </w: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Repurchase of FEMSA shares</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w:t>
            </w: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(63)</w:t>
            </w: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Dividends declared and paid</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(475)</w:t>
            </w: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Decrease in the minority interest of:</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FEMSA Cerveza</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Logistica-CCM</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Amoxxo</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Comprehensive income</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3,393</w:t>
            </w:r>
          </w:p>
        </w:tc>
        <w:tc>
          <w:tcPr>
            <w:tcW w:w="52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395</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(869)</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Balances at December 31, 2001</w:t>
            </w:r>
          </w:p>
        </w:tc>
        <w:tc>
          <w:tcPr>
            <w:tcW w:w="74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Ps.</w:t>
            </w:r>
          </w:p>
        </w:tc>
        <w:tc>
          <w:tcPr>
            <w:tcW w:w="13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4,081 Ps.</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9,952</w:t>
            </w: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Ps. 9,731</w:t>
            </w:r>
          </w:p>
        </w:tc>
        <w:tc>
          <w:tcPr>
            <w:tcW w:w="4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88"/>
              </w:rPr>
              <w:t>Ps.</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3,393</w:t>
            </w:r>
          </w:p>
        </w:tc>
        <w:tc>
          <w:tcPr>
            <w:tcW w:w="5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Ps.</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(189)</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Ps.(5,795)</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Transfer of prior year income</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3,393</w:t>
            </w:r>
          </w:p>
        </w:tc>
        <w:tc>
          <w:tcPr>
            <w:tcW w:w="4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(3,393)</w:t>
            </w: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Dividends declared and paid</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(694)</w:t>
            </w: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Comprehensive income</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2,837</w:t>
            </w:r>
          </w:p>
        </w:tc>
        <w:tc>
          <w:tcPr>
            <w:tcW w:w="5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(226)</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Balances at December 31, 2002</w:t>
            </w:r>
          </w:p>
        </w:tc>
        <w:tc>
          <w:tcPr>
            <w:tcW w:w="74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Ps.</w:t>
            </w:r>
          </w:p>
        </w:tc>
        <w:tc>
          <w:tcPr>
            <w:tcW w:w="13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4,081 Ps.</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9,952</w:t>
            </w: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Ps. 12,430</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Ps.</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2,837</w:t>
            </w:r>
          </w:p>
        </w:tc>
        <w:tc>
          <w:tcPr>
            <w:tcW w:w="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Ps.</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(415)</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Ps.(5,870)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180" w:type="dxa"/>
            <w:vAlign w:val="bottom"/>
          </w:tcPr>
          <w:p>
            <w:pPr>
              <w:ind w:left="100"/>
              <w:spacing w:after="0"/>
              <w:rPr>
                <w:sz w:val="20"/>
                <w:szCs w:val="20"/>
                <w:color w:val="auto"/>
              </w:rPr>
            </w:pPr>
            <w:r>
              <w:rPr>
                <w:rFonts w:ascii="Courier New" w:cs="Courier New" w:eastAsia="Courier New" w:hAnsi="Courier New"/>
                <w:sz w:val="15"/>
                <w:szCs w:val="15"/>
                <w:color w:val="auto"/>
              </w:rPr>
              <w:t>Minority</w:t>
            </w:r>
          </w:p>
        </w:tc>
        <w:tc>
          <w:tcPr>
            <w:tcW w:w="11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Total</w:t>
            </w:r>
          </w:p>
        </w:tc>
      </w:tr>
      <w:tr>
        <w:trPr>
          <w:trHeight w:val="168"/>
        </w:trPr>
        <w:tc>
          <w:tcPr>
            <w:tcW w:w="3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line="168" w:lineRule="exact"/>
              <w:rPr>
                <w:sz w:val="20"/>
                <w:szCs w:val="20"/>
                <w:color w:val="auto"/>
              </w:rPr>
            </w:pPr>
            <w:r>
              <w:rPr>
                <w:rFonts w:ascii="Courier New" w:cs="Courier New" w:eastAsia="Courier New" w:hAnsi="Courier New"/>
                <w:sz w:val="15"/>
                <w:szCs w:val="15"/>
                <w:color w:val="auto"/>
              </w:rPr>
              <w:t>Majority</w:t>
            </w:r>
          </w:p>
        </w:tc>
        <w:tc>
          <w:tcPr>
            <w:tcW w:w="11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Interest</w:t>
            </w:r>
          </w:p>
        </w:tc>
        <w:tc>
          <w:tcPr>
            <w:tcW w:w="118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w w:val="93"/>
              </w:rPr>
              <w:t>Stockholders'</w:t>
            </w:r>
          </w:p>
        </w:tc>
      </w:tr>
      <w:tr>
        <w:trPr>
          <w:trHeight w:val="168"/>
        </w:trPr>
        <w:tc>
          <w:tcPr>
            <w:tcW w:w="3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w:t>
            </w:r>
          </w:p>
        </w:tc>
        <w:tc>
          <w:tcPr>
            <w:tcW w:w="11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w:t>
            </w:r>
          </w:p>
        </w:tc>
        <w:tc>
          <w:tcPr>
            <w:tcW w:w="118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Equity</w:t>
            </w:r>
          </w:p>
        </w:tc>
      </w:tr>
      <w:tr>
        <w:trPr>
          <w:trHeight w:val="168"/>
        </w:trPr>
        <w:tc>
          <w:tcPr>
            <w:tcW w:w="3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Consolidated</w:t>
            </w: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Subsidiaries</w:t>
            </w: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Balances at December 31, 1999</w:t>
            </w: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Ps. 20,833</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Ps. 8,479</w:t>
            </w:r>
          </w:p>
        </w:tc>
        <w:tc>
          <w:tcPr>
            <w:tcW w:w="360" w:type="dxa"/>
            <w:vAlign w:val="bottom"/>
          </w:tcPr>
          <w:p>
            <w:pPr>
              <w:ind w:left="60"/>
              <w:spacing w:after="0"/>
              <w:rPr>
                <w:sz w:val="20"/>
                <w:szCs w:val="20"/>
                <w:color w:val="auto"/>
              </w:rPr>
            </w:pPr>
            <w:r>
              <w:rPr>
                <w:rFonts w:ascii="Courier New" w:cs="Courier New" w:eastAsia="Courier New" w:hAnsi="Courier New"/>
                <w:sz w:val="15"/>
                <w:szCs w:val="15"/>
                <w:color w:val="auto"/>
              </w:rPr>
              <w:t>Ps.</w:t>
            </w: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29,312</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Transfer of prior year income</w:t>
            </w: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Dividends declared and paid</w:t>
            </w:r>
          </w:p>
        </w:tc>
        <w:tc>
          <w:tcPr>
            <w:tcW w:w="54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(594)</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(126)</w:t>
            </w:r>
          </w:p>
        </w:tc>
        <w:tc>
          <w:tcPr>
            <w:tcW w:w="36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(720)</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income tax effect</w:t>
            </w:r>
          </w:p>
        </w:tc>
        <w:tc>
          <w:tcPr>
            <w:tcW w:w="5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(3,280)</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(1,248)</w:t>
            </w:r>
          </w:p>
        </w:tc>
        <w:tc>
          <w:tcPr>
            <w:tcW w:w="36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(4,528)</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Repurchase of FEMSA shares</w:t>
            </w:r>
          </w:p>
        </w:tc>
        <w:tc>
          <w:tcPr>
            <w:tcW w:w="5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(256)</w:t>
            </w: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(256)</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Decrease in the minority interest of</w:t>
            </w: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FEMSA Cerveza</w:t>
            </w: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(169)</w:t>
            </w:r>
          </w:p>
        </w:tc>
        <w:tc>
          <w:tcPr>
            <w:tcW w:w="36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(169)</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Comprehensive income</w:t>
            </w:r>
          </w:p>
        </w:tc>
        <w:tc>
          <w:tcPr>
            <w:tcW w:w="5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2,094</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984</w:t>
            </w:r>
          </w:p>
        </w:tc>
        <w:tc>
          <w:tcPr>
            <w:tcW w:w="36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3,078</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Balances at December 31, 2000</w:t>
            </w:r>
          </w:p>
        </w:tc>
        <w:tc>
          <w:tcPr>
            <w:tcW w:w="5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88"/>
              </w:rPr>
              <w:t>Ps.</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18,797</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Ps. 7,920</w:t>
            </w:r>
          </w:p>
        </w:tc>
        <w:tc>
          <w:tcPr>
            <w:tcW w:w="3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Ps.</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26,717</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Transfer of prior year income</w:t>
            </w: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Repurchase of FEMSA shares</w:t>
            </w:r>
          </w:p>
        </w:tc>
        <w:tc>
          <w:tcPr>
            <w:tcW w:w="5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(68)</w:t>
            </w: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(68)</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Dividends declared and paid</w:t>
            </w:r>
          </w:p>
        </w:tc>
        <w:tc>
          <w:tcPr>
            <w:tcW w:w="5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(475)</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(157)</w:t>
            </w:r>
          </w:p>
        </w:tc>
        <w:tc>
          <w:tcPr>
            <w:tcW w:w="36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(632)</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Decrease in the minority interest of:</w:t>
            </w: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FEMSA Cerveza</w:t>
            </w: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(119)</w:t>
            </w:r>
          </w:p>
        </w:tc>
        <w:tc>
          <w:tcPr>
            <w:tcW w:w="36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(119)</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Logistica-CCM</w:t>
            </w: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(37)</w:t>
            </w:r>
          </w:p>
        </w:tc>
        <w:tc>
          <w:tcPr>
            <w:tcW w:w="36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(37)</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Amoxxo</w:t>
            </w: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(335)</w:t>
            </w:r>
          </w:p>
        </w:tc>
        <w:tc>
          <w:tcPr>
            <w:tcW w:w="36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(335)</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Comprehensive income</w:t>
            </w:r>
          </w:p>
        </w:tc>
        <w:tc>
          <w:tcPr>
            <w:tcW w:w="54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2,919</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1,560</w:t>
            </w:r>
          </w:p>
        </w:tc>
        <w:tc>
          <w:tcPr>
            <w:tcW w:w="36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4,479</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Balances at December 31, 2001</w:t>
            </w:r>
          </w:p>
        </w:tc>
        <w:tc>
          <w:tcPr>
            <w:tcW w:w="5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88"/>
              </w:rPr>
              <w:t>Ps.</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21,173</w:t>
            </w:r>
          </w:p>
        </w:tc>
        <w:tc>
          <w:tcPr>
            <w:tcW w:w="11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Ps.   8,832</w:t>
            </w:r>
          </w:p>
        </w:tc>
        <w:tc>
          <w:tcPr>
            <w:tcW w:w="3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Ps.</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30,005</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Transfer of prior year income</w:t>
            </w: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Dividends declared and paid</w:t>
            </w:r>
          </w:p>
        </w:tc>
        <w:tc>
          <w:tcPr>
            <w:tcW w:w="5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(694)</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(446)</w:t>
            </w:r>
          </w:p>
        </w:tc>
        <w:tc>
          <w:tcPr>
            <w:tcW w:w="3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(1,140)</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Comprehensive income</w:t>
            </w:r>
          </w:p>
        </w:tc>
        <w:tc>
          <w:tcPr>
            <w:tcW w:w="5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2,536</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1,412</w:t>
            </w:r>
          </w:p>
        </w:tc>
        <w:tc>
          <w:tcPr>
            <w:tcW w:w="36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3,948</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Balances at December 31, 2002</w:t>
            </w:r>
          </w:p>
        </w:tc>
        <w:tc>
          <w:tcPr>
            <w:tcW w:w="5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88"/>
              </w:rPr>
              <w:t>Ps.</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23,015</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Ps. 9,798</w:t>
            </w:r>
          </w:p>
        </w:tc>
        <w:tc>
          <w:tcPr>
            <w:tcW w:w="3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Ps.</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32,813</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these consolidated statements of changes in stockholders' equity.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1040"/>
          </w:cols>
          <w:pgMar w:left="220" w:top="1440" w:right="639" w:bottom="1440" w:gutter="0" w:footer="0" w:header="0"/>
        </w:sectPr>
      </w:pPr>
    </w:p>
    <w:bookmarkStart w:id="168" w:name="page169"/>
    <w:bookmarkEnd w:id="168"/>
    <w:p>
      <w:pPr>
        <w:spacing w:after="0"/>
        <w:rPr>
          <w:sz w:val="20"/>
          <w:szCs w:val="20"/>
          <w:color w:val="auto"/>
        </w:rPr>
      </w:pPr>
      <w:r>
        <w:rPr>
          <w:rFonts w:ascii="Courier New" w:cs="Courier New" w:eastAsia="Courier New" w:hAnsi="Courier New"/>
          <w:sz w:val="15"/>
          <w:szCs w:val="15"/>
          <w:color w:val="auto"/>
        </w:rPr>
        <w:t>FOMENTO ECONOMICO MEXICANO, S.A. DE C.V. AND SUBSIDIARIES</w:t>
      </w:r>
    </w:p>
    <w:p>
      <w:pPr>
        <w:spacing w:after="0" w:line="237" w:lineRule="auto"/>
        <w:rPr>
          <w:sz w:val="20"/>
          <w:szCs w:val="20"/>
          <w:color w:val="auto"/>
        </w:rPr>
      </w:pPr>
      <w:r>
        <w:rPr>
          <w:rFonts w:ascii="Courier New" w:cs="Courier New" w:eastAsia="Courier New" w:hAnsi="Courier New"/>
          <w:sz w:val="15"/>
          <w:szCs w:val="15"/>
          <w:color w:val="auto"/>
        </w:rPr>
        <w:t>Notes to the Consolidated Financial Statements</w:t>
      </w:r>
    </w:p>
    <w:p>
      <w:pPr>
        <w:spacing w:after="0" w:line="238" w:lineRule="auto"/>
        <w:rPr>
          <w:sz w:val="20"/>
          <w:szCs w:val="20"/>
          <w:color w:val="auto"/>
        </w:rPr>
      </w:pPr>
      <w:r>
        <w:rPr>
          <w:rFonts w:ascii="Courier New" w:cs="Courier New" w:eastAsia="Courier New" w:hAnsi="Courier New"/>
          <w:sz w:val="15"/>
          <w:szCs w:val="15"/>
          <w:color w:val="auto"/>
        </w:rPr>
        <w:t>At December 31, 2002, 2001 and 2000</w:t>
      </w:r>
    </w:p>
    <w:p>
      <w:pPr>
        <w:spacing w:after="0" w:line="237" w:lineRule="auto"/>
        <w:rPr>
          <w:sz w:val="20"/>
          <w:szCs w:val="20"/>
          <w:color w:val="auto"/>
        </w:rPr>
      </w:pPr>
      <w:r>
        <w:rPr>
          <w:rFonts w:ascii="Courier New" w:cs="Courier New" w:eastAsia="Courier New" w:hAnsi="Courier New"/>
          <w:sz w:val="15"/>
          <w:szCs w:val="15"/>
          <w:color w:val="auto"/>
        </w:rPr>
        <w:t>Amounts expressed in millions of US dollars ($) and in millions of constant</w:t>
      </w:r>
    </w:p>
    <w:p>
      <w:pPr>
        <w:spacing w:after="0" w:line="238" w:lineRule="auto"/>
        <w:rPr>
          <w:sz w:val="20"/>
          <w:szCs w:val="20"/>
          <w:color w:val="auto"/>
        </w:rPr>
      </w:pPr>
      <w:r>
        <w:rPr>
          <w:rFonts w:ascii="Courier New" w:cs="Courier New" w:eastAsia="Courier New" w:hAnsi="Courier New"/>
          <w:sz w:val="15"/>
          <w:szCs w:val="15"/>
          <w:color w:val="auto"/>
        </w:rPr>
        <w:t>Mexican pesos (Ps.) as of December 31, 2002</w:t>
      </w:r>
    </w:p>
    <w:p>
      <w:pPr>
        <w:ind w:left="180" w:hanging="170"/>
        <w:spacing w:after="0" w:line="237" w:lineRule="auto"/>
        <w:tabs>
          <w:tab w:leader="none" w:pos="180"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7"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Note 1.</w:t>
      </w:r>
      <w:r>
        <w:rPr>
          <w:rFonts w:ascii="Courier New" w:cs="Courier New" w:eastAsia="Courier New" w:hAnsi="Courier New"/>
          <w:sz w:val="14"/>
          <w:szCs w:val="14"/>
          <w:color w:val="auto"/>
        </w:rPr>
        <w:t>Activities of the Company.</w:t>
      </w:r>
    </w:p>
    <w:p>
      <w:pPr>
        <w:spacing w:after="0" w:line="173" w:lineRule="exact"/>
        <w:rPr>
          <w:sz w:val="20"/>
          <w:szCs w:val="20"/>
          <w:color w:val="auto"/>
        </w:rPr>
      </w:pPr>
    </w:p>
    <w:p>
      <w:pPr>
        <w:ind w:right="3340"/>
        <w:spacing w:after="0" w:line="236" w:lineRule="auto"/>
        <w:rPr>
          <w:sz w:val="20"/>
          <w:szCs w:val="20"/>
          <w:color w:val="auto"/>
        </w:rPr>
      </w:pPr>
      <w:r>
        <w:rPr>
          <w:rFonts w:ascii="Courier New" w:cs="Courier New" w:eastAsia="Courier New" w:hAnsi="Courier New"/>
          <w:sz w:val="15"/>
          <w:szCs w:val="15"/>
          <w:color w:val="auto"/>
        </w:rPr>
        <w:t>Fomento Economico Mexicano, S.A. de C.V. ("FEMSA") is a Mexican holding company. The principal activities of FEMSA and its subsidiaries ("the Company"), as an economic unit, are carried out by operating subsidiaries, and grouped under direct and indirect holding company subsidiaries (the "Subholding Companies") of FEMSA. The following is a description of such activities, together with ownership interest in each Subholding Company:</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260" w:type="dxa"/>
            <w:vAlign w:val="bottom"/>
            <w:gridSpan w:val="10"/>
          </w:tcPr>
          <w:p>
            <w:pPr>
              <w:spacing w:after="0"/>
              <w:rPr>
                <w:sz w:val="20"/>
                <w:szCs w:val="20"/>
                <w:color w:val="auto"/>
              </w:rPr>
            </w:pPr>
            <w:r>
              <w:rPr>
                <w:rFonts w:ascii="Courier New" w:cs="Courier New" w:eastAsia="Courier New" w:hAnsi="Courier New"/>
                <w:sz w:val="15"/>
                <w:szCs w:val="15"/>
                <w:color w:val="auto"/>
                <w:w w:val="99"/>
              </w:rPr>
              <w:t>- -------------------------------------------------------------------------------</w:t>
            </w: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15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Subholding Company</w:t>
            </w: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6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6"/>
              </w:rPr>
              <w:t>% Ownership</w:t>
            </w:r>
          </w:p>
        </w:tc>
        <w:tc>
          <w:tcPr>
            <w:tcW w:w="122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Activities</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7260" w:type="dxa"/>
            <w:vAlign w:val="bottom"/>
            <w:gridSpan w:val="10"/>
          </w:tcPr>
          <w:p>
            <w:pPr>
              <w:spacing w:after="0" w:line="168" w:lineRule="exact"/>
              <w:rPr>
                <w:sz w:val="20"/>
                <w:szCs w:val="20"/>
                <w:color w:val="auto"/>
              </w:rPr>
            </w:pPr>
            <w:r>
              <w:rPr>
                <w:rFonts w:ascii="Courier New" w:cs="Courier New" w:eastAsia="Courier New" w:hAnsi="Courier New"/>
                <w:sz w:val="15"/>
                <w:szCs w:val="15"/>
                <w:color w:val="auto"/>
                <w:w w:val="99"/>
              </w:rPr>
              <w:t>- -------------------------------------------------------------------------------</w:t>
            </w: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336"/>
        </w:trPr>
        <w:tc>
          <w:tcPr>
            <w:tcW w:w="2720" w:type="dxa"/>
            <w:vAlign w:val="bottom"/>
            <w:gridSpan w:val="3"/>
          </w:tcPr>
          <w:p>
            <w:pPr>
              <w:spacing w:after="0"/>
              <w:rPr>
                <w:sz w:val="20"/>
                <w:szCs w:val="20"/>
                <w:color w:val="auto"/>
              </w:rPr>
            </w:pPr>
            <w:r>
              <w:rPr>
                <w:rFonts w:ascii="Courier New" w:cs="Courier New" w:eastAsia="Courier New" w:hAnsi="Courier New"/>
                <w:sz w:val="15"/>
                <w:szCs w:val="15"/>
                <w:color w:val="auto"/>
              </w:rPr>
              <w:t>FEMSA Cerveza, S.A. de C.V.</w:t>
            </w:r>
          </w:p>
        </w:tc>
        <w:tc>
          <w:tcPr>
            <w:tcW w:w="480" w:type="dxa"/>
            <w:vAlign w:val="bottom"/>
          </w:tcPr>
          <w:p>
            <w:pPr>
              <w:spacing w:after="0"/>
              <w:rPr>
                <w:sz w:val="24"/>
                <w:szCs w:val="24"/>
                <w:color w:val="auto"/>
              </w:rPr>
            </w:pPr>
          </w:p>
        </w:tc>
        <w:tc>
          <w:tcPr>
            <w:tcW w:w="136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7"/>
              </w:rPr>
              <w:t>70.0%</w:t>
            </w:r>
          </w:p>
        </w:tc>
        <w:tc>
          <w:tcPr>
            <w:tcW w:w="5780" w:type="dxa"/>
            <w:vAlign w:val="bottom"/>
            <w:gridSpan w:val="8"/>
          </w:tcPr>
          <w:p>
            <w:pPr>
              <w:ind w:left="340"/>
              <w:spacing w:after="0"/>
              <w:rPr>
                <w:sz w:val="20"/>
                <w:szCs w:val="20"/>
                <w:color w:val="auto"/>
              </w:rPr>
            </w:pPr>
            <w:r>
              <w:rPr>
                <w:rFonts w:ascii="Courier New" w:cs="Courier New" w:eastAsia="Courier New" w:hAnsi="Courier New"/>
                <w:sz w:val="15"/>
                <w:szCs w:val="15"/>
                <w:color w:val="auto"/>
              </w:rPr>
              <w:t>Production, distribution and marketing of beer through its</w:t>
            </w:r>
          </w:p>
        </w:tc>
      </w:tr>
      <w:tr>
        <w:trPr>
          <w:trHeight w:val="168"/>
        </w:trPr>
        <w:tc>
          <w:tcPr>
            <w:tcW w:w="15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and Subsidiaries</w:t>
            </w: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780" w:type="dxa"/>
            <w:vAlign w:val="bottom"/>
            <w:gridSpan w:val="8"/>
          </w:tcPr>
          <w:p>
            <w:pPr>
              <w:ind w:left="340"/>
              <w:spacing w:after="0" w:line="168" w:lineRule="exact"/>
              <w:rPr>
                <w:sz w:val="20"/>
                <w:szCs w:val="20"/>
                <w:color w:val="auto"/>
              </w:rPr>
            </w:pPr>
            <w:r>
              <w:rPr>
                <w:rFonts w:ascii="Courier New" w:cs="Courier New" w:eastAsia="Courier New" w:hAnsi="Courier New"/>
                <w:sz w:val="15"/>
                <w:szCs w:val="15"/>
                <w:color w:val="auto"/>
              </w:rPr>
              <w:t>principal operating subsidiary, Cerveceria Cuauhtemoc</w:t>
            </w:r>
          </w:p>
        </w:tc>
      </w:tr>
      <w:tr>
        <w:trPr>
          <w:trHeight w:val="168"/>
        </w:trPr>
        <w:tc>
          <w:tcPr>
            <w:tcW w:w="15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("FEMSA Cerveza")</w:t>
            </w: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780" w:type="dxa"/>
            <w:vAlign w:val="bottom"/>
            <w:gridSpan w:val="8"/>
          </w:tcPr>
          <w:p>
            <w:pPr>
              <w:ind w:left="340"/>
              <w:spacing w:after="0" w:line="168" w:lineRule="exact"/>
              <w:rPr>
                <w:sz w:val="20"/>
                <w:szCs w:val="20"/>
                <w:color w:val="auto"/>
              </w:rPr>
            </w:pPr>
            <w:r>
              <w:rPr>
                <w:rFonts w:ascii="Courier New" w:cs="Courier New" w:eastAsia="Courier New" w:hAnsi="Courier New"/>
                <w:sz w:val="15"/>
                <w:szCs w:val="15"/>
                <w:color w:val="auto"/>
              </w:rPr>
              <w:t>Moctezuma, S.A. de C.V., which operates six breweries</w:t>
            </w:r>
          </w:p>
        </w:tc>
      </w:tr>
      <w:tr>
        <w:trPr>
          <w:trHeight w:val="168"/>
        </w:trPr>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780" w:type="dxa"/>
            <w:vAlign w:val="bottom"/>
            <w:gridSpan w:val="8"/>
          </w:tcPr>
          <w:p>
            <w:pPr>
              <w:ind w:left="340"/>
              <w:spacing w:after="0" w:line="168" w:lineRule="exact"/>
              <w:rPr>
                <w:sz w:val="20"/>
                <w:szCs w:val="20"/>
                <w:color w:val="auto"/>
              </w:rPr>
            </w:pPr>
            <w:r>
              <w:rPr>
                <w:rFonts w:ascii="Courier New" w:cs="Courier New" w:eastAsia="Courier New" w:hAnsi="Courier New"/>
                <w:sz w:val="15"/>
                <w:szCs w:val="15"/>
                <w:color w:val="auto"/>
              </w:rPr>
              <w:t>throughout Mexico and produces and distributes 15 different</w:t>
            </w:r>
          </w:p>
        </w:tc>
      </w:tr>
      <w:tr>
        <w:trPr>
          <w:trHeight w:val="168"/>
        </w:trPr>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780" w:type="dxa"/>
            <w:vAlign w:val="bottom"/>
            <w:gridSpan w:val="8"/>
          </w:tcPr>
          <w:p>
            <w:pPr>
              <w:ind w:left="340"/>
              <w:spacing w:after="0" w:line="168" w:lineRule="exact"/>
              <w:rPr>
                <w:sz w:val="20"/>
                <w:szCs w:val="20"/>
                <w:color w:val="auto"/>
              </w:rPr>
            </w:pPr>
            <w:r>
              <w:rPr>
                <w:rFonts w:ascii="Courier New" w:cs="Courier New" w:eastAsia="Courier New" w:hAnsi="Courier New"/>
                <w:sz w:val="15"/>
                <w:szCs w:val="15"/>
                <w:color w:val="auto"/>
              </w:rPr>
              <w:t>brands of beer, of which the five most important are:</w:t>
            </w:r>
          </w:p>
        </w:tc>
      </w:tr>
      <w:tr>
        <w:trPr>
          <w:trHeight w:val="168"/>
        </w:trPr>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780" w:type="dxa"/>
            <w:vAlign w:val="bottom"/>
            <w:gridSpan w:val="8"/>
          </w:tcPr>
          <w:p>
            <w:pPr>
              <w:ind w:left="340"/>
              <w:spacing w:after="0" w:line="168" w:lineRule="exact"/>
              <w:rPr>
                <w:sz w:val="20"/>
                <w:szCs w:val="20"/>
                <w:color w:val="auto"/>
              </w:rPr>
            </w:pPr>
            <w:r>
              <w:rPr>
                <w:rFonts w:ascii="Courier New" w:cs="Courier New" w:eastAsia="Courier New" w:hAnsi="Courier New"/>
                <w:sz w:val="15"/>
                <w:szCs w:val="15"/>
                <w:color w:val="auto"/>
              </w:rPr>
              <w:t>Tecate, Carta Blanca, Superior, Sol and XX Lager. Labatt</w:t>
            </w:r>
          </w:p>
        </w:tc>
      </w:tr>
      <w:tr>
        <w:trPr>
          <w:trHeight w:val="168"/>
        </w:trPr>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780" w:type="dxa"/>
            <w:vAlign w:val="bottom"/>
            <w:gridSpan w:val="8"/>
          </w:tcPr>
          <w:p>
            <w:pPr>
              <w:ind w:left="340"/>
              <w:spacing w:after="0" w:line="168" w:lineRule="exact"/>
              <w:rPr>
                <w:sz w:val="20"/>
                <w:szCs w:val="20"/>
                <w:color w:val="auto"/>
              </w:rPr>
            </w:pPr>
            <w:r>
              <w:rPr>
                <w:rFonts w:ascii="Courier New" w:cs="Courier New" w:eastAsia="Courier New" w:hAnsi="Courier New"/>
                <w:sz w:val="15"/>
                <w:szCs w:val="15"/>
                <w:color w:val="auto"/>
              </w:rPr>
              <w:t>Brewing Company Limited ("Labatt") and its holding company,</w:t>
            </w:r>
          </w:p>
        </w:tc>
      </w:tr>
      <w:tr>
        <w:trPr>
          <w:trHeight w:val="168"/>
        </w:trPr>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780" w:type="dxa"/>
            <w:vAlign w:val="bottom"/>
            <w:gridSpan w:val="8"/>
          </w:tcPr>
          <w:p>
            <w:pPr>
              <w:ind w:left="340"/>
              <w:spacing w:after="0" w:line="168" w:lineRule="exact"/>
              <w:rPr>
                <w:sz w:val="20"/>
                <w:szCs w:val="20"/>
                <w:color w:val="auto"/>
              </w:rPr>
            </w:pPr>
            <w:r>
              <w:rPr>
                <w:rFonts w:ascii="Courier New" w:cs="Courier New" w:eastAsia="Courier New" w:hAnsi="Courier New"/>
                <w:sz w:val="15"/>
                <w:szCs w:val="15"/>
                <w:color w:val="auto"/>
              </w:rPr>
              <w:t>Stellamerica Holdings Limited ("Stellamerica"), jointly own</w:t>
            </w:r>
          </w:p>
        </w:tc>
      </w:tr>
      <w:tr>
        <w:trPr>
          <w:trHeight w:val="168"/>
        </w:trPr>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620" w:type="dxa"/>
            <w:vAlign w:val="bottom"/>
            <w:gridSpan w:val="6"/>
          </w:tcPr>
          <w:p>
            <w:pPr>
              <w:ind w:left="340"/>
              <w:spacing w:after="0" w:line="168" w:lineRule="exact"/>
              <w:rPr>
                <w:sz w:val="20"/>
                <w:szCs w:val="20"/>
                <w:color w:val="auto"/>
              </w:rPr>
            </w:pPr>
            <w:r>
              <w:rPr>
                <w:rFonts w:ascii="Courier New" w:cs="Courier New" w:eastAsia="Courier New" w:hAnsi="Courier New"/>
                <w:sz w:val="15"/>
                <w:szCs w:val="15"/>
                <w:color w:val="auto"/>
                <w:w w:val="97"/>
              </w:rPr>
              <w:t>30% of FEMSA Cerveza's capital stock.</w:t>
            </w:r>
          </w:p>
        </w:tc>
        <w:tc>
          <w:tcPr>
            <w:tcW w:w="8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336"/>
        </w:trPr>
        <w:tc>
          <w:tcPr>
            <w:tcW w:w="1580" w:type="dxa"/>
            <w:vAlign w:val="bottom"/>
            <w:gridSpan w:val="2"/>
          </w:tcPr>
          <w:p>
            <w:pPr>
              <w:spacing w:after="0"/>
              <w:rPr>
                <w:sz w:val="20"/>
                <w:szCs w:val="20"/>
                <w:color w:val="auto"/>
              </w:rPr>
            </w:pPr>
            <w:r>
              <w:rPr>
                <w:rFonts w:ascii="Courier New" w:cs="Courier New" w:eastAsia="Courier New" w:hAnsi="Courier New"/>
                <w:sz w:val="15"/>
                <w:szCs w:val="15"/>
                <w:color w:val="auto"/>
              </w:rPr>
              <w:t>Coca-Cola  FEMSA,</w:t>
            </w:r>
          </w:p>
        </w:tc>
        <w:tc>
          <w:tcPr>
            <w:tcW w:w="16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S.A. de C.V. and</w:t>
            </w:r>
          </w:p>
        </w:tc>
        <w:tc>
          <w:tcPr>
            <w:tcW w:w="136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7"/>
              </w:rPr>
              <w:t>51.0%</w:t>
            </w:r>
          </w:p>
        </w:tc>
        <w:tc>
          <w:tcPr>
            <w:tcW w:w="122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4"/>
              </w:rPr>
              <w:t>Production,</w:t>
            </w:r>
          </w:p>
        </w:tc>
        <w:tc>
          <w:tcPr>
            <w:tcW w:w="4560" w:type="dxa"/>
            <w:vAlign w:val="bottom"/>
            <w:gridSpan w:val="6"/>
          </w:tcPr>
          <w:p>
            <w:pPr>
              <w:jc w:val="right"/>
              <w:ind w:right="207"/>
              <w:spacing w:after="0"/>
              <w:rPr>
                <w:sz w:val="20"/>
                <w:szCs w:val="20"/>
                <w:color w:val="auto"/>
              </w:rPr>
            </w:pPr>
            <w:r>
              <w:rPr>
                <w:rFonts w:ascii="Courier New" w:cs="Courier New" w:eastAsia="Courier New" w:hAnsi="Courier New"/>
                <w:sz w:val="15"/>
                <w:szCs w:val="15"/>
                <w:color w:val="auto"/>
              </w:rPr>
              <w:t>distribution and marketing of certain Coca-Cola</w:t>
            </w:r>
          </w:p>
        </w:tc>
      </w:tr>
      <w:tr>
        <w:trPr>
          <w:trHeight w:val="168"/>
        </w:trPr>
        <w:tc>
          <w:tcPr>
            <w:tcW w:w="15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Subsidiaries</w:t>
            </w: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2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trademark</w:t>
            </w:r>
          </w:p>
        </w:tc>
        <w:tc>
          <w:tcPr>
            <w:tcW w:w="14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5"/>
              </w:rPr>
              <w:t>beverages  in two</w:t>
            </w:r>
          </w:p>
        </w:tc>
        <w:tc>
          <w:tcPr>
            <w:tcW w:w="3080" w:type="dxa"/>
            <w:vAlign w:val="bottom"/>
            <w:gridSpan w:val="3"/>
          </w:tcPr>
          <w:p>
            <w:pPr>
              <w:jc w:val="right"/>
              <w:ind w:right="207"/>
              <w:spacing w:after="0" w:line="168" w:lineRule="exact"/>
              <w:rPr>
                <w:sz w:val="20"/>
                <w:szCs w:val="20"/>
                <w:color w:val="auto"/>
              </w:rPr>
            </w:pPr>
            <w:r>
              <w:rPr>
                <w:rFonts w:ascii="Courier New" w:cs="Courier New" w:eastAsia="Courier New" w:hAnsi="Courier New"/>
                <w:sz w:val="15"/>
                <w:szCs w:val="15"/>
                <w:color w:val="auto"/>
              </w:rPr>
              <w:t>territories  in Mexico and one</w:t>
            </w:r>
          </w:p>
        </w:tc>
      </w:tr>
      <w:tr>
        <w:trPr>
          <w:trHeight w:val="168"/>
        </w:trPr>
        <w:tc>
          <w:tcPr>
            <w:tcW w:w="27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("Coca-Cola FEMSA")</w:t>
            </w:r>
          </w:p>
        </w:tc>
        <w:tc>
          <w:tcPr>
            <w:tcW w:w="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00" w:type="dxa"/>
            <w:vAlign w:val="bottom"/>
            <w:gridSpan w:val="4"/>
          </w:tcPr>
          <w:p>
            <w:pPr>
              <w:ind w:left="260"/>
              <w:spacing w:after="0" w:line="168" w:lineRule="exact"/>
              <w:rPr>
                <w:sz w:val="20"/>
                <w:szCs w:val="20"/>
                <w:color w:val="auto"/>
              </w:rPr>
            </w:pPr>
            <w:r>
              <w:rPr>
                <w:rFonts w:ascii="Courier New" w:cs="Courier New" w:eastAsia="Courier New" w:hAnsi="Courier New"/>
                <w:sz w:val="15"/>
                <w:szCs w:val="15"/>
                <w:color w:val="auto"/>
              </w:rPr>
              <w:t>territory in Argentina.</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The</w:t>
            </w:r>
          </w:p>
        </w:tc>
        <w:tc>
          <w:tcPr>
            <w:tcW w:w="17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Inmex Corporation,</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an indirect</w:t>
            </w:r>
          </w:p>
        </w:tc>
      </w:tr>
      <w:tr>
        <w:trPr>
          <w:trHeight w:val="168"/>
        </w:trPr>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700" w:type="dxa"/>
            <w:vAlign w:val="bottom"/>
            <w:gridSpan w:val="5"/>
          </w:tcPr>
          <w:p>
            <w:pPr>
              <w:ind w:left="260"/>
              <w:spacing w:after="0" w:line="168" w:lineRule="exact"/>
              <w:rPr>
                <w:sz w:val="20"/>
                <w:szCs w:val="20"/>
                <w:color w:val="auto"/>
              </w:rPr>
            </w:pPr>
            <w:r>
              <w:rPr>
                <w:rFonts w:ascii="Courier New" w:cs="Courier New" w:eastAsia="Courier New" w:hAnsi="Courier New"/>
                <w:sz w:val="15"/>
                <w:szCs w:val="15"/>
                <w:color w:val="auto"/>
                <w:w w:val="99"/>
              </w:rPr>
              <w:t>subsidiary of The Coca-Cola</w:t>
            </w:r>
          </w:p>
        </w:tc>
        <w:tc>
          <w:tcPr>
            <w:tcW w:w="9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Company,</w:t>
            </w:r>
          </w:p>
        </w:tc>
        <w:tc>
          <w:tcPr>
            <w:tcW w:w="8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owns 30%</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4"/>
              </w:rPr>
              <w:t>of Coca-Cola</w:t>
            </w:r>
          </w:p>
        </w:tc>
      </w:tr>
      <w:tr>
        <w:trPr>
          <w:trHeight w:val="168"/>
        </w:trPr>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FEMSA's</w:t>
            </w:r>
          </w:p>
        </w:tc>
        <w:tc>
          <w:tcPr>
            <w:tcW w:w="8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capital</w:t>
            </w:r>
          </w:p>
        </w:tc>
        <w:tc>
          <w:tcPr>
            <w:tcW w:w="6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stock.</w:t>
            </w:r>
          </w:p>
        </w:tc>
        <w:tc>
          <w:tcPr>
            <w:tcW w:w="122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8"/>
              </w:rPr>
              <w:t>In addition,</w:t>
            </w:r>
          </w:p>
        </w:tc>
        <w:tc>
          <w:tcPr>
            <w:tcW w:w="8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shares</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4"/>
              </w:rPr>
              <w:t>representing</w:t>
            </w:r>
          </w:p>
        </w:tc>
      </w:tr>
      <w:tr>
        <w:trPr>
          <w:trHeight w:val="168"/>
        </w:trPr>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19% of</w:t>
            </w:r>
          </w:p>
        </w:tc>
        <w:tc>
          <w:tcPr>
            <w:tcW w:w="8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Coca-Cola</w:t>
            </w:r>
          </w:p>
        </w:tc>
        <w:tc>
          <w:tcPr>
            <w:tcW w:w="9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FEMSA's</w:t>
            </w:r>
          </w:p>
        </w:tc>
        <w:tc>
          <w:tcPr>
            <w:tcW w:w="3080" w:type="dxa"/>
            <w:vAlign w:val="bottom"/>
            <w:gridSpan w:val="3"/>
          </w:tcPr>
          <w:p>
            <w:pPr>
              <w:jc w:val="right"/>
              <w:ind w:right="207"/>
              <w:spacing w:after="0" w:line="168" w:lineRule="exact"/>
              <w:rPr>
                <w:sz w:val="20"/>
                <w:szCs w:val="20"/>
                <w:color w:val="auto"/>
              </w:rPr>
            </w:pPr>
            <w:r>
              <w:rPr>
                <w:rFonts w:ascii="Courier New" w:cs="Courier New" w:eastAsia="Courier New" w:hAnsi="Courier New"/>
                <w:sz w:val="15"/>
                <w:szCs w:val="15"/>
                <w:color w:val="auto"/>
                <w:w w:val="96"/>
              </w:rPr>
              <w:t>capital  stock are listed on the</w:t>
            </w:r>
          </w:p>
        </w:tc>
      </w:tr>
      <w:tr>
        <w:trPr>
          <w:trHeight w:val="168"/>
        </w:trPr>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700" w:type="dxa"/>
            <w:vAlign w:val="bottom"/>
            <w:gridSpan w:val="5"/>
          </w:tcPr>
          <w:p>
            <w:pPr>
              <w:ind w:left="260"/>
              <w:spacing w:after="0" w:line="168" w:lineRule="exact"/>
              <w:rPr>
                <w:sz w:val="20"/>
                <w:szCs w:val="20"/>
                <w:color w:val="auto"/>
              </w:rPr>
            </w:pPr>
            <w:r>
              <w:rPr>
                <w:rFonts w:ascii="Courier New" w:cs="Courier New" w:eastAsia="Courier New" w:hAnsi="Courier New"/>
                <w:sz w:val="15"/>
                <w:szCs w:val="15"/>
                <w:color w:val="auto"/>
              </w:rPr>
              <w:t>Bolsa Mexicana de Valores,</w:t>
            </w:r>
          </w:p>
        </w:tc>
        <w:tc>
          <w:tcPr>
            <w:tcW w:w="3080" w:type="dxa"/>
            <w:vAlign w:val="bottom"/>
            <w:gridSpan w:val="3"/>
          </w:tcPr>
          <w:p>
            <w:pPr>
              <w:jc w:val="right"/>
              <w:ind w:right="207"/>
              <w:spacing w:after="0" w:line="168" w:lineRule="exact"/>
              <w:rPr>
                <w:sz w:val="20"/>
                <w:szCs w:val="20"/>
                <w:color w:val="auto"/>
              </w:rPr>
            </w:pPr>
            <w:r>
              <w:rPr>
                <w:rFonts w:ascii="Courier New" w:cs="Courier New" w:eastAsia="Courier New" w:hAnsi="Courier New"/>
                <w:sz w:val="15"/>
                <w:szCs w:val="15"/>
                <w:color w:val="auto"/>
                <w:w w:val="96"/>
              </w:rPr>
              <w:t>S.A. de C.V. ("BMV") and The New</w:t>
            </w:r>
          </w:p>
        </w:tc>
      </w:tr>
      <w:tr>
        <w:trPr>
          <w:trHeight w:val="168"/>
        </w:trPr>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620" w:type="dxa"/>
            <w:vAlign w:val="bottom"/>
            <w:gridSpan w:val="6"/>
          </w:tcPr>
          <w:p>
            <w:pPr>
              <w:ind w:left="260"/>
              <w:spacing w:after="0" w:line="168" w:lineRule="exact"/>
              <w:rPr>
                <w:sz w:val="20"/>
                <w:szCs w:val="20"/>
                <w:color w:val="auto"/>
              </w:rPr>
            </w:pPr>
            <w:r>
              <w:rPr>
                <w:rFonts w:ascii="Courier New" w:cs="Courier New" w:eastAsia="Courier New" w:hAnsi="Courier New"/>
                <w:sz w:val="15"/>
                <w:szCs w:val="15"/>
                <w:color w:val="auto"/>
              </w:rPr>
              <w:t>York Stock Exchange, Inc. ("NYSE").</w:t>
            </w:r>
          </w:p>
        </w:tc>
        <w:tc>
          <w:tcPr>
            <w:tcW w:w="8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336"/>
        </w:trPr>
        <w:tc>
          <w:tcPr>
            <w:tcW w:w="540" w:type="dxa"/>
            <w:vAlign w:val="bottom"/>
          </w:tcPr>
          <w:p>
            <w:pPr>
              <w:spacing w:after="0"/>
              <w:rPr>
                <w:sz w:val="20"/>
                <w:szCs w:val="20"/>
                <w:color w:val="auto"/>
              </w:rPr>
            </w:pPr>
            <w:r>
              <w:rPr>
                <w:rFonts w:ascii="Courier New" w:cs="Courier New" w:eastAsia="Courier New" w:hAnsi="Courier New"/>
                <w:sz w:val="15"/>
                <w:szCs w:val="15"/>
                <w:color w:val="auto"/>
              </w:rPr>
              <w:t>FEMSA</w:t>
            </w:r>
          </w:p>
        </w:tc>
        <w:tc>
          <w:tcPr>
            <w:tcW w:w="1040" w:type="dxa"/>
            <w:vAlign w:val="bottom"/>
          </w:tcPr>
          <w:p>
            <w:pPr>
              <w:ind w:left="80"/>
              <w:spacing w:after="0"/>
              <w:rPr>
                <w:sz w:val="20"/>
                <w:szCs w:val="20"/>
                <w:color w:val="auto"/>
              </w:rPr>
            </w:pPr>
            <w:r>
              <w:rPr>
                <w:rFonts w:ascii="Courier New" w:cs="Courier New" w:eastAsia="Courier New" w:hAnsi="Courier New"/>
                <w:sz w:val="15"/>
                <w:szCs w:val="15"/>
                <w:color w:val="auto"/>
              </w:rPr>
              <w:t>Empaques,</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S.A. de C.V.</w:t>
            </w:r>
          </w:p>
        </w:tc>
        <w:tc>
          <w:tcPr>
            <w:tcW w:w="4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and</w:t>
            </w:r>
          </w:p>
        </w:tc>
        <w:tc>
          <w:tcPr>
            <w:tcW w:w="136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7"/>
              </w:rPr>
              <w:t>99.9%</w:t>
            </w:r>
          </w:p>
        </w:tc>
        <w:tc>
          <w:tcPr>
            <w:tcW w:w="5780" w:type="dxa"/>
            <w:vAlign w:val="bottom"/>
            <w:gridSpan w:val="8"/>
          </w:tcPr>
          <w:p>
            <w:pPr>
              <w:ind w:left="260"/>
              <w:spacing w:after="0"/>
              <w:rPr>
                <w:sz w:val="20"/>
                <w:szCs w:val="20"/>
                <w:color w:val="auto"/>
              </w:rPr>
            </w:pPr>
            <w:r>
              <w:rPr>
                <w:rFonts w:ascii="Courier New" w:cs="Courier New" w:eastAsia="Courier New" w:hAnsi="Courier New"/>
                <w:sz w:val="15"/>
                <w:szCs w:val="15"/>
                <w:color w:val="auto"/>
              </w:rPr>
              <w:t>Production and distribution of a wide variety of packaging</w:t>
            </w:r>
          </w:p>
        </w:tc>
      </w:tr>
      <w:tr>
        <w:trPr>
          <w:trHeight w:val="168"/>
        </w:trPr>
        <w:tc>
          <w:tcPr>
            <w:tcW w:w="15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Subsidiaries</w:t>
            </w: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780" w:type="dxa"/>
            <w:vAlign w:val="bottom"/>
            <w:gridSpan w:val="8"/>
          </w:tcPr>
          <w:p>
            <w:pPr>
              <w:ind w:left="260"/>
              <w:spacing w:after="0" w:line="168" w:lineRule="exact"/>
              <w:rPr>
                <w:sz w:val="20"/>
                <w:szCs w:val="20"/>
                <w:color w:val="auto"/>
              </w:rPr>
            </w:pPr>
            <w:r>
              <w:rPr>
                <w:rFonts w:ascii="Courier New" w:cs="Courier New" w:eastAsia="Courier New" w:hAnsi="Courier New"/>
                <w:sz w:val="15"/>
                <w:szCs w:val="15"/>
                <w:color w:val="auto"/>
              </w:rPr>
              <w:t>materials primarily to the beverage and food industries,</w:t>
            </w:r>
          </w:p>
        </w:tc>
      </w:tr>
      <w:tr>
        <w:trPr>
          <w:trHeight w:val="168"/>
        </w:trPr>
        <w:tc>
          <w:tcPr>
            <w:tcW w:w="15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("FEMSA Empaques")</w:t>
            </w: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780" w:type="dxa"/>
            <w:vAlign w:val="bottom"/>
            <w:gridSpan w:val="8"/>
          </w:tcPr>
          <w:p>
            <w:pPr>
              <w:ind w:left="260"/>
              <w:spacing w:after="0" w:line="168" w:lineRule="exact"/>
              <w:rPr>
                <w:sz w:val="20"/>
                <w:szCs w:val="20"/>
                <w:color w:val="auto"/>
              </w:rPr>
            </w:pPr>
            <w:r>
              <w:rPr>
                <w:rFonts w:ascii="Courier New" w:cs="Courier New" w:eastAsia="Courier New" w:hAnsi="Courier New"/>
                <w:sz w:val="15"/>
                <w:szCs w:val="15"/>
                <w:color w:val="auto"/>
              </w:rPr>
              <w:t>including products such as aluminum beverage cans and tops,</w:t>
            </w:r>
          </w:p>
        </w:tc>
      </w:tr>
      <w:tr>
        <w:trPr>
          <w:trHeight w:val="168"/>
        </w:trPr>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780" w:type="dxa"/>
            <w:vAlign w:val="bottom"/>
            <w:gridSpan w:val="8"/>
          </w:tcPr>
          <w:p>
            <w:pPr>
              <w:ind w:left="260"/>
              <w:spacing w:after="0" w:line="168" w:lineRule="exact"/>
              <w:rPr>
                <w:sz w:val="20"/>
                <w:szCs w:val="20"/>
                <w:color w:val="auto"/>
              </w:rPr>
            </w:pPr>
            <w:r>
              <w:rPr>
                <w:rFonts w:ascii="Courier New" w:cs="Courier New" w:eastAsia="Courier New" w:hAnsi="Courier New"/>
                <w:sz w:val="15"/>
                <w:szCs w:val="15"/>
                <w:color w:val="auto"/>
              </w:rPr>
              <w:t>steel food cans, bottle caps and other closures, glass</w:t>
            </w:r>
          </w:p>
        </w:tc>
      </w:tr>
      <w:tr>
        <w:trPr>
          <w:trHeight w:val="168"/>
        </w:trPr>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780" w:type="dxa"/>
            <w:vAlign w:val="bottom"/>
            <w:gridSpan w:val="8"/>
          </w:tcPr>
          <w:p>
            <w:pPr>
              <w:ind w:left="260"/>
              <w:spacing w:after="0" w:line="168" w:lineRule="exact"/>
              <w:rPr>
                <w:sz w:val="20"/>
                <w:szCs w:val="20"/>
                <w:color w:val="auto"/>
              </w:rPr>
            </w:pPr>
            <w:r>
              <w:rPr>
                <w:rFonts w:ascii="Courier New" w:cs="Courier New" w:eastAsia="Courier New" w:hAnsi="Courier New"/>
                <w:sz w:val="15"/>
                <w:szCs w:val="15"/>
                <w:color w:val="auto"/>
              </w:rPr>
              <w:t>beverage bottles, labels and other flexible packaging</w:t>
            </w:r>
          </w:p>
        </w:tc>
      </w:tr>
      <w:tr>
        <w:trPr>
          <w:trHeight w:val="168"/>
        </w:trPr>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780" w:type="dxa"/>
            <w:vAlign w:val="bottom"/>
            <w:gridSpan w:val="8"/>
          </w:tcPr>
          <w:p>
            <w:pPr>
              <w:ind w:left="260"/>
              <w:spacing w:after="0" w:line="168" w:lineRule="exact"/>
              <w:rPr>
                <w:sz w:val="20"/>
                <w:szCs w:val="20"/>
                <w:color w:val="auto"/>
              </w:rPr>
            </w:pPr>
            <w:r>
              <w:rPr>
                <w:rFonts w:ascii="Courier New" w:cs="Courier New" w:eastAsia="Courier New" w:hAnsi="Courier New"/>
                <w:sz w:val="15"/>
                <w:szCs w:val="15"/>
                <w:color w:val="auto"/>
              </w:rPr>
              <w:t>materials, plastic cases, coolers, commercial refrigeration</w:t>
            </w:r>
          </w:p>
        </w:tc>
      </w:tr>
      <w:tr>
        <w:trPr>
          <w:trHeight w:val="168"/>
        </w:trPr>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460" w:type="dxa"/>
            <w:vAlign w:val="bottom"/>
            <w:gridSpan w:val="7"/>
          </w:tcPr>
          <w:p>
            <w:pPr>
              <w:ind w:left="260"/>
              <w:spacing w:after="0" w:line="168" w:lineRule="exact"/>
              <w:rPr>
                <w:sz w:val="20"/>
                <w:szCs w:val="20"/>
                <w:color w:val="auto"/>
              </w:rPr>
            </w:pPr>
            <w:r>
              <w:rPr>
                <w:rFonts w:ascii="Courier New" w:cs="Courier New" w:eastAsia="Courier New" w:hAnsi="Courier New"/>
                <w:sz w:val="15"/>
                <w:szCs w:val="15"/>
                <w:color w:val="auto"/>
                <w:w w:val="96"/>
              </w:rPr>
              <w:t>equipment, detergents, lubricants and adhesives.</w:t>
            </w:r>
          </w:p>
        </w:tc>
        <w:tc>
          <w:tcPr>
            <w:tcW w:w="1320" w:type="dxa"/>
            <w:vAlign w:val="bottom"/>
          </w:tcPr>
          <w:p>
            <w:pPr>
              <w:spacing w:after="0"/>
              <w:rPr>
                <w:sz w:val="14"/>
                <w:szCs w:val="14"/>
                <w:color w:val="auto"/>
              </w:rPr>
            </w:pPr>
          </w:p>
        </w:tc>
      </w:tr>
      <w:tr>
        <w:trPr>
          <w:trHeight w:val="336"/>
        </w:trPr>
        <w:tc>
          <w:tcPr>
            <w:tcW w:w="540" w:type="dxa"/>
            <w:vAlign w:val="bottom"/>
          </w:tcPr>
          <w:p>
            <w:pPr>
              <w:spacing w:after="0"/>
              <w:rPr>
                <w:sz w:val="20"/>
                <w:szCs w:val="20"/>
                <w:color w:val="auto"/>
              </w:rPr>
            </w:pPr>
            <w:r>
              <w:rPr>
                <w:rFonts w:ascii="Courier New" w:cs="Courier New" w:eastAsia="Courier New" w:hAnsi="Courier New"/>
                <w:sz w:val="15"/>
                <w:szCs w:val="15"/>
                <w:color w:val="auto"/>
              </w:rPr>
              <w:t>FEMSA</w:t>
            </w:r>
          </w:p>
        </w:tc>
        <w:tc>
          <w:tcPr>
            <w:tcW w:w="1040" w:type="dxa"/>
            <w:vAlign w:val="bottom"/>
          </w:tcPr>
          <w:p>
            <w:pPr>
              <w:ind w:left="80"/>
              <w:spacing w:after="0"/>
              <w:rPr>
                <w:sz w:val="20"/>
                <w:szCs w:val="20"/>
                <w:color w:val="auto"/>
              </w:rPr>
            </w:pPr>
            <w:r>
              <w:rPr>
                <w:rFonts w:ascii="Courier New" w:cs="Courier New" w:eastAsia="Courier New" w:hAnsi="Courier New"/>
                <w:sz w:val="15"/>
                <w:szCs w:val="15"/>
                <w:color w:val="auto"/>
              </w:rPr>
              <w:t>Comercio,</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S.A. de C.V.</w:t>
            </w:r>
          </w:p>
        </w:tc>
        <w:tc>
          <w:tcPr>
            <w:tcW w:w="4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and</w:t>
            </w:r>
          </w:p>
        </w:tc>
        <w:tc>
          <w:tcPr>
            <w:tcW w:w="136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7"/>
              </w:rPr>
              <w:t>99.9%</w:t>
            </w:r>
          </w:p>
        </w:tc>
        <w:tc>
          <w:tcPr>
            <w:tcW w:w="5780" w:type="dxa"/>
            <w:vAlign w:val="bottom"/>
            <w:gridSpan w:val="8"/>
          </w:tcPr>
          <w:p>
            <w:pPr>
              <w:ind w:left="260"/>
              <w:spacing w:after="0"/>
              <w:rPr>
                <w:sz w:val="20"/>
                <w:szCs w:val="20"/>
                <w:color w:val="auto"/>
              </w:rPr>
            </w:pPr>
            <w:r>
              <w:rPr>
                <w:rFonts w:ascii="Courier New" w:cs="Courier New" w:eastAsia="Courier New" w:hAnsi="Courier New"/>
                <w:sz w:val="15"/>
                <w:szCs w:val="15"/>
                <w:color w:val="auto"/>
                <w:w w:val="96"/>
              </w:rPr>
              <w:t>Operation of a chain of convenience stores under the trade name</w:t>
            </w:r>
          </w:p>
        </w:tc>
      </w:tr>
      <w:tr>
        <w:trPr>
          <w:trHeight w:val="168"/>
        </w:trPr>
        <w:tc>
          <w:tcPr>
            <w:tcW w:w="15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Subsidiaries</w:t>
            </w: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780" w:type="dxa"/>
            <w:vAlign w:val="bottom"/>
            <w:gridSpan w:val="8"/>
          </w:tcPr>
          <w:p>
            <w:pPr>
              <w:ind w:left="260"/>
              <w:spacing w:after="0" w:line="168" w:lineRule="exact"/>
              <w:rPr>
                <w:sz w:val="20"/>
                <w:szCs w:val="20"/>
                <w:color w:val="auto"/>
              </w:rPr>
            </w:pPr>
            <w:r>
              <w:rPr>
                <w:rFonts w:ascii="Courier New" w:cs="Courier New" w:eastAsia="Courier New" w:hAnsi="Courier New"/>
                <w:sz w:val="15"/>
                <w:szCs w:val="15"/>
                <w:color w:val="auto"/>
              </w:rPr>
              <w:t>"OXXO" and the operation of "Oxxo Express Service Centers",</w:t>
            </w:r>
          </w:p>
        </w:tc>
      </w:tr>
      <w:tr>
        <w:trPr>
          <w:trHeight w:val="168"/>
        </w:trPr>
        <w:tc>
          <w:tcPr>
            <w:tcW w:w="15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("FEMSA Comercio")</w:t>
            </w: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620" w:type="dxa"/>
            <w:vAlign w:val="bottom"/>
            <w:gridSpan w:val="6"/>
          </w:tcPr>
          <w:p>
            <w:pPr>
              <w:ind w:left="260"/>
              <w:spacing w:after="0" w:line="168" w:lineRule="exact"/>
              <w:rPr>
                <w:sz w:val="20"/>
                <w:szCs w:val="20"/>
                <w:color w:val="auto"/>
              </w:rPr>
            </w:pPr>
            <w:r>
              <w:rPr>
                <w:rFonts w:ascii="Courier New" w:cs="Courier New" w:eastAsia="Courier New" w:hAnsi="Courier New"/>
                <w:sz w:val="15"/>
                <w:szCs w:val="15"/>
                <w:color w:val="auto"/>
              </w:rPr>
              <w:t>convenience stores with gas stations.</w:t>
            </w:r>
          </w:p>
        </w:tc>
        <w:tc>
          <w:tcPr>
            <w:tcW w:w="840" w:type="dxa"/>
            <w:vAlign w:val="bottom"/>
          </w:tcPr>
          <w:p>
            <w:pPr>
              <w:spacing w:after="0"/>
              <w:rPr>
                <w:sz w:val="14"/>
                <w:szCs w:val="14"/>
                <w:color w:val="auto"/>
              </w:rPr>
            </w:pPr>
          </w:p>
        </w:tc>
        <w:tc>
          <w:tcPr>
            <w:tcW w:w="1320" w:type="dxa"/>
            <w:vAlign w:val="bottom"/>
          </w:tcPr>
          <w:p>
            <w:pPr>
              <w:spacing w:after="0"/>
              <w:rPr>
                <w:sz w:val="14"/>
                <w:szCs w:val="14"/>
                <w:color w:val="auto"/>
              </w:rPr>
            </w:pPr>
          </w:p>
        </w:tc>
      </w:tr>
    </w:tbl>
    <w:p>
      <w:pPr>
        <w:spacing w:after="0" w:line="173" w:lineRule="exact"/>
        <w:rPr>
          <w:sz w:val="20"/>
          <w:szCs w:val="20"/>
          <w:color w:val="auto"/>
        </w:rPr>
      </w:pPr>
    </w:p>
    <w:p>
      <w:pPr>
        <w:ind w:left="180" w:hanging="170"/>
        <w:spacing w:after="0"/>
        <w:tabs>
          <w:tab w:leader="none" w:pos="18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307" w:lineRule="exact"/>
        <w:rPr>
          <w:rFonts w:ascii="Courier New" w:cs="Courier New" w:eastAsia="Courier New" w:hAnsi="Courier New"/>
          <w:sz w:val="14"/>
          <w:szCs w:val="14"/>
          <w:color w:val="auto"/>
        </w:rPr>
      </w:pPr>
    </w:p>
    <w:p>
      <w:pPr>
        <w:ind w:left="33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F-6</w:t>
      </w:r>
    </w:p>
    <w:p>
      <w:pPr>
        <w:sectPr>
          <w:pgSz w:w="11900" w:h="16838" w:orient="portrait"/>
          <w:cols w:equalWidth="0" w:num="1">
            <w:col w:w="10340"/>
          </w:cols>
          <w:pgMar w:left="220" w:top="1122" w:right="1339" w:bottom="1440" w:gutter="0" w:footer="0" w:header="0"/>
        </w:sectPr>
      </w:pPr>
    </w:p>
    <w:bookmarkStart w:id="169" w:name="page170"/>
    <w:bookmarkEnd w:id="169"/>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tabs>
          <w:tab w:leader="none" w:pos="3060" w:val="left"/>
          <w:tab w:leader="none" w:pos="4800" w:val="left"/>
        </w:tabs>
        <w:rPr>
          <w:sz w:val="20"/>
          <w:szCs w:val="20"/>
          <w:color w:val="auto"/>
        </w:rPr>
      </w:pPr>
      <w:r>
        <w:rPr>
          <w:rFonts w:ascii="Courier New" w:cs="Courier New" w:eastAsia="Courier New" w:hAnsi="Courier New"/>
          <w:sz w:val="15"/>
          <w:szCs w:val="15"/>
          <w:color w:val="auto"/>
        </w:rPr>
        <w:t>Subholding Company</w:t>
      </w:r>
      <w:r>
        <w:rPr>
          <w:sz w:val="20"/>
          <w:szCs w:val="20"/>
          <w:color w:val="auto"/>
        </w:rPr>
        <w:tab/>
      </w:r>
      <w:r>
        <w:rPr>
          <w:rFonts w:ascii="Courier New" w:cs="Courier New" w:eastAsia="Courier New" w:hAnsi="Courier New"/>
          <w:sz w:val="15"/>
          <w:szCs w:val="15"/>
          <w:color w:val="auto"/>
        </w:rPr>
        <w:t>% Ownership</w:t>
      </w:r>
      <w:r>
        <w:rPr>
          <w:sz w:val="20"/>
          <w:szCs w:val="20"/>
          <w:color w:val="auto"/>
        </w:rPr>
        <w:tab/>
      </w:r>
      <w:r>
        <w:rPr>
          <w:rFonts w:ascii="Courier New" w:cs="Courier New" w:eastAsia="Courier New" w:hAnsi="Courier New"/>
          <w:sz w:val="14"/>
          <w:szCs w:val="14"/>
          <w:color w:val="auto"/>
        </w:rPr>
        <w:t>Activities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80" w:type="dxa"/>
            <w:vAlign w:val="bottom"/>
          </w:tcPr>
          <w:p>
            <w:pPr>
              <w:spacing w:after="0"/>
              <w:rPr>
                <w:sz w:val="20"/>
                <w:szCs w:val="20"/>
                <w:color w:val="auto"/>
              </w:rPr>
            </w:pPr>
            <w:r>
              <w:rPr>
                <w:rFonts w:ascii="Courier New" w:cs="Courier New" w:eastAsia="Courier New" w:hAnsi="Courier New"/>
                <w:sz w:val="15"/>
                <w:szCs w:val="15"/>
                <w:color w:val="auto"/>
              </w:rPr>
              <w:t>Logistica-CCM,  S.A.  de C.V.  and</w:t>
            </w:r>
          </w:p>
        </w:tc>
        <w:tc>
          <w:tcPr>
            <w:tcW w:w="11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70.0%</w:t>
            </w:r>
          </w:p>
        </w:tc>
        <w:tc>
          <w:tcPr>
            <w:tcW w:w="5740" w:type="dxa"/>
            <w:vAlign w:val="bottom"/>
            <w:gridSpan w:val="3"/>
          </w:tcPr>
          <w:p>
            <w:pPr>
              <w:ind w:left="400"/>
              <w:spacing w:after="0"/>
              <w:rPr>
                <w:sz w:val="20"/>
                <w:szCs w:val="20"/>
                <w:color w:val="auto"/>
              </w:rPr>
            </w:pPr>
            <w:r>
              <w:rPr>
                <w:rFonts w:ascii="Courier New" w:cs="Courier New" w:eastAsia="Courier New" w:hAnsi="Courier New"/>
                <w:sz w:val="15"/>
                <w:szCs w:val="15"/>
                <w:color w:val="auto"/>
                <w:w w:val="96"/>
              </w:rPr>
              <w:t>Provide transportation, logistics and maintenance services to</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Subsidiaries</w:t>
            </w:r>
          </w:p>
        </w:tc>
        <w:tc>
          <w:tcPr>
            <w:tcW w:w="1140" w:type="dxa"/>
            <w:vAlign w:val="bottom"/>
          </w:tcPr>
          <w:p>
            <w:pPr>
              <w:spacing w:after="0"/>
              <w:rPr>
                <w:sz w:val="14"/>
                <w:szCs w:val="14"/>
                <w:color w:val="auto"/>
              </w:rPr>
            </w:pPr>
          </w:p>
        </w:tc>
        <w:tc>
          <w:tcPr>
            <w:tcW w:w="5740" w:type="dxa"/>
            <w:vAlign w:val="bottom"/>
            <w:gridSpan w:val="3"/>
          </w:tcPr>
          <w:p>
            <w:pPr>
              <w:ind w:left="400"/>
              <w:spacing w:after="0" w:line="168" w:lineRule="exact"/>
              <w:rPr>
                <w:sz w:val="20"/>
                <w:szCs w:val="20"/>
                <w:color w:val="auto"/>
              </w:rPr>
            </w:pPr>
            <w:r>
              <w:rPr>
                <w:rFonts w:ascii="Courier New" w:cs="Courier New" w:eastAsia="Courier New" w:hAnsi="Courier New"/>
                <w:sz w:val="15"/>
                <w:szCs w:val="15"/>
                <w:color w:val="auto"/>
              </w:rPr>
              <w:t>FEMSA Cerveza's subsidiaries.  Labatt and Stellamerica</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("Logistica-CCM")</w:t>
            </w:r>
          </w:p>
        </w:tc>
        <w:tc>
          <w:tcPr>
            <w:tcW w:w="1140" w:type="dxa"/>
            <w:vAlign w:val="bottom"/>
          </w:tcPr>
          <w:p>
            <w:pPr>
              <w:spacing w:after="0"/>
              <w:rPr>
                <w:sz w:val="14"/>
                <w:szCs w:val="14"/>
                <w:color w:val="auto"/>
              </w:rPr>
            </w:pPr>
          </w:p>
        </w:tc>
        <w:tc>
          <w:tcPr>
            <w:tcW w:w="14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w w:val="98"/>
              </w:rPr>
              <w:t>jointly own</w:t>
            </w:r>
          </w:p>
        </w:tc>
        <w:tc>
          <w:tcPr>
            <w:tcW w:w="43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30% of Logistica-CCM's capital stock.</w:t>
            </w:r>
          </w:p>
        </w:tc>
      </w:tr>
      <w:tr>
        <w:trPr>
          <w:trHeight w:val="505"/>
        </w:trPr>
        <w:tc>
          <w:tcPr>
            <w:tcW w:w="3280" w:type="dxa"/>
            <w:vAlign w:val="bottom"/>
          </w:tcPr>
          <w:p>
            <w:pPr>
              <w:spacing w:after="0"/>
              <w:rPr>
                <w:sz w:val="20"/>
                <w:szCs w:val="20"/>
                <w:color w:val="auto"/>
              </w:rPr>
            </w:pPr>
            <w:r>
              <w:rPr>
                <w:rFonts w:ascii="Courier New" w:cs="Courier New" w:eastAsia="Courier New" w:hAnsi="Courier New"/>
                <w:sz w:val="15"/>
                <w:szCs w:val="15"/>
                <w:color w:val="auto"/>
              </w:rPr>
              <w:t>FEMSA Logistica, S.A. de C.V.</w:t>
            </w:r>
          </w:p>
        </w:tc>
        <w:tc>
          <w:tcPr>
            <w:tcW w:w="11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99.9%</w:t>
            </w:r>
          </w:p>
        </w:tc>
        <w:tc>
          <w:tcPr>
            <w:tcW w:w="2580" w:type="dxa"/>
            <w:vAlign w:val="bottom"/>
            <w:gridSpan w:val="2"/>
          </w:tcPr>
          <w:p>
            <w:pPr>
              <w:ind w:left="400"/>
              <w:spacing w:after="0"/>
              <w:rPr>
                <w:sz w:val="20"/>
                <w:szCs w:val="20"/>
                <w:color w:val="auto"/>
              </w:rPr>
            </w:pPr>
            <w:r>
              <w:rPr>
                <w:rFonts w:ascii="Courier New" w:cs="Courier New" w:eastAsia="Courier New" w:hAnsi="Courier New"/>
                <w:sz w:val="15"/>
                <w:szCs w:val="15"/>
                <w:color w:val="auto"/>
                <w:w w:val="99"/>
              </w:rPr>
              <w:t>Provide  transportation,</w:t>
            </w:r>
          </w:p>
        </w:tc>
        <w:tc>
          <w:tcPr>
            <w:tcW w:w="3160" w:type="dxa"/>
            <w:vAlign w:val="bottom"/>
          </w:tcPr>
          <w:p>
            <w:pPr>
              <w:ind w:left="100"/>
              <w:spacing w:after="0"/>
              <w:rPr>
                <w:sz w:val="20"/>
                <w:szCs w:val="20"/>
                <w:color w:val="auto"/>
              </w:rPr>
            </w:pPr>
            <w:r>
              <w:rPr>
                <w:rFonts w:ascii="Courier New" w:cs="Courier New" w:eastAsia="Courier New" w:hAnsi="Courier New"/>
                <w:sz w:val="15"/>
                <w:szCs w:val="15"/>
                <w:color w:val="auto"/>
                <w:w w:val="99"/>
              </w:rPr>
              <w:t>logistics and maintenance services</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and Subsidiaries</w:t>
            </w:r>
          </w:p>
        </w:tc>
        <w:tc>
          <w:tcPr>
            <w:tcW w:w="1140" w:type="dxa"/>
            <w:vAlign w:val="bottom"/>
          </w:tcPr>
          <w:p>
            <w:pPr>
              <w:spacing w:after="0"/>
              <w:rPr>
                <w:sz w:val="14"/>
                <w:szCs w:val="14"/>
                <w:color w:val="auto"/>
              </w:rPr>
            </w:pPr>
          </w:p>
        </w:tc>
        <w:tc>
          <w:tcPr>
            <w:tcW w:w="14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to FEMSA's</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subsidiaries</w:t>
            </w:r>
          </w:p>
        </w:tc>
        <w:tc>
          <w:tcPr>
            <w:tcW w:w="3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other than those of FEMSA Cerveza,</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("FEMSA Logistica")</w:t>
            </w:r>
          </w:p>
        </w:tc>
        <w:tc>
          <w:tcPr>
            <w:tcW w:w="1140" w:type="dxa"/>
            <w:vAlign w:val="bottom"/>
          </w:tcPr>
          <w:p>
            <w:pPr>
              <w:spacing w:after="0"/>
              <w:rPr>
                <w:sz w:val="14"/>
                <w:szCs w:val="14"/>
                <w:color w:val="auto"/>
              </w:rPr>
            </w:pPr>
          </w:p>
        </w:tc>
        <w:tc>
          <w:tcPr>
            <w:tcW w:w="258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rPr>
              <w:t>and to third parties.</w:t>
            </w:r>
          </w:p>
        </w:tc>
        <w:tc>
          <w:tcPr>
            <w:tcW w:w="3160" w:type="dxa"/>
            <w:vAlign w:val="bottom"/>
          </w:tcPr>
          <w:p>
            <w:pPr>
              <w:spacing w:after="0"/>
              <w:rPr>
                <w:sz w:val="14"/>
                <w:szCs w:val="14"/>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14" w:lineRule="exact"/>
        <w:rPr>
          <w:sz w:val="20"/>
          <w:szCs w:val="20"/>
          <w:color w:val="auto"/>
        </w:rPr>
      </w:pPr>
    </w:p>
    <w:p>
      <w:pPr>
        <w:ind w:right="3340"/>
        <w:spacing w:after="0" w:line="235" w:lineRule="auto"/>
        <w:rPr>
          <w:sz w:val="20"/>
          <w:szCs w:val="20"/>
          <w:color w:val="auto"/>
        </w:rPr>
      </w:pPr>
      <w:r>
        <w:rPr>
          <w:rFonts w:ascii="Courier New" w:cs="Courier New" w:eastAsia="Courier New" w:hAnsi="Courier New"/>
          <w:sz w:val="15"/>
          <w:szCs w:val="15"/>
          <w:color w:val="auto"/>
        </w:rPr>
        <w:t>In general extraordinary stockholder meetings of FEMSA Cerveza and Logistica-CCM held on December 20, 2002, the merger of Logistica-CCM into FEMSA Cerveza was approved. The merger will become effective January 1, 2003.</w:t>
      </w:r>
    </w:p>
    <w:p>
      <w:pPr>
        <w:spacing w:after="0" w:line="174" w:lineRule="exact"/>
        <w:rPr>
          <w:sz w:val="20"/>
          <w:szCs w:val="20"/>
          <w:color w:val="auto"/>
        </w:rPr>
      </w:pPr>
    </w:p>
    <w:p>
      <w:pPr>
        <w:ind w:right="3340"/>
        <w:spacing w:after="0" w:line="236" w:lineRule="auto"/>
        <w:rPr>
          <w:sz w:val="20"/>
          <w:szCs w:val="20"/>
          <w:color w:val="auto"/>
        </w:rPr>
      </w:pPr>
      <w:r>
        <w:rPr>
          <w:rFonts w:ascii="Courier New" w:cs="Courier New" w:eastAsia="Courier New" w:hAnsi="Courier New"/>
          <w:sz w:val="15"/>
          <w:szCs w:val="15"/>
          <w:color w:val="auto"/>
        </w:rPr>
        <w:t>Oxxo Express, S.A. de C.V. ("Oxxo Express", previously Empresas Amoxxo, S.A. de C.V.) was a joint venture between Amoco Mexico Holding Company, a subsidiary of BP Amoco, p.l.c., and Desarrollo Comercial FEMSA, S.A. de C.V. ("DCF", a subsidiary of FEMSA), that operated 31 service centers consisting of convenience stores located at gas stations. On September 3, 2001, the joint venture agreement was terminated, resulting in DCF obtaining complete legal and operating control of 17 service centers of Oxxo Express. This transaction represented a reduction of FEMSA's minority interest of Ps. 335. On March 26, 2002, FEMSA Comercio acquired Oxxo Express from DCF, integrating the service centers with the chain of OXXO stores.</w:t>
      </w:r>
    </w:p>
    <w:p>
      <w:pPr>
        <w:spacing w:after="0" w:line="179" w:lineRule="exact"/>
        <w:rPr>
          <w:sz w:val="20"/>
          <w:szCs w:val="20"/>
          <w:color w:val="auto"/>
        </w:rPr>
      </w:pPr>
    </w:p>
    <w:p>
      <w:pPr>
        <w:ind w:right="3340"/>
        <w:spacing w:after="0" w:line="236" w:lineRule="auto"/>
        <w:rPr>
          <w:sz w:val="20"/>
          <w:szCs w:val="20"/>
          <w:color w:val="auto"/>
        </w:rPr>
      </w:pPr>
      <w:r>
        <w:rPr>
          <w:rFonts w:ascii="Courier New" w:cs="Courier New" w:eastAsia="Courier New" w:hAnsi="Courier New"/>
          <w:sz w:val="15"/>
          <w:szCs w:val="15"/>
          <w:color w:val="auto"/>
        </w:rPr>
        <w:t>On October 25, 2001, through an indirect subsidiary, FEMSA acquired Promotora de Marcas Nacionales, S.A. de C.V. ("Promotora de Marcas Nacionales"), whose principal asset is the Mundet trademark soft drinks. The cost of the acquisition was Ps. 167, primarily representing a trademark of Ps. 145, which is presented in other assets in the balance sheet and is being amortized on a straight-line basis over 20 years; additionally, concentrate production equipment was acquired for Ps. 22. FEMSA will continue operating the present Mundet franchises, and Coca-Cola FEMSA was designated to produce, distribute and market Mundet trademark soft drinks in its territories. The results of operations of the acquired company are included in the consolidated results of FEMSA since the acquisition date.</w:t>
      </w:r>
    </w:p>
    <w:p>
      <w:pPr>
        <w:spacing w:after="0" w:line="342"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Note 2.</w:t>
      </w:r>
      <w:r>
        <w:rPr>
          <w:sz w:val="20"/>
          <w:szCs w:val="20"/>
          <w:color w:val="auto"/>
        </w:rPr>
        <w:tab/>
      </w:r>
      <w:r>
        <w:rPr>
          <w:rFonts w:ascii="Courier New" w:cs="Courier New" w:eastAsia="Courier New" w:hAnsi="Courier New"/>
          <w:sz w:val="14"/>
          <w:szCs w:val="14"/>
          <w:color w:val="auto"/>
        </w:rPr>
        <w:t>Basis of Presentation.</w:t>
      </w:r>
    </w:p>
    <w:p>
      <w:pPr>
        <w:spacing w:after="0" w:line="173" w:lineRule="exact"/>
        <w:rPr>
          <w:sz w:val="20"/>
          <w:szCs w:val="20"/>
          <w:color w:val="auto"/>
        </w:rPr>
      </w:pPr>
    </w:p>
    <w:p>
      <w:pPr>
        <w:ind w:right="3420"/>
        <w:spacing w:after="0" w:line="256" w:lineRule="auto"/>
        <w:rPr>
          <w:sz w:val="20"/>
          <w:szCs w:val="20"/>
          <w:color w:val="auto"/>
        </w:rPr>
      </w:pPr>
      <w:r>
        <w:rPr>
          <w:rFonts w:ascii="Courier New" w:cs="Courier New" w:eastAsia="Courier New" w:hAnsi="Courier New"/>
          <w:sz w:val="14"/>
          <w:szCs w:val="14"/>
          <w:color w:val="auto"/>
        </w:rPr>
        <w:t>The consolidated financial statements of the Company are prepared in accordance with accounting principles generally accepted in Mexico ("Mexican GAAP"), which differ in certain significant respects from accounting principles generally accepted in the United States of America ("US GAAP"), as further explained in Note 24. A reconciliation from Mexican GAAP to US GAAP is included in Note 25.</w:t>
      </w:r>
    </w:p>
    <w:p>
      <w:pPr>
        <w:spacing w:after="0" w:line="163" w:lineRule="exact"/>
        <w:rPr>
          <w:sz w:val="20"/>
          <w:szCs w:val="20"/>
          <w:color w:val="auto"/>
        </w:rPr>
      </w:pPr>
    </w:p>
    <w:p>
      <w:pPr>
        <w:ind w:right="3340"/>
        <w:spacing w:after="0" w:line="236" w:lineRule="auto"/>
        <w:rPr>
          <w:sz w:val="20"/>
          <w:szCs w:val="20"/>
          <w:color w:val="auto"/>
        </w:rPr>
      </w:pPr>
      <w:r>
        <w:rPr>
          <w:rFonts w:ascii="Courier New" w:cs="Courier New" w:eastAsia="Courier New" w:hAnsi="Courier New"/>
          <w:sz w:val="15"/>
          <w:szCs w:val="15"/>
          <w:color w:val="auto"/>
        </w:rPr>
        <w:t>The consolidated financial statements are stated in millions of Mexican pesos ("Ps."). The translations of Mexican pesos into US dollars ("$") are included solely for the convenience of the reader, using the exchange rate as of December 31, 2002 of 10.459 Mexican pesos to one US dollar. Such convenience translations should not be construed as representations that the Mexican peso accounts have been, could have been, or could in the future be, converted into US dollars at this or any other exchange rate.</w:t>
      </w:r>
    </w:p>
    <w:p>
      <w:pPr>
        <w:spacing w:after="0" w:line="176" w:lineRule="exact"/>
        <w:rPr>
          <w:sz w:val="20"/>
          <w:szCs w:val="20"/>
          <w:color w:val="auto"/>
        </w:rPr>
      </w:pPr>
    </w:p>
    <w:p>
      <w:pPr>
        <w:jc w:val="both"/>
        <w:ind w:right="3340"/>
        <w:spacing w:after="0" w:line="256" w:lineRule="auto"/>
        <w:rPr>
          <w:sz w:val="20"/>
          <w:szCs w:val="20"/>
          <w:color w:val="auto"/>
        </w:rPr>
      </w:pPr>
      <w:r>
        <w:rPr>
          <w:rFonts w:ascii="Courier New" w:cs="Courier New" w:eastAsia="Courier New" w:hAnsi="Courier New"/>
          <w:sz w:val="14"/>
          <w:szCs w:val="14"/>
          <w:color w:val="auto"/>
        </w:rPr>
        <w:t>The consolidated financial statements include the financial statements of FEMSA and those of all companies in which it owns directly or indirectly a majority of the outstanding capital stock and/or exercises control. All intercompany account balances and transactions have been eliminated in such consolidation.</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10340"/>
          </w:cols>
          <w:pgMar w:left="220" w:top="1440" w:right="1339" w:bottom="1440" w:gutter="0" w:footer="0" w:header="0"/>
        </w:sectPr>
      </w:pPr>
    </w:p>
    <w:bookmarkStart w:id="170" w:name="page171"/>
    <w:bookmarkEnd w:id="170"/>
    <w:p>
      <w:pPr>
        <w:spacing w:after="0"/>
        <w:tabs>
          <w:tab w:leader="none" w:pos="960" w:val="left"/>
        </w:tabs>
        <w:rPr>
          <w:sz w:val="20"/>
          <w:szCs w:val="20"/>
          <w:color w:val="auto"/>
        </w:rPr>
      </w:pPr>
      <w:r>
        <w:rPr>
          <w:rFonts w:ascii="Courier New" w:cs="Courier New" w:eastAsia="Courier New" w:hAnsi="Courier New"/>
          <w:sz w:val="15"/>
          <w:szCs w:val="15"/>
          <w:color w:val="auto"/>
        </w:rPr>
        <w:t>Note 3.</w:t>
      </w:r>
      <w:r>
        <w:rPr>
          <w:sz w:val="20"/>
          <w:szCs w:val="20"/>
          <w:color w:val="auto"/>
        </w:rPr>
        <w:tab/>
      </w:r>
      <w:r>
        <w:rPr>
          <w:rFonts w:ascii="Courier New" w:cs="Courier New" w:eastAsia="Courier New" w:hAnsi="Courier New"/>
          <w:sz w:val="14"/>
          <w:szCs w:val="14"/>
          <w:color w:val="auto"/>
        </w:rPr>
        <w:t>Foreign Subsidiary Incorporation.</w:t>
      </w:r>
    </w:p>
    <w:p>
      <w:pPr>
        <w:spacing w:after="0" w:line="173" w:lineRule="exact"/>
        <w:rPr>
          <w:sz w:val="20"/>
          <w:szCs w:val="20"/>
          <w:color w:val="auto"/>
        </w:rPr>
      </w:pPr>
    </w:p>
    <w:p>
      <w:pPr>
        <w:ind w:right="4120"/>
        <w:spacing w:after="0" w:line="234" w:lineRule="auto"/>
        <w:rPr>
          <w:sz w:val="20"/>
          <w:szCs w:val="20"/>
          <w:color w:val="auto"/>
        </w:rPr>
      </w:pPr>
      <w:r>
        <w:rPr>
          <w:rFonts w:ascii="Courier New" w:cs="Courier New" w:eastAsia="Courier New" w:hAnsi="Courier New"/>
          <w:sz w:val="15"/>
          <w:szCs w:val="15"/>
          <w:color w:val="auto"/>
        </w:rPr>
        <w:t>The accounting records of the foreign subsidiaries are maintained in the currency of the country where they are located.</w:t>
      </w:r>
    </w:p>
    <w:p>
      <w:pPr>
        <w:spacing w:after="0" w:line="173" w:lineRule="exact"/>
        <w:rPr>
          <w:sz w:val="20"/>
          <w:szCs w:val="20"/>
          <w:color w:val="auto"/>
        </w:rPr>
      </w:pPr>
    </w:p>
    <w:p>
      <w:pPr>
        <w:ind w:right="3760"/>
        <w:spacing w:after="0" w:line="236" w:lineRule="auto"/>
        <w:rPr>
          <w:sz w:val="20"/>
          <w:szCs w:val="20"/>
          <w:color w:val="auto"/>
        </w:rPr>
      </w:pPr>
      <w:r>
        <w:rPr>
          <w:rFonts w:ascii="Courier New" w:cs="Courier New" w:eastAsia="Courier New" w:hAnsi="Courier New"/>
          <w:sz w:val="15"/>
          <w:szCs w:val="15"/>
          <w:color w:val="auto"/>
        </w:rPr>
        <w:t>The financial statements of the foreign subsidiaries are restated to the purchasing power of the local currency at the end of the year applying the inflation rate of the country of origin and are subsequently translated into Mexican pesos using the year-end exchange for their inclusion in the consolidated financial statements.</w:t>
      </w:r>
    </w:p>
    <w:p>
      <w:pPr>
        <w:spacing w:after="0" w:line="174" w:lineRule="exact"/>
        <w:rPr>
          <w:sz w:val="20"/>
          <w:szCs w:val="20"/>
          <w:color w:val="auto"/>
        </w:rPr>
      </w:pPr>
    </w:p>
    <w:p>
      <w:pPr>
        <w:ind w:right="3500"/>
        <w:spacing w:after="0" w:line="235" w:lineRule="auto"/>
        <w:rPr>
          <w:sz w:val="20"/>
          <w:szCs w:val="20"/>
          <w:color w:val="auto"/>
        </w:rPr>
      </w:pPr>
      <w:r>
        <w:rPr>
          <w:rFonts w:ascii="Courier New" w:cs="Courier New" w:eastAsia="Courier New" w:hAnsi="Courier New"/>
          <w:sz w:val="15"/>
          <w:szCs w:val="15"/>
          <w:color w:val="auto"/>
        </w:rPr>
        <w:t>The variation in a net investment in foreign subsidiaries generated by exchange rate fluctuations is included in the cumulative translation adjustment and is recorded directly in stockholders' equity.</w:t>
      </w:r>
    </w:p>
    <w:p>
      <w:pPr>
        <w:spacing w:after="0" w:line="174" w:lineRule="exact"/>
        <w:rPr>
          <w:sz w:val="20"/>
          <w:szCs w:val="20"/>
          <w:color w:val="auto"/>
        </w:rPr>
      </w:pPr>
    </w:p>
    <w:p>
      <w:pPr>
        <w:ind w:right="3500"/>
        <w:spacing w:after="0" w:line="236" w:lineRule="auto"/>
        <w:rPr>
          <w:sz w:val="20"/>
          <w:szCs w:val="20"/>
          <w:color w:val="auto"/>
        </w:rPr>
      </w:pPr>
      <w:r>
        <w:rPr>
          <w:rFonts w:ascii="Courier New" w:cs="Courier New" w:eastAsia="Courier New" w:hAnsi="Courier New"/>
          <w:sz w:val="15"/>
          <w:szCs w:val="15"/>
          <w:color w:val="auto"/>
        </w:rPr>
        <w:t>The foreign exchange gain or loss generated from the financing obtained to acquire foreign subsidiaries, net of the related tax effect, is included in the cumulative translation adjustment, to the extent the net investment in the foreign subsidiaries is considered to be an economic hedge of such debt. The foreign exchange gain or loss associated with any unhedged portion of such debt is recorded in the results of the year.</w:t>
      </w:r>
    </w:p>
    <w:p>
      <w:pPr>
        <w:spacing w:after="0" w:line="175" w:lineRule="exact"/>
        <w:rPr>
          <w:sz w:val="20"/>
          <w:szCs w:val="20"/>
          <w:color w:val="auto"/>
        </w:rPr>
      </w:pPr>
    </w:p>
    <w:p>
      <w:pPr>
        <w:ind w:right="3420"/>
        <w:spacing w:after="0" w:line="236" w:lineRule="auto"/>
        <w:rPr>
          <w:sz w:val="20"/>
          <w:szCs w:val="20"/>
          <w:color w:val="auto"/>
        </w:rPr>
      </w:pPr>
      <w:r>
        <w:rPr>
          <w:rFonts w:ascii="Courier New" w:cs="Courier New" w:eastAsia="Courier New" w:hAnsi="Courier New"/>
          <w:sz w:val="15"/>
          <w:szCs w:val="15"/>
          <w:color w:val="auto"/>
        </w:rPr>
        <w:t>The gain or loss on monetary position resulting from the hedged portion of the financing is computed using the inflation rate of the country in which the acquired subsidiary is located, because it is considered an integral part of the investment in such subsidiary, and is included in the integral result of financing.</w:t>
      </w:r>
    </w:p>
    <w:p>
      <w:pPr>
        <w:spacing w:after="0" w:line="174" w:lineRule="exact"/>
        <w:rPr>
          <w:sz w:val="20"/>
          <w:szCs w:val="20"/>
          <w:color w:val="auto"/>
        </w:rPr>
      </w:pPr>
    </w:p>
    <w:p>
      <w:pPr>
        <w:ind w:right="3500"/>
        <w:spacing w:after="0" w:line="256" w:lineRule="auto"/>
        <w:rPr>
          <w:sz w:val="20"/>
          <w:szCs w:val="20"/>
          <w:color w:val="auto"/>
        </w:rPr>
      </w:pPr>
      <w:r>
        <w:rPr>
          <w:rFonts w:ascii="Courier New" w:cs="Courier New" w:eastAsia="Courier New" w:hAnsi="Courier New"/>
          <w:sz w:val="14"/>
          <w:szCs w:val="14"/>
          <w:color w:val="auto"/>
        </w:rPr>
        <w:t>The goodwill resulting from the acquisition of foreign subsidiaries is maintained in the functional currency of the foreign subsidiary, since such investment will be recovered in such currency, and is restated applying the inflation factor of the country of origin and using the year-end exchange rate.</w:t>
      </w:r>
    </w:p>
    <w:p>
      <w:pPr>
        <w:spacing w:after="0" w:line="164" w:lineRule="exact"/>
        <w:rPr>
          <w:sz w:val="20"/>
          <w:szCs w:val="20"/>
          <w:color w:val="auto"/>
        </w:rPr>
      </w:pPr>
    </w:p>
    <w:p>
      <w:pPr>
        <w:ind w:right="3420"/>
        <w:spacing w:after="0" w:line="255" w:lineRule="auto"/>
        <w:rPr>
          <w:sz w:val="20"/>
          <w:szCs w:val="20"/>
          <w:color w:val="auto"/>
        </w:rPr>
      </w:pPr>
      <w:r>
        <w:rPr>
          <w:rFonts w:ascii="Courier New" w:cs="Courier New" w:eastAsia="Courier New" w:hAnsi="Courier New"/>
          <w:sz w:val="14"/>
          <w:szCs w:val="14"/>
          <w:color w:val="auto"/>
        </w:rPr>
        <w:t>In December 2001, the Argentine government adopted a series of economic measures, the most important of which consisted of restrictions on cash withdrawals and foreign exchange transactions. On January 6, 2002, the Argentine government published the Economic Emergency Law that will be in effect through December 10, 2003. This law grants powers to the government to establish the system that will determine the exchange rate of the Argentine peso with respect to foreign currencies and to establish foreign exchange regulations.</w:t>
      </w:r>
    </w:p>
    <w:p>
      <w:pPr>
        <w:spacing w:after="0" w:line="166" w:lineRule="exact"/>
        <w:rPr>
          <w:sz w:val="20"/>
          <w:szCs w:val="20"/>
          <w:color w:val="auto"/>
        </w:rPr>
      </w:pPr>
    </w:p>
    <w:p>
      <w:pPr>
        <w:ind w:right="3420"/>
        <w:spacing w:after="0" w:line="236" w:lineRule="auto"/>
        <w:rPr>
          <w:sz w:val="20"/>
          <w:szCs w:val="20"/>
          <w:color w:val="auto"/>
        </w:rPr>
      </w:pPr>
      <w:r>
        <w:rPr>
          <w:rFonts w:ascii="Courier New" w:cs="Courier New" w:eastAsia="Courier New" w:hAnsi="Courier New"/>
          <w:sz w:val="15"/>
          <w:szCs w:val="15"/>
          <w:color w:val="auto"/>
        </w:rPr>
        <w:t>Due to the instability of the Argentine economy and the devaluation of Argentine peso, the Company has recognized a loss in the value of its investment in Coca-Cola FEMSA de Buenos Aires, S.A. ("Coca-Cola FEMSA Buenos Aires"). As of December 31, 2002 and 2001, the losses accumulated in stockholders' equity generated by the Argentine peso devaluation amount to:</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8140"/>
        <w:spacing w:after="0"/>
        <w:tabs>
          <w:tab w:leader="none" w:pos="9780" w:val="left"/>
        </w:tabs>
        <w:rPr>
          <w:sz w:val="20"/>
          <w:szCs w:val="20"/>
          <w:color w:val="auto"/>
        </w:rPr>
      </w:pPr>
      <w:r>
        <w:rPr>
          <w:rFonts w:ascii="Courier New" w:cs="Courier New" w:eastAsia="Courier New" w:hAnsi="Courier New"/>
          <w:sz w:val="15"/>
          <w:szCs w:val="15"/>
          <w:color w:val="auto"/>
        </w:rPr>
        <w:t>2002</w:t>
      </w:r>
      <w:r>
        <w:rPr>
          <w:sz w:val="20"/>
          <w:szCs w:val="20"/>
          <w:color w:val="auto"/>
        </w:rPr>
        <w:tab/>
      </w:r>
      <w:r>
        <w:rPr>
          <w:rFonts w:ascii="Courier New" w:cs="Courier New" w:eastAsia="Courier New" w:hAnsi="Courier New"/>
          <w:sz w:val="15"/>
          <w:szCs w:val="15"/>
          <w:color w:val="auto"/>
        </w:rPr>
        <w:t>2001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w w:val="95"/>
              </w:rPr>
              <w:t>Stockholders'</w:t>
            </w:r>
          </w:p>
        </w:tc>
        <w:tc>
          <w:tcPr>
            <w:tcW w:w="3400" w:type="dxa"/>
            <w:vAlign w:val="bottom"/>
          </w:tcPr>
          <w:p>
            <w:pPr>
              <w:ind w:left="40"/>
              <w:spacing w:after="0"/>
              <w:rPr>
                <w:sz w:val="20"/>
                <w:szCs w:val="20"/>
                <w:color w:val="auto"/>
              </w:rPr>
            </w:pPr>
            <w:r>
              <w:rPr>
                <w:rFonts w:ascii="Courier New" w:cs="Courier New" w:eastAsia="Courier New" w:hAnsi="Courier New"/>
                <w:sz w:val="15"/>
                <w:szCs w:val="15"/>
                <w:color w:val="auto"/>
              </w:rPr>
              <w:t>equity:</w:t>
            </w:r>
          </w:p>
        </w:tc>
        <w:tc>
          <w:tcPr>
            <w:tcW w:w="3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Majority</w:t>
            </w:r>
          </w:p>
        </w:tc>
        <w:tc>
          <w:tcPr>
            <w:tcW w:w="3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interest</w:t>
            </w:r>
          </w:p>
        </w:tc>
        <w:tc>
          <w:tcPr>
            <w:tcW w:w="3280" w:type="dxa"/>
            <w:vAlign w:val="bottom"/>
          </w:tcPr>
          <w:p>
            <w:pPr>
              <w:ind w:left="2660"/>
              <w:spacing w:after="0" w:line="168" w:lineRule="exact"/>
              <w:rPr>
                <w:sz w:val="20"/>
                <w:szCs w:val="20"/>
                <w:color w:val="auto"/>
              </w:rPr>
            </w:pPr>
            <w:r>
              <w:rPr>
                <w:rFonts w:ascii="Courier New" w:cs="Courier New" w:eastAsia="Courier New" w:hAnsi="Courier New"/>
                <w:sz w:val="15"/>
                <w:szCs w:val="15"/>
                <w:color w:val="auto"/>
              </w:rPr>
              <w:t>Ps.</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785</w:t>
            </w:r>
          </w:p>
        </w:tc>
        <w:tc>
          <w:tcPr>
            <w:tcW w:w="8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Ps.</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454</w:t>
            </w:r>
          </w:p>
        </w:tc>
      </w:tr>
      <w:tr>
        <w:trPr>
          <w:trHeight w:val="168"/>
        </w:trPr>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Minority</w:t>
            </w:r>
          </w:p>
        </w:tc>
        <w:tc>
          <w:tcPr>
            <w:tcW w:w="3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interest</w:t>
            </w:r>
          </w:p>
        </w:tc>
        <w:tc>
          <w:tcPr>
            <w:tcW w:w="32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754</w:t>
            </w:r>
          </w:p>
        </w:tc>
        <w:tc>
          <w:tcPr>
            <w:tcW w:w="8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437</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7260"/>
        <w:spacing w:after="0"/>
        <w:tabs>
          <w:tab w:leader="none" w:pos="8040" w:val="left"/>
          <w:tab w:leader="none" w:pos="8920" w:val="left"/>
          <w:tab w:leader="none" w:pos="9880" w:val="left"/>
        </w:tabs>
        <w:rPr>
          <w:sz w:val="20"/>
          <w:szCs w:val="20"/>
          <w:color w:val="auto"/>
        </w:rPr>
      </w:pPr>
      <w:r>
        <w:rPr>
          <w:rFonts w:ascii="Courier New" w:cs="Courier New" w:eastAsia="Courier New" w:hAnsi="Courier New"/>
          <w:sz w:val="15"/>
          <w:szCs w:val="15"/>
          <w:color w:val="auto"/>
        </w:rPr>
        <w:t>Ps.</w:t>
      </w:r>
      <w:r>
        <w:rPr>
          <w:sz w:val="20"/>
          <w:szCs w:val="20"/>
          <w:color w:val="auto"/>
        </w:rPr>
        <w:tab/>
      </w:r>
      <w:r>
        <w:rPr>
          <w:rFonts w:ascii="Courier New" w:cs="Courier New" w:eastAsia="Courier New" w:hAnsi="Courier New"/>
          <w:sz w:val="15"/>
          <w:szCs w:val="15"/>
          <w:color w:val="auto"/>
        </w:rPr>
        <w:t>1,539</w:t>
      </w:r>
      <w:r>
        <w:rPr>
          <w:sz w:val="20"/>
          <w:szCs w:val="20"/>
          <w:color w:val="auto"/>
        </w:rPr>
        <w:tab/>
      </w:r>
      <w:r>
        <w:rPr>
          <w:rFonts w:ascii="Courier New" w:cs="Courier New" w:eastAsia="Courier New" w:hAnsi="Courier New"/>
          <w:sz w:val="15"/>
          <w:szCs w:val="15"/>
          <w:color w:val="auto"/>
        </w:rPr>
        <w:t>Ps.</w:t>
      </w:r>
      <w:r>
        <w:rPr>
          <w:sz w:val="20"/>
          <w:szCs w:val="20"/>
          <w:color w:val="auto"/>
        </w:rPr>
        <w:tab/>
      </w:r>
      <w:r>
        <w:rPr>
          <w:rFonts w:ascii="Courier New" w:cs="Courier New" w:eastAsia="Courier New" w:hAnsi="Courier New"/>
          <w:sz w:val="14"/>
          <w:szCs w:val="14"/>
          <w:color w:val="auto"/>
        </w:rPr>
        <w:t>891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6" w:lineRule="exact"/>
        <w:rPr>
          <w:sz w:val="20"/>
          <w:szCs w:val="20"/>
          <w:color w:val="auto"/>
        </w:rPr>
      </w:pPr>
    </w:p>
    <w:p>
      <w:pPr>
        <w:ind w:right="3580"/>
        <w:spacing w:after="0" w:line="236" w:lineRule="auto"/>
        <w:rPr>
          <w:sz w:val="20"/>
          <w:szCs w:val="20"/>
          <w:color w:val="auto"/>
        </w:rPr>
      </w:pPr>
      <w:r>
        <w:rPr>
          <w:rFonts w:ascii="Courier New" w:cs="Courier New" w:eastAsia="Courier New" w:hAnsi="Courier New"/>
          <w:sz w:val="15"/>
          <w:szCs w:val="15"/>
          <w:color w:val="auto"/>
        </w:rPr>
        <w:t>As a result of the continuing difficult economic situation in Argentina, the uncertainty with respect to the period of recovery, and the instability of the exchange rate, on July 1, 2002, the Company determined the value of Coca-Cola FEMSA Buenos Aires based on price market value multiples of comparable businesses resulting in the recognition of an impairment of goodwill generated by the acquisition of Ps. 402, which was recorded in other expenses in the results of the year.</w:t>
      </w:r>
    </w:p>
    <w:p>
      <w:pPr>
        <w:spacing w:after="0" w:line="344" w:lineRule="exact"/>
        <w:rPr>
          <w:sz w:val="20"/>
          <w:szCs w:val="20"/>
          <w:color w:val="auto"/>
        </w:rPr>
      </w:pPr>
    </w:p>
    <w:p>
      <w:pPr>
        <w:ind w:right="3500"/>
        <w:spacing w:after="0" w:line="235" w:lineRule="auto"/>
        <w:rPr>
          <w:sz w:val="20"/>
          <w:szCs w:val="20"/>
          <w:color w:val="auto"/>
        </w:rPr>
      </w:pPr>
      <w:r>
        <w:rPr>
          <w:rFonts w:ascii="Courier New" w:cs="Courier New" w:eastAsia="Courier New" w:hAnsi="Courier New"/>
          <w:sz w:val="15"/>
          <w:szCs w:val="15"/>
          <w:color w:val="auto"/>
        </w:rPr>
        <w:t>As a result, the net investment in Coca-Cola FEMSA Buenos Aires is no longer considered to be an economic hedge of the liabilities denominated in US dollars incurred to acquire Coca-Cola FEMSA Buenos Aires.</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420"/>
          </w:cols>
          <w:pgMar w:left="220" w:top="785" w:right="1259" w:bottom="1440" w:gutter="0" w:footer="0" w:header="0"/>
        </w:sectPr>
      </w:pPr>
    </w:p>
    <w:bookmarkStart w:id="171" w:name="page172"/>
    <w:bookmarkEnd w:id="171"/>
    <w:p>
      <w:pPr>
        <w:spacing w:after="0"/>
        <w:tabs>
          <w:tab w:leader="none" w:pos="960" w:val="left"/>
        </w:tabs>
        <w:rPr>
          <w:sz w:val="20"/>
          <w:szCs w:val="20"/>
          <w:color w:val="auto"/>
        </w:rPr>
      </w:pPr>
      <w:r>
        <w:rPr>
          <w:rFonts w:ascii="Courier New" w:cs="Courier New" w:eastAsia="Courier New" w:hAnsi="Courier New"/>
          <w:sz w:val="15"/>
          <w:szCs w:val="15"/>
          <w:color w:val="auto"/>
        </w:rPr>
        <w:t>Note 4.</w:t>
      </w:r>
      <w:r>
        <w:rPr>
          <w:sz w:val="20"/>
          <w:szCs w:val="20"/>
          <w:color w:val="auto"/>
        </w:rPr>
        <w:tab/>
      </w:r>
      <w:r>
        <w:rPr>
          <w:rFonts w:ascii="Courier New" w:cs="Courier New" w:eastAsia="Courier New" w:hAnsi="Courier New"/>
          <w:sz w:val="14"/>
          <w:szCs w:val="14"/>
          <w:color w:val="auto"/>
        </w:rPr>
        <w:t>Significant Accounting Policies.</w:t>
      </w:r>
    </w:p>
    <w:p>
      <w:pPr>
        <w:spacing w:after="0" w:line="173"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The Company's accounting policies are in accordance with Mexican GAAP, which require that the Company's management make certain estimates and use certain assumptions to determine the valuation of various items included in the consolidated financial statements. The Company's management believes that the estimates and assumptions used were appropriate as of the date of these consolidated financial statements.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significant accounting policies are as follows:</w:t>
      </w:r>
    </w:p>
    <w:p>
      <w:pPr>
        <w:spacing w:after="0" w:line="166" w:lineRule="exact"/>
        <w:rPr>
          <w:sz w:val="20"/>
          <w:szCs w:val="20"/>
          <w:color w:val="auto"/>
        </w:rPr>
      </w:pPr>
    </w:p>
    <w:p>
      <w:pPr>
        <w:ind w:left="440" w:hanging="430"/>
        <w:spacing w:after="0"/>
        <w:tabs>
          <w:tab w:leader="none" w:pos="440"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Recognition of the Effects of Inflation:</w:t>
      </w:r>
    </w:p>
    <w:p>
      <w:pPr>
        <w:spacing w:after="0" w:line="4" w:lineRule="exact"/>
        <w:rPr>
          <w:rFonts w:ascii="Courier New" w:cs="Courier New" w:eastAsia="Courier New" w:hAnsi="Courier New"/>
          <w:sz w:val="15"/>
          <w:szCs w:val="15"/>
          <w:color w:val="auto"/>
        </w:rPr>
      </w:pPr>
    </w:p>
    <w:p>
      <w:pPr>
        <w:ind w:left="440" w:right="349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recognition of the effects of inflation in the financial information consists of:</w:t>
      </w:r>
    </w:p>
    <w:p>
      <w:pPr>
        <w:spacing w:after="0" w:line="173" w:lineRule="exact"/>
        <w:rPr>
          <w:rFonts w:ascii="Courier New" w:cs="Courier New" w:eastAsia="Courier New" w:hAnsi="Courier New"/>
          <w:sz w:val="15"/>
          <w:szCs w:val="15"/>
          <w:color w:val="auto"/>
        </w:rPr>
      </w:pPr>
    </w:p>
    <w:p>
      <w:pPr>
        <w:ind w:left="880" w:right="3319" w:hanging="433"/>
        <w:spacing w:after="0" w:line="235" w:lineRule="auto"/>
        <w:tabs>
          <w:tab w:leader="none" w:pos="880" w:val="left"/>
        </w:tabs>
        <w:numPr>
          <w:ilvl w:val="1"/>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Restating non-monetary assets such as inventories and fixed assets, including related costs and expenses when such assets are consumed or depreciated.</w:t>
      </w:r>
    </w:p>
    <w:p>
      <w:pPr>
        <w:spacing w:after="0" w:line="173" w:lineRule="exact"/>
        <w:rPr>
          <w:rFonts w:ascii="Courier New" w:cs="Courier New" w:eastAsia="Courier New" w:hAnsi="Courier New"/>
          <w:sz w:val="15"/>
          <w:szCs w:val="15"/>
          <w:color w:val="auto"/>
        </w:rPr>
      </w:pPr>
    </w:p>
    <w:p>
      <w:pPr>
        <w:ind w:left="880" w:right="3319" w:hanging="433"/>
        <w:spacing w:after="0" w:line="236" w:lineRule="auto"/>
        <w:tabs>
          <w:tab w:leader="none" w:pos="880" w:val="left"/>
        </w:tabs>
        <w:numPr>
          <w:ilvl w:val="1"/>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Restating capital stock, additional paid-in capital and retained earnings by the amount necessary to maintain the purchasing power equivalent in Mexican pesos on the dates such capital was contributed or income generated, through the use of factors derived from the National Consumer Price Index ("NCPI").</w:t>
      </w:r>
    </w:p>
    <w:p>
      <w:pPr>
        <w:spacing w:after="0" w:line="173" w:lineRule="exact"/>
        <w:rPr>
          <w:rFonts w:ascii="Courier New" w:cs="Courier New" w:eastAsia="Courier New" w:hAnsi="Courier New"/>
          <w:sz w:val="15"/>
          <w:szCs w:val="15"/>
          <w:color w:val="auto"/>
        </w:rPr>
      </w:pPr>
    </w:p>
    <w:p>
      <w:pPr>
        <w:ind w:left="880" w:right="3239" w:hanging="433"/>
        <w:spacing w:after="0" w:line="235" w:lineRule="auto"/>
        <w:tabs>
          <w:tab w:leader="none" w:pos="880" w:val="left"/>
        </w:tabs>
        <w:numPr>
          <w:ilvl w:val="1"/>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Including in stockholders' equity the cumulative effect of holding non-monetary assets, which is the net difference between changes in the replacement cost of non-monetary assets and adjustments based upon NCPI factors.</w:t>
      </w:r>
    </w:p>
    <w:p>
      <w:pPr>
        <w:spacing w:after="0" w:line="175" w:lineRule="exact"/>
        <w:rPr>
          <w:rFonts w:ascii="Courier New" w:cs="Courier New" w:eastAsia="Courier New" w:hAnsi="Courier New"/>
          <w:sz w:val="15"/>
          <w:szCs w:val="15"/>
          <w:color w:val="auto"/>
        </w:rPr>
      </w:pPr>
    </w:p>
    <w:p>
      <w:pPr>
        <w:ind w:left="880" w:right="3399" w:hanging="433"/>
        <w:spacing w:after="0" w:line="234" w:lineRule="auto"/>
        <w:tabs>
          <w:tab w:leader="none" w:pos="880" w:val="left"/>
        </w:tabs>
        <w:numPr>
          <w:ilvl w:val="1"/>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Including in the cost of financing the purchasing power gain or loss from holding monetary items.</w:t>
      </w:r>
    </w:p>
    <w:p>
      <w:pPr>
        <w:spacing w:after="0" w:line="173" w:lineRule="exact"/>
        <w:rPr>
          <w:sz w:val="20"/>
          <w:szCs w:val="20"/>
          <w:color w:val="auto"/>
        </w:rPr>
      </w:pPr>
    </w:p>
    <w:p>
      <w:pPr>
        <w:ind w:left="440" w:right="3319"/>
        <w:spacing w:after="0" w:line="256" w:lineRule="auto"/>
        <w:rPr>
          <w:sz w:val="20"/>
          <w:szCs w:val="20"/>
          <w:color w:val="auto"/>
        </w:rPr>
      </w:pPr>
      <w:r>
        <w:rPr>
          <w:rFonts w:ascii="Courier New" w:cs="Courier New" w:eastAsia="Courier New" w:hAnsi="Courier New"/>
          <w:sz w:val="14"/>
          <w:szCs w:val="14"/>
          <w:color w:val="auto"/>
        </w:rPr>
        <w:t>The Company restates its consolidated financial statements in terms of the purchasing power of the Mexican peso as of the most recent balance sheet date by using NCPI factors for Mexican subsidiaries, and by using for foreign subsidiaries the inflation rate plus the latest year-end exchange rate of the country in which the foreign subsidiary is located.</w:t>
      </w:r>
    </w:p>
    <w:p>
      <w:pPr>
        <w:spacing w:after="0" w:line="163" w:lineRule="exact"/>
        <w:rPr>
          <w:sz w:val="20"/>
          <w:szCs w:val="20"/>
          <w:color w:val="auto"/>
        </w:rPr>
      </w:pPr>
    </w:p>
    <w:p>
      <w:pPr>
        <w:ind w:left="440" w:right="3239"/>
        <w:spacing w:after="0" w:line="235" w:lineRule="auto"/>
        <w:rPr>
          <w:sz w:val="20"/>
          <w:szCs w:val="20"/>
          <w:color w:val="auto"/>
        </w:rPr>
      </w:pPr>
      <w:r>
        <w:rPr>
          <w:rFonts w:ascii="Courier New" w:cs="Courier New" w:eastAsia="Courier New" w:hAnsi="Courier New"/>
          <w:sz w:val="15"/>
          <w:szCs w:val="15"/>
          <w:color w:val="auto"/>
        </w:rPr>
        <w:t>The Company restates its income statement using NCPI factors determined from the month in which the transaction occurred to the most recent balance sheet date.</w:t>
      </w:r>
    </w:p>
    <w:p>
      <w:pPr>
        <w:spacing w:after="0" w:line="174" w:lineRule="exact"/>
        <w:rPr>
          <w:sz w:val="20"/>
          <w:szCs w:val="20"/>
          <w:color w:val="auto"/>
        </w:rPr>
      </w:pPr>
    </w:p>
    <w:p>
      <w:pPr>
        <w:ind w:left="440" w:right="3239"/>
        <w:spacing w:after="0" w:line="236" w:lineRule="auto"/>
        <w:rPr>
          <w:sz w:val="20"/>
          <w:szCs w:val="20"/>
          <w:color w:val="auto"/>
        </w:rPr>
      </w:pPr>
      <w:r>
        <w:rPr>
          <w:rFonts w:ascii="Courier New" w:cs="Courier New" w:eastAsia="Courier New" w:hAnsi="Courier New"/>
          <w:sz w:val="15"/>
          <w:szCs w:val="15"/>
          <w:color w:val="auto"/>
        </w:rPr>
        <w:t>Financial information for the Mexican subsidiaries for prior years was restated using NCPI factors. Financial information for foreign subsidiaries and affiliated companies included in the consolidated financial statements was restated using the inflation rate of the country in which the foreign subsidiary or affiliated company is located and then translated at the year-end exchange rate of the Mexican peso. Accordingly, the amounts are comparable with each other and with the preceding years since all are expressed in the purchasing power of the respective currencies as of the end of the latest years presented.</w:t>
      </w:r>
    </w:p>
    <w:p>
      <w:pPr>
        <w:spacing w:after="0" w:line="172" w:lineRule="exact"/>
        <w:rPr>
          <w:sz w:val="20"/>
          <w:szCs w:val="20"/>
          <w:color w:val="auto"/>
        </w:rPr>
      </w:pPr>
    </w:p>
    <w:p>
      <w:pPr>
        <w:ind w:left="440" w:hanging="430"/>
        <w:spacing w:after="0"/>
        <w:tabs>
          <w:tab w:leader="none" w:pos="44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and Cash Equivalents:</w:t>
      </w:r>
    </w:p>
    <w:p>
      <w:pPr>
        <w:spacing w:after="0" w:line="4" w:lineRule="exact"/>
        <w:rPr>
          <w:rFonts w:ascii="Courier New" w:cs="Courier New" w:eastAsia="Courier New" w:hAnsi="Courier New"/>
          <w:sz w:val="15"/>
          <w:szCs w:val="15"/>
          <w:color w:val="auto"/>
        </w:rPr>
      </w:pPr>
    </w:p>
    <w:p>
      <w:pPr>
        <w:ind w:left="440" w:right="331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Cash consists of non-interest bearing bank deposits. Cash equivalents consist principally of short-term bank deposits and fixed-rate investments with brokerage houses valued at the quoted market prices.</w:t>
      </w:r>
    </w:p>
    <w:p>
      <w:pPr>
        <w:spacing w:after="0" w:line="167"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Inventories and Cost of Sales:</w:t>
      </w:r>
    </w:p>
    <w:p>
      <w:pPr>
        <w:spacing w:after="0" w:line="4" w:lineRule="exact"/>
        <w:rPr>
          <w:rFonts w:ascii="Courier New" w:cs="Courier New" w:eastAsia="Courier New" w:hAnsi="Courier New"/>
          <w:sz w:val="15"/>
          <w:szCs w:val="15"/>
          <w:color w:val="auto"/>
        </w:rPr>
      </w:pPr>
    </w:p>
    <w:p>
      <w:pPr>
        <w:ind w:left="4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value of inventories is adjusted to replacement cost, without exceeding market value. Cost of sales is determined based on replacement cost at the time of sale. Advances to suppliers to purchase raw materials and spare parts are included in the inventory account and are restated by applying NCPI factors, considering their average age.</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F-9</w:t>
      </w:r>
    </w:p>
    <w:p>
      <w:pPr>
        <w:sectPr>
          <w:pgSz w:w="11900" w:h="16838" w:orient="portrait"/>
          <w:cols w:equalWidth="0" w:num="1">
            <w:col w:w="10239"/>
          </w:cols>
          <w:pgMar w:left="220" w:top="617" w:right="1440" w:bottom="1440" w:gutter="0" w:footer="0" w:header="0"/>
        </w:sectPr>
      </w:pPr>
    </w:p>
    <w:bookmarkStart w:id="172" w:name="page173"/>
    <w:bookmarkEnd w:id="172"/>
    <w:p>
      <w:pPr>
        <w:ind w:left="430" w:hanging="430"/>
        <w:spacing w:after="0"/>
        <w:tabs>
          <w:tab w:leader="none" w:pos="43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Prepaid Expenses:</w:t>
      </w:r>
    </w:p>
    <w:p>
      <w:pPr>
        <w:spacing w:after="0" w:line="4" w:lineRule="exact"/>
        <w:rPr>
          <w:rFonts w:ascii="Courier New" w:cs="Courier New" w:eastAsia="Courier New" w:hAnsi="Courier New"/>
          <w:sz w:val="15"/>
          <w:szCs w:val="15"/>
          <w:color w:val="auto"/>
        </w:rPr>
      </w:pPr>
    </w:p>
    <w:p>
      <w:pPr>
        <w:ind w:left="43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These represent payments for services that will be received over the next 12 months. Prepaid expenses are recorded at historical cost and recognized in the income statement of the month in which the services or benefits are received. Prepaid expenses are principally represented by advertising, leasing and promotional expenses.</w:t>
      </w:r>
    </w:p>
    <w:p>
      <w:pPr>
        <w:spacing w:after="0" w:line="173" w:lineRule="exact"/>
        <w:rPr>
          <w:rFonts w:ascii="Courier New" w:cs="Courier New" w:eastAsia="Courier New" w:hAnsi="Courier New"/>
          <w:sz w:val="15"/>
          <w:szCs w:val="15"/>
          <w:color w:val="auto"/>
        </w:rPr>
      </w:pPr>
    </w:p>
    <w:p>
      <w:pPr>
        <w:ind w:left="43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Advertising costs consist of television and radio advertising airtime paid in advance, which are generally amortized over a 12-month period based on the transmission of the television and radio spots. The related production costs are recognized in the results of operations the first time the advertising takes place.</w:t>
      </w:r>
    </w:p>
    <w:p>
      <w:pPr>
        <w:spacing w:after="0" w:line="173" w:lineRule="exact"/>
        <w:rPr>
          <w:rFonts w:ascii="Courier New" w:cs="Courier New" w:eastAsia="Courier New" w:hAnsi="Courier New"/>
          <w:sz w:val="15"/>
          <w:szCs w:val="15"/>
          <w:color w:val="auto"/>
        </w:rPr>
      </w:pPr>
    </w:p>
    <w:p>
      <w:pPr>
        <w:ind w:left="430" w:right="331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Promotional costs are expensed as incurred, except for those promotional costs related to the launching of new products or presentations. Those costs are recorded as prepaid expenses and amortized over the year, during which they are estimated to increase sales of the related products or presentations to normal operating levels, which is generally one year.</w:t>
      </w:r>
    </w:p>
    <w:p>
      <w:pPr>
        <w:spacing w:after="0" w:line="156" w:lineRule="exact"/>
        <w:rPr>
          <w:rFonts w:ascii="Courier New" w:cs="Courier New" w:eastAsia="Courier New" w:hAnsi="Courier New"/>
          <w:sz w:val="15"/>
          <w:szCs w:val="15"/>
          <w:color w:val="auto"/>
        </w:rPr>
      </w:pPr>
    </w:p>
    <w:p>
      <w:pPr>
        <w:ind w:left="430" w:hanging="430"/>
        <w:spacing w:after="0"/>
        <w:tabs>
          <w:tab w:leader="none" w:pos="43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Bottles and Cases:</w:t>
      </w:r>
    </w:p>
    <w:p>
      <w:pPr>
        <w:spacing w:after="0" w:line="4" w:lineRule="exact"/>
        <w:rPr>
          <w:rFonts w:ascii="Courier New" w:cs="Courier New" w:eastAsia="Courier New" w:hAnsi="Courier New"/>
          <w:sz w:val="15"/>
          <w:szCs w:val="15"/>
          <w:color w:val="auto"/>
        </w:rPr>
      </w:pPr>
    </w:p>
    <w:p>
      <w:pPr>
        <w:ind w:left="430" w:right="349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Bottles and cases are recorded at acquisition cost and restated to their replacement cost.</w:t>
      </w:r>
    </w:p>
    <w:p>
      <w:pPr>
        <w:spacing w:after="0" w:line="173" w:lineRule="exact"/>
        <w:rPr>
          <w:rFonts w:ascii="Courier New" w:cs="Courier New" w:eastAsia="Courier New" w:hAnsi="Courier New"/>
          <w:sz w:val="15"/>
          <w:szCs w:val="15"/>
          <w:color w:val="auto"/>
        </w:rPr>
      </w:pPr>
    </w:p>
    <w:p>
      <w:pPr>
        <w:ind w:left="43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FEMSA Cerveza includes bottles and cases in inventories. Breakage is charged to expense as incurred. For the years ended December 31, 2002, 2001 and 2000, breakage expense amounted to Ps. 22, Ps. 41 and Ps. 34, respectively.</w:t>
      </w:r>
    </w:p>
    <w:p>
      <w:pPr>
        <w:spacing w:after="0" w:line="175" w:lineRule="exact"/>
        <w:rPr>
          <w:rFonts w:ascii="Courier New" w:cs="Courier New" w:eastAsia="Courier New" w:hAnsi="Courier New"/>
          <w:sz w:val="15"/>
          <w:szCs w:val="15"/>
          <w:color w:val="auto"/>
        </w:rPr>
      </w:pPr>
    </w:p>
    <w:p>
      <w:pPr>
        <w:ind w:left="430" w:right="331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Coca-Cola FEMSA includes bottles and cases in property, plant and equipment. For financial reporting purposes, breakage is recorded as an expense as it is incurred. Depreciation is computed only for tax purposes using the straight-line method at a rate of 10% per year. The Company estimates that breakage expense is similar to the depreciation calculated on an estimated useful life of approximately four years for returnable glass bottles, four years for returnable cases and one year for returnable plastic bottles. For the years ended December 31, 2002, 2001 and 2000, breakage expense amounted to Ps. 192, Ps. 199 and Ps. 279, respectively. Bottles and cases in circulation, which have been placed in the hands of customers, are presented net of deposits received from customers, and the difference between the cost of these assets and the deposits received is amortized according to their useful lives.</w:t>
      </w:r>
    </w:p>
    <w:p>
      <w:pPr>
        <w:spacing w:after="0" w:line="326" w:lineRule="exact"/>
        <w:rPr>
          <w:rFonts w:ascii="Courier New" w:cs="Courier New" w:eastAsia="Courier New" w:hAnsi="Courier New"/>
          <w:sz w:val="15"/>
          <w:szCs w:val="15"/>
          <w:color w:val="auto"/>
        </w:rPr>
      </w:pPr>
    </w:p>
    <w:p>
      <w:pPr>
        <w:ind w:left="430" w:hanging="430"/>
        <w:spacing w:after="0"/>
        <w:tabs>
          <w:tab w:leader="none" w:pos="43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in Shares:</w:t>
      </w:r>
    </w:p>
    <w:p>
      <w:pPr>
        <w:spacing w:after="0" w:line="4" w:lineRule="exact"/>
        <w:rPr>
          <w:rFonts w:ascii="Courier New" w:cs="Courier New" w:eastAsia="Courier New" w:hAnsi="Courier New"/>
          <w:sz w:val="15"/>
          <w:szCs w:val="15"/>
          <w:color w:val="auto"/>
        </w:rPr>
      </w:pPr>
    </w:p>
    <w:p>
      <w:pPr>
        <w:ind w:left="43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investments in shares of affiliated companies are initially recorded at their acquisition cost and subsequently valued using the equity method. Investments in affiliated companies in which the Company does not have significant influence are recorded at cost and restated based upon NCPI factors.</w:t>
      </w:r>
    </w:p>
    <w:p>
      <w:pPr>
        <w:spacing w:after="0" w:line="167" w:lineRule="exact"/>
        <w:rPr>
          <w:rFonts w:ascii="Courier New" w:cs="Courier New" w:eastAsia="Courier New" w:hAnsi="Courier New"/>
          <w:sz w:val="15"/>
          <w:szCs w:val="15"/>
          <w:color w:val="auto"/>
        </w:rPr>
      </w:pPr>
    </w:p>
    <w:p>
      <w:pPr>
        <w:ind w:left="430" w:hanging="430"/>
        <w:spacing w:after="0"/>
        <w:tabs>
          <w:tab w:leader="none" w:pos="43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Plant and Equipment:</w:t>
      </w:r>
    </w:p>
    <w:p>
      <w:pPr>
        <w:spacing w:after="0" w:line="4" w:lineRule="exact"/>
        <w:rPr>
          <w:rFonts w:ascii="Courier New" w:cs="Courier New" w:eastAsia="Courier New" w:hAnsi="Courier New"/>
          <w:sz w:val="15"/>
          <w:szCs w:val="15"/>
          <w:color w:val="auto"/>
        </w:rPr>
      </w:pPr>
    </w:p>
    <w:p>
      <w:pPr>
        <w:ind w:left="43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These assets are initially recorded at their cost of acquisition and/or construction. Property, plant and equipment of domestic origin, except bottles and cases of Coca-Cola FEMSA (see Note 4 e), are restated by applying NCPI factors. Imported equipment is restated by applying the inflation rate of the country of origin and then translated at the year-end exchange rate.</w:t>
      </w:r>
    </w:p>
    <w:p>
      <w:pPr>
        <w:spacing w:after="0" w:line="174" w:lineRule="exact"/>
        <w:rPr>
          <w:rFonts w:ascii="Courier New" w:cs="Courier New" w:eastAsia="Courier New" w:hAnsi="Courier New"/>
          <w:sz w:val="15"/>
          <w:szCs w:val="15"/>
          <w:color w:val="auto"/>
        </w:rPr>
      </w:pPr>
    </w:p>
    <w:p>
      <w:pPr>
        <w:ind w:left="43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Depreciation of property, plant and equipment is computed using the straight-line method, based on the value of the restated assets reduced by their residual values. Depreciation rates are determined by the Company together with independent appraisers, considering the estimated remaining useful lives of the assets.</w:t>
      </w:r>
    </w:p>
    <w:p>
      <w:pPr>
        <w:spacing w:after="0" w:line="167" w:lineRule="exact"/>
        <w:rPr>
          <w:sz w:val="20"/>
          <w:szCs w:val="20"/>
          <w:color w:val="auto"/>
        </w:rPr>
      </w:pPr>
    </w:p>
    <w:p>
      <w:pPr>
        <w:ind w:left="350"/>
        <w:spacing w:after="0"/>
        <w:rPr>
          <w:sz w:val="20"/>
          <w:szCs w:val="20"/>
          <w:color w:val="auto"/>
        </w:rPr>
      </w:pPr>
      <w:r>
        <w:rPr>
          <w:rFonts w:ascii="Courier New" w:cs="Courier New" w:eastAsia="Courier New" w:hAnsi="Courier New"/>
          <w:sz w:val="15"/>
          <w:szCs w:val="15"/>
          <w:color w:val="auto"/>
        </w:rPr>
        <w:t>The annual average depreciation rates of the assets are as follows: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5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tbl>
      <w:tblPr>
        <w:tblLayout w:type="fixed"/>
        <w:tblInd w:w="430" w:type="dxa"/>
        <w:tblCellMar>
          <w:top w:w="0" w:type="dxa"/>
          <w:left w:w="0" w:type="dxa"/>
          <w:bottom w:w="0" w:type="dxa"/>
          <w:right w:w="0" w:type="dxa"/>
        </w:tblCellMar>
      </w:tblPr>
      <w:tr>
        <w:trPr>
          <w:trHeight w:val="170"/>
        </w:trPr>
        <w:tc>
          <w:tcPr>
            <w:tcW w:w="5740" w:type="dxa"/>
            <w:vAlign w:val="bottom"/>
          </w:tcPr>
          <w:p>
            <w:pPr>
              <w:spacing w:after="0"/>
              <w:rPr>
                <w:sz w:val="20"/>
                <w:szCs w:val="20"/>
                <w:color w:val="auto"/>
              </w:rPr>
            </w:pPr>
            <w:r>
              <w:rPr>
                <w:rFonts w:ascii="Courier New" w:cs="Courier New" w:eastAsia="Courier New" w:hAnsi="Courier New"/>
                <w:sz w:val="15"/>
                <w:szCs w:val="15"/>
                <w:color w:val="auto"/>
              </w:rPr>
              <w:t>Buildings and construction</w:t>
            </w:r>
          </w:p>
        </w:tc>
        <w:tc>
          <w:tcPr>
            <w:tcW w:w="3880" w:type="dxa"/>
            <w:vAlign w:val="bottom"/>
          </w:tcPr>
          <w:p>
            <w:pPr>
              <w:jc w:val="right"/>
              <w:spacing w:after="0"/>
              <w:rPr>
                <w:sz w:val="20"/>
                <w:szCs w:val="20"/>
                <w:color w:val="auto"/>
              </w:rPr>
            </w:pPr>
            <w:r>
              <w:rPr>
                <w:rFonts w:ascii="Courier New" w:cs="Courier New" w:eastAsia="Courier New" w:hAnsi="Courier New"/>
                <w:sz w:val="15"/>
                <w:szCs w:val="15"/>
                <w:color w:val="auto"/>
              </w:rPr>
              <w:t>2.82%</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Machinery and equipment</w:t>
            </w:r>
          </w:p>
        </w:tc>
        <w:tc>
          <w:tcPr>
            <w:tcW w:w="3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5.54%</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Distribution equipment</w:t>
            </w:r>
          </w:p>
        </w:tc>
        <w:tc>
          <w:tcPr>
            <w:tcW w:w="3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7.38%</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equipment</w:t>
            </w:r>
          </w:p>
        </w:tc>
        <w:tc>
          <w:tcPr>
            <w:tcW w:w="3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7.37%</w:t>
            </w:r>
          </w:p>
        </w:tc>
      </w:tr>
    </w:tbl>
    <w:p>
      <w:pPr>
        <w:spacing w:after="0" w:line="5" w:lineRule="exact"/>
        <w:rPr>
          <w:sz w:val="20"/>
          <w:szCs w:val="20"/>
          <w:color w:val="auto"/>
        </w:rPr>
      </w:pPr>
    </w:p>
    <w:p>
      <w:pPr>
        <w:ind w:left="35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8" w:lineRule="exact"/>
        <w:rPr>
          <w:sz w:val="20"/>
          <w:szCs w:val="20"/>
          <w:color w:val="auto"/>
        </w:rPr>
      </w:pPr>
    </w:p>
    <w:p>
      <w:pPr>
        <w:ind w:left="3330"/>
        <w:spacing w:after="0"/>
        <w:rPr>
          <w:sz w:val="20"/>
          <w:szCs w:val="20"/>
          <w:color w:val="auto"/>
        </w:rPr>
      </w:pPr>
      <w:r>
        <w:rPr>
          <w:rFonts w:ascii="Courier New" w:cs="Courier New" w:eastAsia="Courier New" w:hAnsi="Courier New"/>
          <w:sz w:val="15"/>
          <w:szCs w:val="15"/>
          <w:color w:val="auto"/>
        </w:rPr>
        <w:t>F10</w:t>
      </w:r>
    </w:p>
    <w:p>
      <w:pPr>
        <w:sectPr>
          <w:pgSz w:w="11900" w:h="16838" w:orient="portrait"/>
          <w:cols w:equalWidth="0" w:num="1">
            <w:col w:w="10229"/>
          </w:cols>
          <w:pgMar w:left="230" w:top="617" w:right="1440" w:bottom="1440" w:gutter="0" w:footer="0" w:header="0"/>
        </w:sectPr>
      </w:pPr>
    </w:p>
    <w:bookmarkStart w:id="173" w:name="page174"/>
    <w:bookmarkEnd w:id="173"/>
    <w:p>
      <w:pPr>
        <w:ind w:left="430" w:right="3319"/>
        <w:spacing w:after="0" w:line="235" w:lineRule="auto"/>
        <w:rPr>
          <w:sz w:val="20"/>
          <w:szCs w:val="20"/>
          <w:color w:val="auto"/>
        </w:rPr>
      </w:pPr>
      <w:r>
        <w:rPr>
          <w:rFonts w:ascii="Courier New" w:cs="Courier New" w:eastAsia="Courier New" w:hAnsi="Courier New"/>
          <w:sz w:val="15"/>
          <w:szCs w:val="15"/>
          <w:color w:val="auto"/>
        </w:rPr>
        <w:t>The main types of machinery and equipment include: bottling production lines, bottle washer machines, conveyors, packaging equipment, can and crown cap production lines, glass bottle production equipments, as well as storage and container equipment.</w:t>
      </w:r>
    </w:p>
    <w:p>
      <w:pPr>
        <w:spacing w:after="0" w:line="169" w:lineRule="exact"/>
        <w:rPr>
          <w:sz w:val="20"/>
          <w:szCs w:val="20"/>
          <w:color w:val="auto"/>
        </w:rPr>
      </w:pPr>
    </w:p>
    <w:p>
      <w:pPr>
        <w:ind w:left="430" w:hanging="430"/>
        <w:spacing w:after="0"/>
        <w:tabs>
          <w:tab w:leader="none" w:pos="430"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Assets:</w:t>
      </w:r>
    </w:p>
    <w:p>
      <w:pPr>
        <w:spacing w:after="0" w:line="4" w:lineRule="exact"/>
        <w:rPr>
          <w:rFonts w:ascii="Courier New" w:cs="Courier New" w:eastAsia="Courier New" w:hAnsi="Courier New"/>
          <w:sz w:val="15"/>
          <w:szCs w:val="15"/>
          <w:color w:val="auto"/>
        </w:rPr>
      </w:pPr>
    </w:p>
    <w:p>
      <w:pPr>
        <w:ind w:left="430" w:right="339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 payments whose benefits will be received in future years. These consist principally of:</w:t>
      </w:r>
    </w:p>
    <w:p>
      <w:pPr>
        <w:spacing w:after="0" w:line="173" w:lineRule="exact"/>
        <w:rPr>
          <w:sz w:val="20"/>
          <w:szCs w:val="20"/>
          <w:color w:val="auto"/>
        </w:rPr>
      </w:pPr>
    </w:p>
    <w:p>
      <w:pPr>
        <w:ind w:left="430" w:right="3239" w:hanging="430"/>
        <w:spacing w:after="0" w:line="236" w:lineRule="auto"/>
        <w:tabs>
          <w:tab w:leader="none" w:pos="168"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-Agreements with customers for the right to sell and promote the Company's products during certain periods of time, which are being considered as monetary assets and amortized in accordance with the timing of the receipt by the Company of such benefits, as set forth in terms of such agreements, which beginning 2001, is in base of the volume sold by the customers. The average term of these agreements is between three and four years.</w:t>
      </w:r>
    </w:p>
    <w:p>
      <w:pPr>
        <w:spacing w:after="0" w:line="176" w:lineRule="exact"/>
        <w:rPr>
          <w:sz w:val="20"/>
          <w:szCs w:val="20"/>
          <w:color w:val="auto"/>
        </w:rPr>
      </w:pPr>
    </w:p>
    <w:p>
      <w:pPr>
        <w:ind w:left="430" w:right="3399"/>
        <w:spacing w:after="0" w:line="236" w:lineRule="auto"/>
        <w:rPr>
          <w:sz w:val="20"/>
          <w:szCs w:val="20"/>
          <w:color w:val="auto"/>
        </w:rPr>
      </w:pPr>
      <w:r>
        <w:rPr>
          <w:rFonts w:ascii="Courier New" w:cs="Courier New" w:eastAsia="Courier New" w:hAnsi="Courier New"/>
          <w:sz w:val="15"/>
          <w:szCs w:val="15"/>
          <w:color w:val="auto"/>
        </w:rPr>
        <w:t>Prior to 2002, the amortization of these expenses was included in operating expenses. Beginning 2002, the Company adopted the provisions of Emerging Issues Task Force ("EITF") No. 01-09, "Accounting for Consideration Given by a Vendor to a Customer (Including a Reseller of the Vendor's Products)" of the Financial Accounting Standards Board ("FASB"), which requires presenting the amortization of these capitalized amounts as a reduction of net sales. The income statements of the years 2001 and 2000 have been reclassified to conform to this change in presentation.</w:t>
      </w:r>
    </w:p>
    <w:p>
      <w:pPr>
        <w:spacing w:after="0" w:line="200" w:lineRule="exact"/>
        <w:rPr>
          <w:sz w:val="20"/>
          <w:szCs w:val="20"/>
          <w:color w:val="auto"/>
        </w:rPr>
      </w:pPr>
    </w:p>
    <w:p>
      <w:pPr>
        <w:spacing w:after="0" w:line="315" w:lineRule="exact"/>
        <w:rPr>
          <w:sz w:val="20"/>
          <w:szCs w:val="20"/>
          <w:color w:val="auto"/>
        </w:rPr>
      </w:pPr>
    </w:p>
    <w:p>
      <w:pPr>
        <w:ind w:left="430" w:right="3499"/>
        <w:spacing w:after="0" w:line="235" w:lineRule="auto"/>
        <w:rPr>
          <w:sz w:val="20"/>
          <w:szCs w:val="20"/>
          <w:color w:val="auto"/>
        </w:rPr>
      </w:pPr>
      <w:r>
        <w:rPr>
          <w:rFonts w:ascii="Courier New" w:cs="Courier New" w:eastAsia="Courier New" w:hAnsi="Courier New"/>
          <w:sz w:val="15"/>
          <w:szCs w:val="15"/>
          <w:color w:val="auto"/>
        </w:rPr>
        <w:t>The amortization for the years ended December 31, 2002, 2001 and 2000 recognized in selling expenses amounted to Ps. 951, Ps. 851 and Ps. 636, respectively.</w:t>
      </w:r>
    </w:p>
    <w:p>
      <w:pPr>
        <w:spacing w:after="0" w:line="174" w:lineRule="exact"/>
        <w:rPr>
          <w:sz w:val="20"/>
          <w:szCs w:val="20"/>
          <w:color w:val="auto"/>
        </w:rPr>
      </w:pPr>
    </w:p>
    <w:p>
      <w:pPr>
        <w:ind w:left="430" w:right="3319" w:hanging="430"/>
        <w:spacing w:after="0" w:line="235" w:lineRule="auto"/>
        <w:tabs>
          <w:tab w:leader="none" w:pos="168"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-Leasehold improvements, which are restated by applying NCPI factors, are amortized using the straight-line method over the term in which the benefits are expected to be received.</w:t>
      </w:r>
    </w:p>
    <w:p>
      <w:pPr>
        <w:spacing w:after="0" w:line="173" w:lineRule="exact"/>
        <w:rPr>
          <w:rFonts w:ascii="Courier New" w:cs="Courier New" w:eastAsia="Courier New" w:hAnsi="Courier New"/>
          <w:sz w:val="15"/>
          <w:szCs w:val="15"/>
          <w:color w:val="auto"/>
        </w:rPr>
      </w:pPr>
    </w:p>
    <w:p>
      <w:pPr>
        <w:ind w:left="430" w:right="3399" w:hanging="430"/>
        <w:spacing w:after="0" w:line="236" w:lineRule="auto"/>
        <w:tabs>
          <w:tab w:leader="none" w:pos="168"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-Start-up expenses represent costs incurred prior to the opening of an Oxxo store, including rent, permits and licenses. Such amounts are restated based on NCPI factors and are amortized on a straight-line basis over the period during which the related benefits are expected to be received.</w:t>
      </w:r>
    </w:p>
    <w:p>
      <w:pPr>
        <w:spacing w:after="0" w:line="167" w:lineRule="exact"/>
        <w:rPr>
          <w:sz w:val="20"/>
          <w:szCs w:val="20"/>
          <w:color w:val="auto"/>
        </w:rPr>
      </w:pPr>
    </w:p>
    <w:p>
      <w:pPr>
        <w:ind w:left="430" w:hanging="430"/>
        <w:spacing w:after="0"/>
        <w:tabs>
          <w:tab w:leader="none" w:pos="430"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Goodwill and Other Intangible Assets:</w:t>
      </w:r>
    </w:p>
    <w:p>
      <w:pPr>
        <w:spacing w:after="0" w:line="4" w:lineRule="exact"/>
        <w:rPr>
          <w:rFonts w:ascii="Courier New" w:cs="Courier New" w:eastAsia="Courier New" w:hAnsi="Courier New"/>
          <w:sz w:val="15"/>
          <w:szCs w:val="15"/>
          <w:color w:val="auto"/>
        </w:rPr>
      </w:pPr>
    </w:p>
    <w:p>
      <w:pPr>
        <w:ind w:left="43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This is the difference between the price paid and the book value of the shares and/or assets acquired, which is substantially equal to the fair value of such assets. This difference is amortized over a period of no more than 20 years. Goodwill is recorded in the functional currency of the subsidiary in which the investment was made and is restated by applying the inflation rate of the country of origin and the year-end exchange rate.</w:t>
      </w:r>
    </w:p>
    <w:p>
      <w:pPr>
        <w:spacing w:after="0" w:line="159" w:lineRule="exact"/>
        <w:rPr>
          <w:rFonts w:ascii="Courier New" w:cs="Courier New" w:eastAsia="Courier New" w:hAnsi="Courier New"/>
          <w:sz w:val="15"/>
          <w:szCs w:val="15"/>
          <w:color w:val="auto"/>
        </w:rPr>
      </w:pPr>
    </w:p>
    <w:p>
      <w:pPr>
        <w:ind w:left="430" w:hanging="430"/>
        <w:spacing w:after="0"/>
        <w:tabs>
          <w:tab w:leader="none" w:pos="430"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from The Coca-Cola Company:</w:t>
      </w:r>
    </w:p>
    <w:p>
      <w:pPr>
        <w:spacing w:after="0" w:line="4" w:lineRule="exact"/>
        <w:rPr>
          <w:rFonts w:ascii="Courier New" w:cs="Courier New" w:eastAsia="Courier New" w:hAnsi="Courier New"/>
          <w:sz w:val="15"/>
          <w:szCs w:val="15"/>
          <w:color w:val="auto"/>
        </w:rPr>
      </w:pPr>
    </w:p>
    <w:p>
      <w:pPr>
        <w:ind w:left="43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Coca-Cola Company participates in the advertising and promotional programs of Coca-Cola FEMSA. The resources received for advertising and promotional incentives are included as a reduction of selling expenses. The net expenses incurred were Ps. 715, Ps. 693 and Ps. 707 during the years ended December 31, 2002, 2001 and 2000, respectively.</w:t>
      </w:r>
    </w:p>
    <w:p>
      <w:pPr>
        <w:spacing w:after="0" w:line="173" w:lineRule="exact"/>
        <w:rPr>
          <w:rFonts w:ascii="Courier New" w:cs="Courier New" w:eastAsia="Courier New" w:hAnsi="Courier New"/>
          <w:sz w:val="15"/>
          <w:szCs w:val="15"/>
          <w:color w:val="auto"/>
        </w:rPr>
      </w:pPr>
    </w:p>
    <w:p>
      <w:pPr>
        <w:ind w:left="43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since 1999 The Coca-Cola Company has made payments in connection with Coca-Cola FEMSA's refrigeration equipment investment program. These resources are related to the increase in volume sales of Coca-Cola products that result from such expenditures and will be reimbursed if the established conditions in the contracts are not met. The refrigeration equipment investments, net of the participation of The Coca-Cola Company, are recorded in property, plant and equipment.</w:t>
      </w:r>
    </w:p>
    <w:p>
      <w:pPr>
        <w:spacing w:after="0" w:line="338" w:lineRule="exact"/>
        <w:rPr>
          <w:sz w:val="20"/>
          <w:szCs w:val="20"/>
          <w:color w:val="auto"/>
        </w:rPr>
      </w:pPr>
    </w:p>
    <w:p>
      <w:pPr>
        <w:ind w:left="3330"/>
        <w:spacing w:after="0"/>
        <w:rPr>
          <w:sz w:val="20"/>
          <w:szCs w:val="20"/>
          <w:color w:val="auto"/>
        </w:rPr>
      </w:pPr>
      <w:r>
        <w:rPr>
          <w:rFonts w:ascii="Courier New" w:cs="Courier New" w:eastAsia="Courier New" w:hAnsi="Courier New"/>
          <w:sz w:val="15"/>
          <w:szCs w:val="15"/>
          <w:color w:val="auto"/>
        </w:rPr>
        <w:t>F-11</w:t>
      </w:r>
    </w:p>
    <w:p>
      <w:pPr>
        <w:sectPr>
          <w:pgSz w:w="11900" w:h="16838" w:orient="portrait"/>
          <w:cols w:equalWidth="0" w:num="1">
            <w:col w:w="10229"/>
          </w:cols>
          <w:pgMar w:left="230" w:top="624" w:right="1440" w:bottom="1440" w:gutter="0" w:footer="0" w:header="0"/>
        </w:sectPr>
      </w:pPr>
    </w:p>
    <w:bookmarkStart w:id="174" w:name="page175"/>
    <w:bookmarkEnd w:id="174"/>
    <w:p>
      <w:pPr>
        <w:ind w:left="430" w:hanging="430"/>
        <w:spacing w:after="0"/>
        <w:tabs>
          <w:tab w:leader="none" w:pos="430"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Labor Liabilities:</w:t>
      </w:r>
    </w:p>
    <w:p>
      <w:pPr>
        <w:spacing w:after="0" w:line="4" w:lineRule="exact"/>
        <w:rPr>
          <w:rFonts w:ascii="Courier New" w:cs="Courier New" w:eastAsia="Courier New" w:hAnsi="Courier New"/>
          <w:sz w:val="15"/>
          <w:szCs w:val="15"/>
          <w:color w:val="auto"/>
        </w:rPr>
      </w:pPr>
    </w:p>
    <w:p>
      <w:pPr>
        <w:ind w:left="43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Labor liabilities include obligations for pension and retirement plan, seniority premiums and postretirement medical services, based on actuarial calculations by independent actuaries, using the projected unit credit method. These liabilities are considered to be non-monetary and are restated using NCPI factors, with such restatement presented in stockholders' equity. The increase in labor liabilities of the year is charged to expense in the income statement.</w:t>
      </w:r>
    </w:p>
    <w:p>
      <w:pPr>
        <w:spacing w:after="0" w:line="175" w:lineRule="exact"/>
        <w:rPr>
          <w:rFonts w:ascii="Courier New" w:cs="Courier New" w:eastAsia="Courier New" w:hAnsi="Courier New"/>
          <w:sz w:val="15"/>
          <w:szCs w:val="15"/>
          <w:color w:val="auto"/>
        </w:rPr>
      </w:pPr>
    </w:p>
    <w:p>
      <w:pPr>
        <w:ind w:left="43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unamortized prior service costs are recorded as expenses in the income statement over the year during which the employees will receive the benefits of the plan, which in the case of pension and retirement plans and seniority premiums is 14 years and for postretirement medical services is 20 years, both since 1996.</w:t>
      </w:r>
    </w:p>
    <w:p>
      <w:pPr>
        <w:spacing w:after="0" w:line="174" w:lineRule="exact"/>
        <w:rPr>
          <w:sz w:val="20"/>
          <w:szCs w:val="20"/>
          <w:color w:val="auto"/>
        </w:rPr>
      </w:pPr>
    </w:p>
    <w:p>
      <w:pPr>
        <w:jc w:val="both"/>
        <w:ind w:left="430" w:right="3239"/>
        <w:spacing w:after="0" w:line="235" w:lineRule="auto"/>
        <w:rPr>
          <w:sz w:val="20"/>
          <w:szCs w:val="20"/>
          <w:color w:val="auto"/>
        </w:rPr>
      </w:pPr>
      <w:r>
        <w:rPr>
          <w:rFonts w:ascii="Courier New" w:cs="Courier New" w:eastAsia="Courier New" w:hAnsi="Courier New"/>
          <w:sz w:val="15"/>
          <w:szCs w:val="15"/>
          <w:color w:val="auto"/>
        </w:rPr>
        <w:t>The main subsidiaries of the Company have established funds for the payment of pension benefits and postretirement medical services through irrevocable trusts with the employees as beneficiaries.</w:t>
      </w:r>
    </w:p>
    <w:p>
      <w:pPr>
        <w:spacing w:after="0" w:line="174" w:lineRule="exact"/>
        <w:rPr>
          <w:sz w:val="20"/>
          <w:szCs w:val="20"/>
          <w:color w:val="auto"/>
        </w:rPr>
      </w:pPr>
    </w:p>
    <w:p>
      <w:pPr>
        <w:ind w:left="350" w:right="3399"/>
        <w:spacing w:after="0" w:line="256" w:lineRule="auto"/>
        <w:rPr>
          <w:sz w:val="20"/>
          <w:szCs w:val="20"/>
          <w:color w:val="auto"/>
        </w:rPr>
      </w:pPr>
      <w:r>
        <w:rPr>
          <w:rFonts w:ascii="Courier New" w:cs="Courier New" w:eastAsia="Courier New" w:hAnsi="Courier New"/>
          <w:sz w:val="14"/>
          <w:szCs w:val="14"/>
          <w:color w:val="auto"/>
        </w:rPr>
        <w:t>Severance indemnities are charged to expenses on the date that they are incurred. The severance payments resulting from the Company's reduction of personnel, as a result of the restructuring of certain areas, are included in other expenses, net. During the years ended December 31, 2002, 2001 and 2000, these amounted to Ps. 162, Ps. 169 and Ps. 226, respectively.</w:t>
      </w:r>
    </w:p>
    <w:p>
      <w:pPr>
        <w:spacing w:after="0" w:line="163" w:lineRule="exact"/>
        <w:rPr>
          <w:sz w:val="20"/>
          <w:szCs w:val="20"/>
          <w:color w:val="auto"/>
        </w:rPr>
      </w:pPr>
    </w:p>
    <w:p>
      <w:pPr>
        <w:ind w:left="430" w:right="3399" w:hanging="430"/>
        <w:spacing w:after="0" w:line="235" w:lineRule="auto"/>
        <w:tabs>
          <w:tab w:leader="none" w:pos="430"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Revenue Recognition: Revenue is recognized upon shipment of goods to customers or upon delivery to the customer and the customer has taken ownership of the goods. Net sales reflect units delivered at selling list prices reduced by promotion allowances and discounts.</w:t>
      </w:r>
    </w:p>
    <w:p>
      <w:pPr>
        <w:spacing w:after="0" w:line="175" w:lineRule="exact"/>
        <w:rPr>
          <w:rFonts w:ascii="Courier New" w:cs="Courier New" w:eastAsia="Courier New" w:hAnsi="Courier New"/>
          <w:sz w:val="15"/>
          <w:szCs w:val="15"/>
          <w:color w:val="auto"/>
        </w:rPr>
      </w:pPr>
    </w:p>
    <w:p>
      <w:pPr>
        <w:ind w:left="430" w:right="323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Cost of sales includes expenses related to raw materials used in production process, labor (wages and other benefits), depreciation of production facilities and equipment and other costs including fuel, electricity, breakage of returnable bottles in the production process, equipment maintenance, inspection, and inter and intra-plant transfer costs.</w:t>
      </w:r>
    </w:p>
    <w:p>
      <w:pPr>
        <w:spacing w:after="0" w:line="163" w:lineRule="exact"/>
        <w:rPr>
          <w:rFonts w:ascii="Courier New" w:cs="Courier New" w:eastAsia="Courier New" w:hAnsi="Courier New"/>
          <w:sz w:val="15"/>
          <w:szCs w:val="15"/>
          <w:color w:val="auto"/>
        </w:rPr>
      </w:pPr>
    </w:p>
    <w:p>
      <w:pPr>
        <w:ind w:left="430" w:right="331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Administrative expenses include labor costs (salaries and other benefits) for employees not directly involved in the sale of the Company's products, professional services fees, depreciation of offices facilities and amortization of capitalized software costs.</w:t>
      </w:r>
    </w:p>
    <w:p>
      <w:pPr>
        <w:spacing w:after="0" w:line="168" w:lineRule="exact"/>
        <w:rPr>
          <w:rFonts w:ascii="Courier New" w:cs="Courier New" w:eastAsia="Courier New" w:hAnsi="Courier New"/>
          <w:sz w:val="15"/>
          <w:szCs w:val="15"/>
          <w:color w:val="auto"/>
        </w:rPr>
      </w:pPr>
    </w:p>
    <w:p>
      <w:pPr>
        <w:ind w:left="43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Selling expenses include:</w:t>
      </w:r>
    </w:p>
    <w:p>
      <w:pPr>
        <w:spacing w:after="0" w:line="172" w:lineRule="exact"/>
        <w:rPr>
          <w:rFonts w:ascii="Courier New" w:cs="Courier New" w:eastAsia="Courier New" w:hAnsi="Courier New"/>
          <w:sz w:val="15"/>
          <w:szCs w:val="15"/>
          <w:color w:val="auto"/>
        </w:rPr>
      </w:pPr>
    </w:p>
    <w:p>
      <w:pPr>
        <w:ind w:left="870" w:right="3239" w:hanging="433"/>
        <w:spacing w:after="0" w:line="236" w:lineRule="auto"/>
        <w:tabs>
          <w:tab w:leader="none" w:pos="870" w:val="left"/>
        </w:tabs>
        <w:numPr>
          <w:ilvl w:val="1"/>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Distribution: labor costs (salaries and other benefits), outbound freight costs, warehousing costs of finished products, breakage for returnable bottles in the distribution process, depreciation and maintenance of trucks and other distribution facilities and equipment. During the years ended December 31, 2002, 2001 and 2000, these distribution costs amounted to Ps. 3,299, Ps. 3,581 and Ps. 3,712, respectively.</w:t>
      </w:r>
    </w:p>
    <w:p>
      <w:pPr>
        <w:spacing w:after="0" w:line="7" w:lineRule="exact"/>
        <w:rPr>
          <w:rFonts w:ascii="Courier New" w:cs="Courier New" w:eastAsia="Courier New" w:hAnsi="Courier New"/>
          <w:sz w:val="15"/>
          <w:szCs w:val="15"/>
          <w:color w:val="auto"/>
        </w:rPr>
      </w:pPr>
    </w:p>
    <w:p>
      <w:pPr>
        <w:ind w:left="870" w:right="3319" w:hanging="433"/>
        <w:spacing w:after="0" w:line="234" w:lineRule="auto"/>
        <w:tabs>
          <w:tab w:leader="none" w:pos="870" w:val="left"/>
        </w:tabs>
        <w:numPr>
          <w:ilvl w:val="1"/>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Sales: labor costs (salaries and other benefits) and sales commission paid to sales personnel.</w:t>
      </w:r>
    </w:p>
    <w:p>
      <w:pPr>
        <w:spacing w:after="0" w:line="5" w:lineRule="exact"/>
        <w:rPr>
          <w:rFonts w:ascii="Courier New" w:cs="Courier New" w:eastAsia="Courier New" w:hAnsi="Courier New"/>
          <w:sz w:val="15"/>
          <w:szCs w:val="15"/>
          <w:color w:val="auto"/>
        </w:rPr>
      </w:pPr>
    </w:p>
    <w:p>
      <w:pPr>
        <w:ind w:left="870" w:right="3399" w:hanging="433"/>
        <w:spacing w:after="0" w:line="234" w:lineRule="auto"/>
        <w:tabs>
          <w:tab w:leader="none" w:pos="870" w:val="left"/>
        </w:tabs>
        <w:numPr>
          <w:ilvl w:val="1"/>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Marketing: labor costs (salaries and other benefits), promotions and advertising costs.</w:t>
      </w:r>
    </w:p>
    <w:p>
      <w:pPr>
        <w:spacing w:after="0" w:line="173" w:lineRule="exact"/>
        <w:rPr>
          <w:rFonts w:ascii="Courier New" w:cs="Courier New" w:eastAsia="Courier New" w:hAnsi="Courier New"/>
          <w:sz w:val="15"/>
          <w:szCs w:val="15"/>
          <w:color w:val="auto"/>
        </w:rPr>
      </w:pPr>
    </w:p>
    <w:p>
      <w:pPr>
        <w:ind w:left="430" w:right="3239" w:hanging="430"/>
        <w:spacing w:after="0" w:line="255" w:lineRule="auto"/>
        <w:tabs>
          <w:tab w:leader="none" w:pos="430"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Tax, Tax on Assets and Employee Profit Sharing: The Company determines and records its income tax, tax on assets and employee profit sharing in accordance with the tax legislation and revised Bulletin D-4, "Tratamiento Contable del Impuesto Sobre la Renta, del Impuesto al Activo y la Participacion de los Trabajadores en las Utilidades" (Accounting for Income Tax, Tax on Assets and Employee Profit Sharing), which requires that deferred tax assets and liabilities be recorded for all temporary differences between the accounting and tax bases of assets and liabilities.</w:t>
      </w:r>
    </w:p>
    <w:p>
      <w:pPr>
        <w:spacing w:after="0" w:line="165" w:lineRule="exact"/>
        <w:rPr>
          <w:rFonts w:ascii="Courier New" w:cs="Courier New" w:eastAsia="Courier New" w:hAnsi="Courier New"/>
          <w:sz w:val="14"/>
          <w:szCs w:val="14"/>
          <w:color w:val="auto"/>
        </w:rPr>
      </w:pPr>
    </w:p>
    <w:p>
      <w:pPr>
        <w:ind w:left="430" w:right="32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balance of deferred income tax and deferred tax on assets is determined using the liability method, which takes into account all temporary differences between the accounting and tax bases of assets and liabilities. Deferred employee profit sharing is calculated considering only those temporary differences that arise from the reconciliation between the accounting income for the year and the basis for employee profit sharing that are expected to generate a benefit or liability within a defined year.</w:t>
      </w:r>
    </w:p>
    <w:p>
      <w:pPr>
        <w:spacing w:after="0" w:line="328" w:lineRule="exact"/>
        <w:rPr>
          <w:sz w:val="20"/>
          <w:szCs w:val="20"/>
          <w:color w:val="auto"/>
        </w:rPr>
      </w:pPr>
    </w:p>
    <w:p>
      <w:pPr>
        <w:ind w:left="3330"/>
        <w:spacing w:after="0"/>
        <w:rPr>
          <w:sz w:val="20"/>
          <w:szCs w:val="20"/>
          <w:color w:val="auto"/>
        </w:rPr>
      </w:pPr>
      <w:r>
        <w:rPr>
          <w:rFonts w:ascii="Courier New" w:cs="Courier New" w:eastAsia="Courier New" w:hAnsi="Courier New"/>
          <w:sz w:val="15"/>
          <w:szCs w:val="15"/>
          <w:color w:val="auto"/>
        </w:rPr>
        <w:t>F-12</w:t>
      </w:r>
    </w:p>
    <w:p>
      <w:pPr>
        <w:sectPr>
          <w:pgSz w:w="11900" w:h="16838" w:orient="portrait"/>
          <w:cols w:equalWidth="0" w:num="1">
            <w:col w:w="10229"/>
          </w:cols>
          <w:pgMar w:left="230" w:top="954" w:right="1440" w:bottom="1440" w:gutter="0" w:footer="0" w:header="0"/>
        </w:sectPr>
      </w:pPr>
    </w:p>
    <w:bookmarkStart w:id="175" w:name="page176"/>
    <w:bookmarkEnd w:id="175"/>
    <w:p>
      <w:pPr>
        <w:ind w:left="430" w:right="3239"/>
        <w:spacing w:after="0" w:line="235" w:lineRule="auto"/>
        <w:rPr>
          <w:sz w:val="20"/>
          <w:szCs w:val="20"/>
          <w:color w:val="auto"/>
        </w:rPr>
      </w:pPr>
      <w:r>
        <w:rPr>
          <w:rFonts w:ascii="Courier New" w:cs="Courier New" w:eastAsia="Courier New" w:hAnsi="Courier New"/>
          <w:sz w:val="15"/>
          <w:szCs w:val="15"/>
          <w:color w:val="auto"/>
        </w:rPr>
        <w:t>The balance of deferred taxes is comprised of monetary and non-monetary items, based on the temporary differences from which it is derived. Deferred taxes are classified as a long-term asset or liability, regardless of when the temporary differences are expected to reverse.</w:t>
      </w:r>
    </w:p>
    <w:p>
      <w:pPr>
        <w:spacing w:after="0" w:line="175" w:lineRule="exact"/>
        <w:rPr>
          <w:sz w:val="20"/>
          <w:szCs w:val="20"/>
          <w:color w:val="auto"/>
        </w:rPr>
      </w:pPr>
    </w:p>
    <w:p>
      <w:pPr>
        <w:ind w:left="430" w:right="3399"/>
        <w:spacing w:after="0" w:line="236" w:lineRule="auto"/>
        <w:rPr>
          <w:sz w:val="20"/>
          <w:szCs w:val="20"/>
          <w:color w:val="auto"/>
        </w:rPr>
      </w:pPr>
      <w:r>
        <w:rPr>
          <w:rFonts w:ascii="Courier New" w:cs="Courier New" w:eastAsia="Courier New" w:hAnsi="Courier New"/>
          <w:sz w:val="15"/>
          <w:szCs w:val="15"/>
          <w:color w:val="auto"/>
        </w:rPr>
        <w:t>The deferred tax provision for the year to be included in the results of operations is determined by comparing the deferred tax balance at end of the year to the balance at the beginning of the year, excluding from both balances any temporary differences that are recorded directly in stockholders' equity. The deferred taxes related to such temporary differences are recorded in the same stockholders' equity account. The initial effect of the application of this new bulletin as of January 1, 2000 was recorded in retained earnings and minority interest (see Note 21 d).</w:t>
      </w:r>
    </w:p>
    <w:p>
      <w:pPr>
        <w:spacing w:after="0" w:line="178" w:lineRule="exact"/>
        <w:rPr>
          <w:sz w:val="20"/>
          <w:szCs w:val="20"/>
          <w:color w:val="auto"/>
        </w:rPr>
      </w:pPr>
    </w:p>
    <w:p>
      <w:pPr>
        <w:ind w:left="430" w:right="3319"/>
        <w:spacing w:after="0" w:line="236" w:lineRule="auto"/>
        <w:rPr>
          <w:sz w:val="20"/>
          <w:szCs w:val="20"/>
          <w:color w:val="auto"/>
        </w:rPr>
      </w:pPr>
      <w:r>
        <w:rPr>
          <w:rFonts w:ascii="Courier New" w:cs="Courier New" w:eastAsia="Courier New" w:hAnsi="Courier New"/>
          <w:sz w:val="15"/>
          <w:szCs w:val="15"/>
          <w:color w:val="auto"/>
        </w:rPr>
        <w:t>FEMSA has received authorization from the Secretaria de Hacienda y Credito Publico ("SHCP") to prepare its income tax and tax on asset returns on a consolidated basis, which includes the proportional taxable income or loss of its Mexican subsidiaries, which is limited to 60% of the stockholders' participation.</w:t>
      </w:r>
    </w:p>
    <w:p>
      <w:pPr>
        <w:spacing w:after="0" w:line="167" w:lineRule="exact"/>
        <w:rPr>
          <w:sz w:val="20"/>
          <w:szCs w:val="20"/>
          <w:color w:val="auto"/>
        </w:rPr>
      </w:pPr>
    </w:p>
    <w:p>
      <w:pPr>
        <w:ind w:left="430" w:hanging="430"/>
        <w:spacing w:after="0"/>
        <w:tabs>
          <w:tab w:leader="none" w:pos="430"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Integral Result of Financing: The integral result of financing includes:</w:t>
      </w:r>
    </w:p>
    <w:p>
      <w:pPr>
        <w:spacing w:after="0" w:line="166" w:lineRule="exact"/>
        <w:rPr>
          <w:rFonts w:ascii="Courier New" w:cs="Courier New" w:eastAsia="Courier New" w:hAnsi="Courier New"/>
          <w:sz w:val="15"/>
          <w:szCs w:val="15"/>
          <w:color w:val="auto"/>
        </w:rPr>
      </w:pPr>
    </w:p>
    <w:p>
      <w:pPr>
        <w:ind w:left="43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Interest:</w:t>
      </w:r>
    </w:p>
    <w:p>
      <w:pPr>
        <w:spacing w:after="0" w:line="4" w:lineRule="exact"/>
        <w:rPr>
          <w:rFonts w:ascii="Courier New" w:cs="Courier New" w:eastAsia="Courier New" w:hAnsi="Courier New"/>
          <w:sz w:val="15"/>
          <w:szCs w:val="15"/>
          <w:color w:val="auto"/>
        </w:rPr>
      </w:pPr>
    </w:p>
    <w:p>
      <w:pPr>
        <w:ind w:left="430" w:right="401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income and expenses are recorded when earned or incurred, respectively.</w:t>
      </w:r>
    </w:p>
    <w:p>
      <w:pPr>
        <w:spacing w:after="0" w:line="166" w:lineRule="exact"/>
        <w:rPr>
          <w:rFonts w:ascii="Courier New" w:cs="Courier New" w:eastAsia="Courier New" w:hAnsi="Courier New"/>
          <w:sz w:val="15"/>
          <w:szCs w:val="15"/>
          <w:color w:val="auto"/>
        </w:rPr>
      </w:pPr>
    </w:p>
    <w:p>
      <w:pPr>
        <w:ind w:left="43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Foreign Exchange Gains and Losses:</w:t>
      </w:r>
    </w:p>
    <w:p>
      <w:pPr>
        <w:spacing w:after="0" w:line="4" w:lineRule="exact"/>
        <w:rPr>
          <w:rFonts w:ascii="Courier New" w:cs="Courier New" w:eastAsia="Courier New" w:hAnsi="Courier New"/>
          <w:sz w:val="15"/>
          <w:szCs w:val="15"/>
          <w:color w:val="auto"/>
        </w:rPr>
      </w:pPr>
    </w:p>
    <w:p>
      <w:pPr>
        <w:ind w:left="430" w:right="331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Transactions in foreign currency are recorded in Mexican pesos using the exchange rate applicable on the date they occur. Assets and liabilities in foreign currencies are adjusted to the year-end exchange rate, recording the resulting foreign exchange gain or loss directly in the income statement, except for the foreign exchange gain or loss from financing obtained for the acquisition of foreign subsidiaries (see Note 3).</w:t>
      </w:r>
    </w:p>
    <w:p>
      <w:pPr>
        <w:spacing w:after="0" w:line="159" w:lineRule="exact"/>
        <w:rPr>
          <w:rFonts w:ascii="Courier New" w:cs="Courier New" w:eastAsia="Courier New" w:hAnsi="Courier New"/>
          <w:sz w:val="15"/>
          <w:szCs w:val="15"/>
          <w:color w:val="auto"/>
        </w:rPr>
      </w:pPr>
    </w:p>
    <w:p>
      <w:pPr>
        <w:ind w:left="43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Gain (Loss) on Monetary Position:</w:t>
      </w:r>
    </w:p>
    <w:p>
      <w:pPr>
        <w:spacing w:after="0" w:line="4" w:lineRule="exact"/>
        <w:rPr>
          <w:rFonts w:ascii="Courier New" w:cs="Courier New" w:eastAsia="Courier New" w:hAnsi="Courier New"/>
          <w:sz w:val="15"/>
          <w:szCs w:val="15"/>
          <w:color w:val="auto"/>
        </w:rPr>
      </w:pPr>
    </w:p>
    <w:p>
      <w:pPr>
        <w:ind w:left="43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This is the result of the effects of inflation on monetary items. The gain (loss) on monetary position for Mexican subsidiaries is computed by applying NCPI factors to the net monetary position at the beginning of each month, excluding the financing contracted for the acquisition of foreign companies (see Note 3).</w:t>
      </w:r>
    </w:p>
    <w:p>
      <w:pPr>
        <w:spacing w:after="0" w:line="173" w:lineRule="exact"/>
        <w:rPr>
          <w:rFonts w:ascii="Courier New" w:cs="Courier New" w:eastAsia="Courier New" w:hAnsi="Courier New"/>
          <w:sz w:val="15"/>
          <w:szCs w:val="15"/>
          <w:color w:val="auto"/>
        </w:rPr>
      </w:pPr>
    </w:p>
    <w:p>
      <w:pPr>
        <w:ind w:left="43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gain (loss) on monetary position of foreign subsidiaries is computed by applying the monthly inflation rate of the country in which such subsidiary is located to the net monetary position at the beginning of each month, expressed in such country's local currency, then translating the monthly results into Mexican pesos using the year-end exchange rate, except as mentioned in Note 3.</w:t>
      </w:r>
    </w:p>
    <w:p>
      <w:pPr>
        <w:spacing w:after="0" w:line="168" w:lineRule="exact"/>
        <w:rPr>
          <w:rFonts w:ascii="Courier New" w:cs="Courier New" w:eastAsia="Courier New" w:hAnsi="Courier New"/>
          <w:sz w:val="15"/>
          <w:szCs w:val="15"/>
          <w:color w:val="auto"/>
        </w:rPr>
      </w:pPr>
    </w:p>
    <w:p>
      <w:pPr>
        <w:ind w:left="430" w:hanging="430"/>
        <w:spacing w:after="0"/>
        <w:tabs>
          <w:tab w:leader="none" w:pos="430"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Instruments:</w:t>
      </w:r>
    </w:p>
    <w:p>
      <w:pPr>
        <w:spacing w:after="0" w:line="4" w:lineRule="exact"/>
        <w:rPr>
          <w:rFonts w:ascii="Courier New" w:cs="Courier New" w:eastAsia="Courier New" w:hAnsi="Courier New"/>
          <w:sz w:val="15"/>
          <w:szCs w:val="15"/>
          <w:color w:val="auto"/>
        </w:rPr>
      </w:pPr>
    </w:p>
    <w:p>
      <w:pPr>
        <w:ind w:left="43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frequently contracts financial instruments to manage the financial risks associated with its operations. If the instrument is used to manage the risk related with the Company's operations, the effect is recorded in cost of sales and in operating expenses. If the instrument is used to manage the risks related with the financing operations, the effect is recorded in interest expense or in the foreign exchange loss (gain), depending on the related contract.</w:t>
      </w:r>
    </w:p>
    <w:p>
      <w:pPr>
        <w:spacing w:after="0" w:line="175" w:lineRule="exact"/>
        <w:rPr>
          <w:rFonts w:ascii="Courier New" w:cs="Courier New" w:eastAsia="Courier New" w:hAnsi="Courier New"/>
          <w:sz w:val="15"/>
          <w:szCs w:val="15"/>
          <w:color w:val="auto"/>
        </w:rPr>
      </w:pPr>
    </w:p>
    <w:p>
      <w:pPr>
        <w:ind w:left="43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2001, the Company recorded in the result of the year the effect of financial instruments at their maturity date, except for foreign exchange options, for which the premium paid was amortized throughout the life of the contract.</w:t>
      </w:r>
    </w:p>
    <w:p>
      <w:pPr>
        <w:spacing w:after="0" w:line="175" w:lineRule="exact"/>
        <w:rPr>
          <w:rFonts w:ascii="Courier New" w:cs="Courier New" w:eastAsia="Courier New" w:hAnsi="Courier New"/>
          <w:sz w:val="15"/>
          <w:szCs w:val="15"/>
          <w:color w:val="auto"/>
        </w:rPr>
      </w:pPr>
    </w:p>
    <w:p>
      <w:pPr>
        <w:ind w:left="43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Beginning in January 2001, Bulletin C-2, "Instrumentos Financieros" (Financial Instruments) went into effect, which requires an enterprise to record all financial instruments in the balance sheet as assets or liabilities. The bulletin requires that financial instruments entered into for hedging purposes be valued using the same valuation criteria applied to the hedged asset or liability.</w:t>
      </w:r>
    </w:p>
    <w:p>
      <w:pPr>
        <w:spacing w:after="0" w:line="337" w:lineRule="exact"/>
        <w:rPr>
          <w:sz w:val="20"/>
          <w:szCs w:val="20"/>
          <w:color w:val="auto"/>
        </w:rPr>
      </w:pPr>
    </w:p>
    <w:p>
      <w:pPr>
        <w:ind w:left="3330"/>
        <w:spacing w:after="0"/>
        <w:rPr>
          <w:sz w:val="20"/>
          <w:szCs w:val="20"/>
          <w:color w:val="auto"/>
        </w:rPr>
      </w:pPr>
      <w:r>
        <w:rPr>
          <w:rFonts w:ascii="Courier New" w:cs="Courier New" w:eastAsia="Courier New" w:hAnsi="Courier New"/>
          <w:sz w:val="15"/>
          <w:szCs w:val="15"/>
          <w:color w:val="auto"/>
        </w:rPr>
        <w:t>F-13</w:t>
      </w:r>
    </w:p>
    <w:p>
      <w:pPr>
        <w:sectPr>
          <w:pgSz w:w="11900" w:h="16838" w:orient="portrait"/>
          <w:cols w:equalWidth="0" w:num="1">
            <w:col w:w="10229"/>
          </w:cols>
          <w:pgMar w:left="230" w:top="624" w:right="1440" w:bottom="1440" w:gutter="0" w:footer="0" w:header="0"/>
        </w:sectPr>
      </w:pPr>
    </w:p>
    <w:bookmarkStart w:id="176" w:name="page177"/>
    <w:bookmarkEnd w:id="176"/>
    <w:p>
      <w:pPr>
        <w:ind w:left="440" w:right="3320"/>
        <w:spacing w:after="0" w:line="236" w:lineRule="auto"/>
        <w:rPr>
          <w:sz w:val="20"/>
          <w:szCs w:val="20"/>
          <w:color w:val="auto"/>
        </w:rPr>
      </w:pPr>
      <w:r>
        <w:rPr>
          <w:rFonts w:ascii="Courier New" w:cs="Courier New" w:eastAsia="Courier New" w:hAnsi="Courier New"/>
          <w:sz w:val="15"/>
          <w:szCs w:val="15"/>
          <w:color w:val="auto"/>
        </w:rPr>
        <w:t>Additionally, financial instruments entered into for purposes other than hedging the operations of the Company should be valued at fair market value. The difference between the financial instrument's initial value and fair market value should be recorded in the income statement at the end of the year. The initial effect of this bulletin is included in net income of 2001, net of taxes, as a change in accounting principle, which amount to Ps. 29.</w:t>
      </w:r>
    </w:p>
    <w:p>
      <w:pPr>
        <w:spacing w:after="0" w:line="169" w:lineRule="exact"/>
        <w:rPr>
          <w:sz w:val="20"/>
          <w:szCs w:val="20"/>
          <w:color w:val="auto"/>
        </w:rPr>
      </w:pPr>
    </w:p>
    <w:p>
      <w:pPr>
        <w:ind w:left="440" w:hanging="430"/>
        <w:spacing w:after="0"/>
        <w:tabs>
          <w:tab w:leader="none" w:pos="440"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Cumulative Result of Holding Non-monetary Assets:</w:t>
      </w:r>
    </w:p>
    <w:p>
      <w:pPr>
        <w:spacing w:after="0" w:line="4" w:lineRule="exact"/>
        <w:rPr>
          <w:rFonts w:ascii="Courier New" w:cs="Courier New" w:eastAsia="Courier New" w:hAnsi="Courier New"/>
          <w:sz w:val="15"/>
          <w:szCs w:val="15"/>
          <w:color w:val="auto"/>
        </w:rPr>
      </w:pPr>
    </w:p>
    <w:p>
      <w:pPr>
        <w:ind w:left="440" w:right="3240"/>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This represents the sum of the difference between book values and restatement values, as determined by applying NCPI factors to non-monetary assets such as inventories and fixed assets, and their effect on the income statement when the assets are consumed or depreciated.</w:t>
      </w:r>
    </w:p>
    <w:p>
      <w:pPr>
        <w:spacing w:after="0" w:line="168"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Comprehensive Income:</w:t>
      </w:r>
    </w:p>
    <w:p>
      <w:pPr>
        <w:spacing w:after="0" w:line="4" w:lineRule="exact"/>
        <w:rPr>
          <w:rFonts w:ascii="Courier New" w:cs="Courier New" w:eastAsia="Courier New" w:hAnsi="Courier New"/>
          <w:sz w:val="15"/>
          <w:szCs w:val="15"/>
          <w:color w:val="auto"/>
        </w:rPr>
      </w:pPr>
    </w:p>
    <w:p>
      <w:pPr>
        <w:ind w:left="440" w:right="3240"/>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Comprehensive income is comprised of the net income and other comprehensive income items such as the translation adjustment and the result of holding non-monetary assets and is presented in the consolidated statement of changes in stockholders' equity.</w:t>
      </w:r>
    </w:p>
    <w:p>
      <w:pPr>
        <w:spacing w:after="0" w:line="168"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Valuation of Goodwill and Long-Lived Assets:</w:t>
      </w:r>
    </w:p>
    <w:p>
      <w:pPr>
        <w:spacing w:after="0" w:line="4" w:lineRule="exact"/>
        <w:rPr>
          <w:rFonts w:ascii="Courier New" w:cs="Courier New" w:eastAsia="Courier New" w:hAnsi="Courier New"/>
          <w:sz w:val="15"/>
          <w:szCs w:val="15"/>
          <w:color w:val="auto"/>
        </w:rPr>
      </w:pPr>
    </w:p>
    <w:p>
      <w:pPr>
        <w:ind w:left="440" w:right="3320"/>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reviews the carrying value of its goodwill and long-lived assets for impairment whenever events or changes in circumstances indicate that the carrying amount of an asset may not be recoverable. In order to determine whether an impairment exists, management compares estimated future cash flows to be generated by those assets with their carrying value. If such assets are considered to be impaired, the impairment charge to be recognized in net income is measured by the amount by which the carrying amount exceeds their fair value.</w:t>
      </w:r>
    </w:p>
    <w:p>
      <w:pPr>
        <w:spacing w:after="0" w:line="171"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Note 5.</w:t>
      </w:r>
      <w:r>
        <w:rPr>
          <w:sz w:val="20"/>
          <w:szCs w:val="20"/>
          <w:color w:val="auto"/>
        </w:rPr>
        <w:tab/>
      </w:r>
      <w:r>
        <w:rPr>
          <w:rFonts w:ascii="Courier New" w:cs="Courier New" w:eastAsia="Courier New" w:hAnsi="Courier New"/>
          <w:sz w:val="14"/>
          <w:szCs w:val="14"/>
          <w:color w:val="auto"/>
        </w:rPr>
        <w:t>Accounts Receivable.</w:t>
      </w:r>
    </w:p>
    <w:p>
      <w:pPr>
        <w:spacing w:after="0" w:line="200" w:lineRule="exact"/>
        <w:rPr>
          <w:sz w:val="20"/>
          <w:szCs w:val="20"/>
          <w:color w:val="auto"/>
        </w:rPr>
      </w:pPr>
    </w:p>
    <w:p>
      <w:pPr>
        <w:spacing w:after="0" w:line="303" w:lineRule="exact"/>
        <w:rPr>
          <w:sz w:val="20"/>
          <w:szCs w:val="20"/>
          <w:color w:val="auto"/>
        </w:rPr>
      </w:pPr>
    </w:p>
    <w:p>
      <w:pPr>
        <w:ind w:left="7700"/>
        <w:spacing w:after="0"/>
        <w:tabs>
          <w:tab w:leader="none" w:pos="9620" w:val="left"/>
        </w:tabs>
        <w:rPr>
          <w:sz w:val="20"/>
          <w:szCs w:val="20"/>
          <w:color w:val="auto"/>
        </w:rPr>
      </w:pPr>
      <w:r>
        <w:rPr>
          <w:rFonts w:ascii="Courier New" w:cs="Courier New" w:eastAsia="Courier New" w:hAnsi="Courier New"/>
          <w:sz w:val="15"/>
          <w:szCs w:val="15"/>
          <w:color w:val="auto"/>
        </w:rPr>
        <w:t>2002</w:t>
      </w:r>
      <w:r>
        <w:rPr>
          <w:sz w:val="20"/>
          <w:szCs w:val="20"/>
          <w:color w:val="auto"/>
        </w:rPr>
        <w:tab/>
      </w:r>
      <w:r>
        <w:rPr>
          <w:rFonts w:ascii="Courier New" w:cs="Courier New" w:eastAsia="Courier New" w:hAnsi="Courier New"/>
          <w:sz w:val="15"/>
          <w:szCs w:val="15"/>
          <w:color w:val="auto"/>
        </w:rPr>
        <w:t>2001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40" w:type="dxa"/>
            <w:vAlign w:val="bottom"/>
          </w:tcPr>
          <w:p>
            <w:pPr>
              <w:spacing w:after="0"/>
              <w:rPr>
                <w:sz w:val="20"/>
                <w:szCs w:val="20"/>
                <w:color w:val="auto"/>
              </w:rPr>
            </w:pPr>
            <w:r>
              <w:rPr>
                <w:rFonts w:ascii="Courier New" w:cs="Courier New" w:eastAsia="Courier New" w:hAnsi="Courier New"/>
                <w:sz w:val="15"/>
                <w:szCs w:val="15"/>
                <w:color w:val="auto"/>
              </w:rPr>
              <w:t>Trade</w:t>
            </w:r>
          </w:p>
        </w:tc>
        <w:tc>
          <w:tcPr>
            <w:tcW w:w="2580" w:type="dxa"/>
            <w:vAlign w:val="bottom"/>
          </w:tcPr>
          <w:p>
            <w:pPr>
              <w:ind w:left="2000"/>
              <w:spacing w:after="0"/>
              <w:rPr>
                <w:sz w:val="20"/>
                <w:szCs w:val="20"/>
                <w:color w:val="auto"/>
              </w:rPr>
            </w:pPr>
            <w:r>
              <w:rPr>
                <w:rFonts w:ascii="Courier New" w:cs="Courier New" w:eastAsia="Courier New" w:hAnsi="Courier New"/>
                <w:sz w:val="15"/>
                <w:szCs w:val="15"/>
                <w:color w:val="auto"/>
              </w:rPr>
              <w:t>Ps.</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2,465</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Ps.</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2,502</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Allowance for doubtful accounts</w:t>
            </w:r>
          </w:p>
        </w:tc>
        <w:tc>
          <w:tcPr>
            <w:tcW w:w="258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(281)</w:t>
            </w:r>
          </w:p>
        </w:tc>
        <w:tc>
          <w:tcPr>
            <w:tcW w:w="8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(226)</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Notes receivable</w:t>
            </w:r>
          </w:p>
        </w:tc>
        <w:tc>
          <w:tcPr>
            <w:tcW w:w="258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407</w:t>
            </w:r>
          </w:p>
        </w:tc>
        <w:tc>
          <w:tcPr>
            <w:tcW w:w="8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355</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The Coca-Cola Company</w:t>
            </w:r>
          </w:p>
        </w:tc>
        <w:tc>
          <w:tcPr>
            <w:tcW w:w="258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114</w:t>
            </w:r>
          </w:p>
        </w:tc>
        <w:tc>
          <w:tcPr>
            <w:tcW w:w="8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140</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Travel advances to employees</w:t>
            </w:r>
          </w:p>
        </w:tc>
        <w:tc>
          <w:tcPr>
            <w:tcW w:w="258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w:t>
            </w:r>
          </w:p>
        </w:tc>
        <w:tc>
          <w:tcPr>
            <w:tcW w:w="8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Insurance claims</w:t>
            </w:r>
          </w:p>
        </w:tc>
        <w:tc>
          <w:tcPr>
            <w:tcW w:w="258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w:t>
            </w:r>
          </w:p>
        </w:tc>
        <w:tc>
          <w:tcPr>
            <w:tcW w:w="8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Rent of warehouses</w:t>
            </w:r>
          </w:p>
        </w:tc>
        <w:tc>
          <w:tcPr>
            <w:tcW w:w="258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w:t>
            </w:r>
          </w:p>
        </w:tc>
        <w:tc>
          <w:tcPr>
            <w:tcW w:w="8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Loans to employees</w:t>
            </w:r>
          </w:p>
        </w:tc>
        <w:tc>
          <w:tcPr>
            <w:tcW w:w="258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w:t>
            </w:r>
          </w:p>
        </w:tc>
        <w:tc>
          <w:tcPr>
            <w:tcW w:w="8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258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356</w:t>
            </w:r>
          </w:p>
        </w:tc>
        <w:tc>
          <w:tcPr>
            <w:tcW w:w="8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548</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6740"/>
        <w:spacing w:after="0"/>
        <w:tabs>
          <w:tab w:leader="none" w:pos="7600" w:val="left"/>
          <w:tab w:leader="none" w:pos="8480" w:val="left"/>
          <w:tab w:leader="none" w:pos="9520" w:val="left"/>
        </w:tabs>
        <w:rPr>
          <w:sz w:val="20"/>
          <w:szCs w:val="20"/>
          <w:color w:val="auto"/>
        </w:rPr>
      </w:pPr>
      <w:r>
        <w:rPr>
          <w:rFonts w:ascii="Courier New" w:cs="Courier New" w:eastAsia="Courier New" w:hAnsi="Courier New"/>
          <w:sz w:val="15"/>
          <w:szCs w:val="15"/>
          <w:color w:val="auto"/>
        </w:rPr>
        <w:t>Ps.</w:t>
      </w:r>
      <w:r>
        <w:rPr>
          <w:sz w:val="20"/>
          <w:szCs w:val="20"/>
          <w:color w:val="auto"/>
        </w:rPr>
        <w:tab/>
      </w:r>
      <w:r>
        <w:rPr>
          <w:rFonts w:ascii="Courier New" w:cs="Courier New" w:eastAsia="Courier New" w:hAnsi="Courier New"/>
          <w:sz w:val="15"/>
          <w:szCs w:val="15"/>
          <w:color w:val="auto"/>
        </w:rPr>
        <w:t>3,132</w:t>
      </w:r>
      <w:r>
        <w:rPr>
          <w:sz w:val="20"/>
          <w:szCs w:val="20"/>
          <w:color w:val="auto"/>
        </w:rPr>
        <w:tab/>
      </w:r>
      <w:r>
        <w:rPr>
          <w:rFonts w:ascii="Courier New" w:cs="Courier New" w:eastAsia="Courier New" w:hAnsi="Courier New"/>
          <w:sz w:val="15"/>
          <w:szCs w:val="15"/>
          <w:color w:val="auto"/>
        </w:rPr>
        <w:t>Ps.</w:t>
      </w:r>
      <w:r>
        <w:rPr>
          <w:sz w:val="20"/>
          <w:szCs w:val="20"/>
          <w:color w:val="auto"/>
        </w:rPr>
        <w:tab/>
      </w:r>
      <w:r>
        <w:rPr>
          <w:rFonts w:ascii="Courier New" w:cs="Courier New" w:eastAsia="Courier New" w:hAnsi="Courier New"/>
          <w:sz w:val="14"/>
          <w:szCs w:val="14"/>
          <w:color w:val="auto"/>
        </w:rPr>
        <w:t>3,392</w:t>
      </w:r>
    </w:p>
    <w:p>
      <w:pPr>
        <w:spacing w:after="0" w:line="5" w:lineRule="exact"/>
        <w:rPr>
          <w:sz w:val="20"/>
          <w:szCs w:val="20"/>
          <w:color w:val="auto"/>
        </w:rPr>
      </w:pPr>
    </w:p>
    <w:p>
      <w:pPr>
        <w:ind w:left="180" w:hanging="170"/>
        <w:spacing w:after="0"/>
        <w:tabs>
          <w:tab w:leader="none" w:pos="180"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The changes in the allowance for doubtful accounts are as follows:</w:t>
      </w:r>
    </w:p>
    <w:p>
      <w:pPr>
        <w:spacing w:after="0" w:line="166" w:lineRule="exact"/>
        <w:rPr>
          <w:sz w:val="20"/>
          <w:szCs w:val="20"/>
          <w:color w:val="auto"/>
        </w:rPr>
      </w:pPr>
    </w:p>
    <w:p>
      <w:pPr>
        <w:ind w:left="8060"/>
        <w:spacing w:after="0"/>
        <w:tabs>
          <w:tab w:leader="none" w:pos="9620" w:val="left"/>
        </w:tabs>
        <w:rPr>
          <w:sz w:val="20"/>
          <w:szCs w:val="20"/>
          <w:color w:val="auto"/>
        </w:rPr>
      </w:pPr>
      <w:r>
        <w:rPr>
          <w:rFonts w:ascii="Courier New" w:cs="Courier New" w:eastAsia="Courier New" w:hAnsi="Courier New"/>
          <w:sz w:val="15"/>
          <w:szCs w:val="15"/>
          <w:color w:val="auto"/>
        </w:rPr>
        <w:t>2002</w:t>
      </w:r>
      <w:r>
        <w:rPr>
          <w:sz w:val="20"/>
          <w:szCs w:val="20"/>
          <w:color w:val="auto"/>
        </w:rPr>
        <w:tab/>
      </w:r>
      <w:r>
        <w:rPr>
          <w:rFonts w:ascii="Courier New" w:cs="Courier New" w:eastAsia="Courier New" w:hAnsi="Courier New"/>
          <w:sz w:val="15"/>
          <w:szCs w:val="15"/>
          <w:color w:val="auto"/>
        </w:rPr>
        <w:t>2001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5780" w:type="dxa"/>
            <w:vAlign w:val="bottom"/>
          </w:tcPr>
          <w:p>
            <w:pPr>
              <w:spacing w:after="0"/>
              <w:rPr>
                <w:sz w:val="20"/>
                <w:szCs w:val="20"/>
                <w:color w:val="auto"/>
              </w:rPr>
            </w:pPr>
            <w:r>
              <w:rPr>
                <w:rFonts w:ascii="Courier New" w:cs="Courier New" w:eastAsia="Courier New" w:hAnsi="Courier New"/>
                <w:sz w:val="15"/>
                <w:szCs w:val="15"/>
                <w:color w:val="auto"/>
              </w:rPr>
              <w:t>Balance at the beginning of the year</w:t>
            </w:r>
          </w:p>
        </w:tc>
        <w:tc>
          <w:tcPr>
            <w:tcW w:w="1560" w:type="dxa"/>
            <w:vAlign w:val="bottom"/>
          </w:tcPr>
          <w:p>
            <w:pPr>
              <w:ind w:left="960"/>
              <w:spacing w:after="0"/>
              <w:rPr>
                <w:sz w:val="20"/>
                <w:szCs w:val="20"/>
                <w:color w:val="auto"/>
              </w:rPr>
            </w:pPr>
            <w:r>
              <w:rPr>
                <w:rFonts w:ascii="Courier New" w:cs="Courier New" w:eastAsia="Courier New" w:hAnsi="Courier New"/>
                <w:sz w:val="15"/>
                <w:szCs w:val="15"/>
                <w:color w:val="auto"/>
              </w:rPr>
              <w:t>Ps.</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226</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Ps.</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232</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 for the year</w:t>
            </w:r>
          </w:p>
        </w:tc>
        <w:tc>
          <w:tcPr>
            <w:tcW w:w="15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121</w:t>
            </w:r>
          </w:p>
        </w:tc>
        <w:tc>
          <w:tcPr>
            <w:tcW w:w="7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122</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Write-offs</w:t>
            </w:r>
          </w:p>
        </w:tc>
        <w:tc>
          <w:tcPr>
            <w:tcW w:w="15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w:t>
            </w:r>
          </w:p>
        </w:tc>
        <w:tc>
          <w:tcPr>
            <w:tcW w:w="7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(119)</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Restatement of the balance at the beginning of the year</w:t>
            </w:r>
          </w:p>
        </w:tc>
        <w:tc>
          <w:tcPr>
            <w:tcW w:w="15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w:t>
            </w:r>
          </w:p>
        </w:tc>
        <w:tc>
          <w:tcPr>
            <w:tcW w:w="7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360"/>
        <w:spacing w:after="0"/>
        <w:tabs>
          <w:tab w:leader="none" w:pos="7080" w:val="left"/>
          <w:tab w:leader="none" w:pos="8120" w:val="left"/>
          <w:tab w:leader="none" w:pos="8740" w:val="left"/>
          <w:tab w:leader="none" w:pos="9620" w:val="left"/>
        </w:tabs>
        <w:rPr>
          <w:sz w:val="20"/>
          <w:szCs w:val="20"/>
          <w:color w:val="auto"/>
        </w:rPr>
      </w:pPr>
      <w:r>
        <w:rPr>
          <w:rFonts w:ascii="Courier New" w:cs="Courier New" w:eastAsia="Courier New" w:hAnsi="Courier New"/>
          <w:sz w:val="15"/>
          <w:szCs w:val="15"/>
          <w:color w:val="auto"/>
        </w:rPr>
        <w:t>Balance at the end of the year</w:t>
      </w:r>
      <w:r>
        <w:rPr>
          <w:sz w:val="20"/>
          <w:szCs w:val="20"/>
          <w:color w:val="auto"/>
        </w:rPr>
        <w:tab/>
      </w:r>
      <w:r>
        <w:rPr>
          <w:rFonts w:ascii="Courier New" w:cs="Courier New" w:eastAsia="Courier New" w:hAnsi="Courier New"/>
          <w:sz w:val="15"/>
          <w:szCs w:val="15"/>
          <w:color w:val="auto"/>
        </w:rPr>
        <w:t>Ps.</w:t>
      </w:r>
      <w:r>
        <w:rPr>
          <w:sz w:val="20"/>
          <w:szCs w:val="20"/>
          <w:color w:val="auto"/>
        </w:rPr>
        <w:tab/>
      </w:r>
      <w:r>
        <w:rPr>
          <w:rFonts w:ascii="Courier New" w:cs="Courier New" w:eastAsia="Courier New" w:hAnsi="Courier New"/>
          <w:sz w:val="15"/>
          <w:szCs w:val="15"/>
          <w:color w:val="auto"/>
        </w:rPr>
        <w:t>281</w:t>
      </w:r>
      <w:r>
        <w:rPr>
          <w:sz w:val="20"/>
          <w:szCs w:val="20"/>
          <w:color w:val="auto"/>
        </w:rPr>
        <w:tab/>
      </w:r>
      <w:r>
        <w:rPr>
          <w:rFonts w:ascii="Courier New" w:cs="Courier New" w:eastAsia="Courier New" w:hAnsi="Courier New"/>
          <w:sz w:val="15"/>
          <w:szCs w:val="15"/>
          <w:color w:val="auto"/>
        </w:rPr>
        <w:t>Ps.</w:t>
      </w:r>
      <w:r>
        <w:rPr>
          <w:sz w:val="20"/>
          <w:szCs w:val="20"/>
          <w:color w:val="auto"/>
        </w:rPr>
        <w:tab/>
      </w:r>
      <w:r>
        <w:rPr>
          <w:rFonts w:ascii="Courier New" w:cs="Courier New" w:eastAsia="Courier New" w:hAnsi="Courier New"/>
          <w:sz w:val="14"/>
          <w:szCs w:val="14"/>
          <w:color w:val="auto"/>
        </w:rPr>
        <w:t>226</w:t>
      </w:r>
    </w:p>
    <w:p>
      <w:pPr>
        <w:spacing w:after="0" w:line="5" w:lineRule="exact"/>
        <w:rPr>
          <w:sz w:val="20"/>
          <w:szCs w:val="20"/>
          <w:color w:val="auto"/>
        </w:rPr>
      </w:pPr>
    </w:p>
    <w:p>
      <w:pPr>
        <w:ind w:left="180" w:hanging="170"/>
        <w:spacing w:after="0"/>
        <w:tabs>
          <w:tab w:leader="none" w:pos="180"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9" w:lineRule="exact"/>
        <w:rPr>
          <w:rFonts w:ascii="Courier New" w:cs="Courier New" w:eastAsia="Courier New" w:hAnsi="Courier New"/>
          <w:sz w:val="14"/>
          <w:szCs w:val="14"/>
          <w:color w:val="auto"/>
        </w:rPr>
      </w:pPr>
    </w:p>
    <w:p>
      <w:pPr>
        <w:ind w:left="33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F-14</w:t>
      </w:r>
    </w:p>
    <w:p>
      <w:pPr>
        <w:sectPr>
          <w:pgSz w:w="11900" w:h="16838" w:orient="portrait"/>
          <w:cols w:equalWidth="0" w:num="1">
            <w:col w:w="10240"/>
          </w:cols>
          <w:pgMar w:left="220" w:top="624" w:right="1439" w:bottom="1440" w:gutter="0" w:footer="0" w:header="0"/>
        </w:sectPr>
      </w:pPr>
    </w:p>
    <w:bookmarkStart w:id="177" w:name="page178"/>
    <w:bookmarkEnd w:id="177"/>
    <w:tbl>
      <w:tblPr>
        <w:tblLayout w:type="fixed"/>
        <w:tblInd w:w="0" w:type="dxa"/>
        <w:tblCellMar>
          <w:top w:w="0" w:type="dxa"/>
          <w:left w:w="0" w:type="dxa"/>
          <w:bottom w:w="0" w:type="dxa"/>
          <w:right w:w="0" w:type="dxa"/>
        </w:tblCellMar>
      </w:tblPr>
      <w:tr>
        <w:trPr>
          <w:trHeight w:val="170"/>
        </w:trPr>
        <w:tc>
          <w:tcPr>
            <w:tcW w:w="800" w:type="dxa"/>
            <w:vAlign w:val="bottom"/>
          </w:tcPr>
          <w:p>
            <w:pPr>
              <w:spacing w:after="0"/>
              <w:rPr>
                <w:sz w:val="20"/>
                <w:szCs w:val="20"/>
                <w:color w:val="auto"/>
              </w:rPr>
            </w:pPr>
            <w:r>
              <w:rPr>
                <w:rFonts w:ascii="Courier New" w:cs="Courier New" w:eastAsia="Courier New" w:hAnsi="Courier New"/>
                <w:sz w:val="15"/>
                <w:szCs w:val="15"/>
                <w:color w:val="auto"/>
              </w:rPr>
              <w:t>Note 6.</w:t>
            </w:r>
          </w:p>
        </w:tc>
        <w:tc>
          <w:tcPr>
            <w:tcW w:w="8300" w:type="dxa"/>
            <w:vAlign w:val="bottom"/>
          </w:tcPr>
          <w:p>
            <w:pPr>
              <w:jc w:val="right"/>
              <w:ind w:right="7007"/>
              <w:spacing w:after="0"/>
              <w:rPr>
                <w:sz w:val="20"/>
                <w:szCs w:val="20"/>
                <w:color w:val="auto"/>
              </w:rPr>
            </w:pPr>
            <w:r>
              <w:rPr>
                <w:rFonts w:ascii="Courier New" w:cs="Courier New" w:eastAsia="Courier New" w:hAnsi="Courier New"/>
                <w:sz w:val="15"/>
                <w:szCs w:val="15"/>
                <w:color w:val="auto"/>
              </w:rPr>
              <w:t>Inventories.</w:t>
            </w:r>
          </w:p>
        </w:tc>
        <w:tc>
          <w:tcPr>
            <w:tcW w:w="960" w:type="dxa"/>
            <w:vAlign w:val="bottom"/>
          </w:tcPr>
          <w:p>
            <w:pPr>
              <w:spacing w:after="0"/>
              <w:rPr>
                <w:sz w:val="14"/>
                <w:szCs w:val="14"/>
                <w:color w:val="auto"/>
              </w:rPr>
            </w:pPr>
          </w:p>
        </w:tc>
      </w:tr>
      <w:tr>
        <w:trPr>
          <w:trHeight w:val="168"/>
        </w:trPr>
        <w:tc>
          <w:tcPr>
            <w:tcW w:w="800" w:type="dxa"/>
            <w:vAlign w:val="bottom"/>
          </w:tcPr>
          <w:p>
            <w:pPr>
              <w:spacing w:after="0"/>
              <w:rPr>
                <w:sz w:val="14"/>
                <w:szCs w:val="14"/>
                <w:color w:val="auto"/>
              </w:rPr>
            </w:pPr>
          </w:p>
        </w:tc>
        <w:tc>
          <w:tcPr>
            <w:tcW w:w="83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2002</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00" w:type="dxa"/>
            <w:vAlign w:val="bottom"/>
          </w:tcPr>
          <w:p>
            <w:pPr>
              <w:spacing w:after="0"/>
              <w:rPr>
                <w:sz w:val="20"/>
                <w:szCs w:val="20"/>
                <w:color w:val="auto"/>
              </w:rPr>
            </w:pPr>
            <w:r>
              <w:rPr>
                <w:rFonts w:ascii="Courier New" w:cs="Courier New" w:eastAsia="Courier New" w:hAnsi="Courier New"/>
                <w:sz w:val="15"/>
                <w:szCs w:val="15"/>
                <w:color w:val="auto"/>
              </w:rPr>
              <w:t>Finished products</w:t>
            </w:r>
          </w:p>
        </w:tc>
        <w:tc>
          <w:tcPr>
            <w:tcW w:w="2580" w:type="dxa"/>
            <w:vAlign w:val="bottom"/>
          </w:tcPr>
          <w:p>
            <w:pPr>
              <w:ind w:left="2060"/>
              <w:spacing w:after="0"/>
              <w:rPr>
                <w:sz w:val="20"/>
                <w:szCs w:val="20"/>
                <w:color w:val="auto"/>
              </w:rPr>
            </w:pPr>
            <w:r>
              <w:rPr>
                <w:rFonts w:ascii="Courier New" w:cs="Courier New" w:eastAsia="Courier New" w:hAnsi="Courier New"/>
                <w:sz w:val="15"/>
                <w:szCs w:val="15"/>
                <w:color w:val="auto"/>
              </w:rPr>
              <w:t>Ps.</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1,592</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Ps.</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1,423</w:t>
            </w:r>
          </w:p>
        </w:tc>
      </w:tr>
      <w:tr>
        <w:trPr>
          <w:trHeight w:val="168"/>
        </w:trPr>
        <w:tc>
          <w:tcPr>
            <w:tcW w:w="5300" w:type="dxa"/>
            <w:vAlign w:val="bottom"/>
          </w:tcPr>
          <w:p>
            <w:pPr>
              <w:spacing w:after="0" w:line="168" w:lineRule="exact"/>
              <w:rPr>
                <w:sz w:val="20"/>
                <w:szCs w:val="20"/>
                <w:color w:val="auto"/>
              </w:rPr>
            </w:pPr>
            <w:r>
              <w:rPr>
                <w:rFonts w:ascii="Courier New" w:cs="Courier New" w:eastAsia="Courier New" w:hAnsi="Courier New"/>
                <w:sz w:val="15"/>
                <w:szCs w:val="15"/>
                <w:color w:val="auto"/>
              </w:rPr>
              <w:t>Raw materials</w:t>
            </w:r>
          </w:p>
        </w:tc>
        <w:tc>
          <w:tcPr>
            <w:tcW w:w="25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1,448</w:t>
            </w:r>
          </w:p>
        </w:tc>
        <w:tc>
          <w:tcPr>
            <w:tcW w:w="7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1,392</w:t>
            </w:r>
          </w:p>
        </w:tc>
      </w:tr>
      <w:tr>
        <w:trPr>
          <w:trHeight w:val="168"/>
        </w:trPr>
        <w:tc>
          <w:tcPr>
            <w:tcW w:w="5300" w:type="dxa"/>
            <w:vAlign w:val="bottom"/>
          </w:tcPr>
          <w:p>
            <w:pPr>
              <w:spacing w:after="0" w:line="168" w:lineRule="exact"/>
              <w:rPr>
                <w:sz w:val="20"/>
                <w:szCs w:val="20"/>
                <w:color w:val="auto"/>
              </w:rPr>
            </w:pPr>
            <w:r>
              <w:rPr>
                <w:rFonts w:ascii="Courier New" w:cs="Courier New" w:eastAsia="Courier New" w:hAnsi="Courier New"/>
                <w:sz w:val="15"/>
                <w:szCs w:val="15"/>
                <w:color w:val="auto"/>
              </w:rPr>
              <w:t>Bottles and cases of FEMSA Cerveza</w:t>
            </w:r>
          </w:p>
        </w:tc>
        <w:tc>
          <w:tcPr>
            <w:tcW w:w="25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1,085</w:t>
            </w:r>
          </w:p>
        </w:tc>
        <w:tc>
          <w:tcPr>
            <w:tcW w:w="7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1,039</w:t>
            </w:r>
          </w:p>
        </w:tc>
      </w:tr>
      <w:tr>
        <w:trPr>
          <w:trHeight w:val="168"/>
        </w:trPr>
        <w:tc>
          <w:tcPr>
            <w:tcW w:w="5300" w:type="dxa"/>
            <w:vAlign w:val="bottom"/>
          </w:tcPr>
          <w:p>
            <w:pPr>
              <w:spacing w:after="0" w:line="168" w:lineRule="exact"/>
              <w:rPr>
                <w:sz w:val="20"/>
                <w:szCs w:val="20"/>
                <w:color w:val="auto"/>
              </w:rPr>
            </w:pPr>
            <w:r>
              <w:rPr>
                <w:rFonts w:ascii="Courier New" w:cs="Courier New" w:eastAsia="Courier New" w:hAnsi="Courier New"/>
                <w:sz w:val="15"/>
                <w:szCs w:val="15"/>
                <w:color w:val="auto"/>
              </w:rPr>
              <w:t>Spare parts</w:t>
            </w:r>
          </w:p>
        </w:tc>
        <w:tc>
          <w:tcPr>
            <w:tcW w:w="25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317</w:t>
            </w:r>
          </w:p>
        </w:tc>
        <w:tc>
          <w:tcPr>
            <w:tcW w:w="7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318</w:t>
            </w:r>
          </w:p>
        </w:tc>
      </w:tr>
      <w:tr>
        <w:trPr>
          <w:trHeight w:val="168"/>
        </w:trPr>
        <w:tc>
          <w:tcPr>
            <w:tcW w:w="5300" w:type="dxa"/>
            <w:vAlign w:val="bottom"/>
          </w:tcPr>
          <w:p>
            <w:pPr>
              <w:spacing w:after="0" w:line="168" w:lineRule="exact"/>
              <w:rPr>
                <w:sz w:val="20"/>
                <w:szCs w:val="20"/>
                <w:color w:val="auto"/>
              </w:rPr>
            </w:pPr>
            <w:r>
              <w:rPr>
                <w:rFonts w:ascii="Courier New" w:cs="Courier New" w:eastAsia="Courier New" w:hAnsi="Courier New"/>
                <w:sz w:val="15"/>
                <w:szCs w:val="15"/>
                <w:color w:val="auto"/>
              </w:rPr>
              <w:t>Advances to suppliers</w:t>
            </w:r>
          </w:p>
        </w:tc>
        <w:tc>
          <w:tcPr>
            <w:tcW w:w="25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312</w:t>
            </w:r>
          </w:p>
        </w:tc>
        <w:tc>
          <w:tcPr>
            <w:tcW w:w="7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135</w:t>
            </w:r>
          </w:p>
        </w:tc>
      </w:tr>
      <w:tr>
        <w:trPr>
          <w:trHeight w:val="168"/>
        </w:trPr>
        <w:tc>
          <w:tcPr>
            <w:tcW w:w="5300" w:type="dxa"/>
            <w:vAlign w:val="bottom"/>
          </w:tcPr>
          <w:p>
            <w:pPr>
              <w:spacing w:after="0" w:line="168" w:lineRule="exact"/>
              <w:rPr>
                <w:sz w:val="20"/>
                <w:szCs w:val="20"/>
                <w:color w:val="auto"/>
              </w:rPr>
            </w:pPr>
            <w:r>
              <w:rPr>
                <w:rFonts w:ascii="Courier New" w:cs="Courier New" w:eastAsia="Courier New" w:hAnsi="Courier New"/>
                <w:sz w:val="15"/>
                <w:szCs w:val="15"/>
                <w:color w:val="auto"/>
              </w:rPr>
              <w:t>Work in process</w:t>
            </w:r>
          </w:p>
        </w:tc>
        <w:tc>
          <w:tcPr>
            <w:tcW w:w="25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139</w:t>
            </w:r>
          </w:p>
        </w:tc>
        <w:tc>
          <w:tcPr>
            <w:tcW w:w="7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124</w:t>
            </w:r>
          </w:p>
        </w:tc>
      </w:tr>
      <w:tr>
        <w:trPr>
          <w:trHeight w:val="168"/>
        </w:trPr>
        <w:tc>
          <w:tcPr>
            <w:tcW w:w="5300" w:type="dxa"/>
            <w:vAlign w:val="bottom"/>
          </w:tcPr>
          <w:p>
            <w:pPr>
              <w:spacing w:after="0" w:line="168" w:lineRule="exact"/>
              <w:rPr>
                <w:sz w:val="20"/>
                <w:szCs w:val="20"/>
                <w:color w:val="auto"/>
              </w:rPr>
            </w:pPr>
            <w:r>
              <w:rPr>
                <w:rFonts w:ascii="Courier New" w:cs="Courier New" w:eastAsia="Courier New" w:hAnsi="Courier New"/>
                <w:sz w:val="15"/>
                <w:szCs w:val="15"/>
                <w:color w:val="auto"/>
              </w:rPr>
              <w:t>Advertising and promotional materials</w:t>
            </w:r>
          </w:p>
        </w:tc>
        <w:tc>
          <w:tcPr>
            <w:tcW w:w="25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w:t>
            </w:r>
          </w:p>
        </w:tc>
        <w:tc>
          <w:tcPr>
            <w:tcW w:w="7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5300" w:type="dxa"/>
            <w:vAlign w:val="bottom"/>
          </w:tcPr>
          <w:p>
            <w:pPr>
              <w:spacing w:after="0" w:line="168" w:lineRule="exact"/>
              <w:rPr>
                <w:sz w:val="20"/>
                <w:szCs w:val="20"/>
                <w:color w:val="auto"/>
              </w:rPr>
            </w:pPr>
            <w:r>
              <w:rPr>
                <w:rFonts w:ascii="Courier New" w:cs="Courier New" w:eastAsia="Courier New" w:hAnsi="Courier New"/>
                <w:sz w:val="15"/>
                <w:szCs w:val="15"/>
                <w:color w:val="auto"/>
              </w:rPr>
              <w:t>Allowance for obsolescence</w:t>
            </w:r>
          </w:p>
        </w:tc>
        <w:tc>
          <w:tcPr>
            <w:tcW w:w="25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w:t>
            </w:r>
          </w:p>
        </w:tc>
        <w:tc>
          <w:tcPr>
            <w:tcW w:w="7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7260"/>
        <w:spacing w:after="0"/>
        <w:tabs>
          <w:tab w:leader="none" w:pos="8040" w:val="left"/>
          <w:tab w:leader="none" w:pos="8740" w:val="left"/>
          <w:tab w:leader="none" w:pos="9620" w:val="left"/>
        </w:tabs>
        <w:rPr>
          <w:sz w:val="20"/>
          <w:szCs w:val="20"/>
          <w:color w:val="auto"/>
        </w:rPr>
      </w:pPr>
      <w:r>
        <w:rPr>
          <w:rFonts w:ascii="Courier New" w:cs="Courier New" w:eastAsia="Courier New" w:hAnsi="Courier New"/>
          <w:sz w:val="15"/>
          <w:szCs w:val="15"/>
          <w:color w:val="auto"/>
        </w:rPr>
        <w:t>Ps.</w:t>
      </w:r>
      <w:r>
        <w:rPr>
          <w:sz w:val="20"/>
          <w:szCs w:val="20"/>
          <w:color w:val="auto"/>
        </w:rPr>
        <w:tab/>
      </w:r>
      <w:r>
        <w:rPr>
          <w:rFonts w:ascii="Courier New" w:cs="Courier New" w:eastAsia="Courier New" w:hAnsi="Courier New"/>
          <w:sz w:val="15"/>
          <w:szCs w:val="15"/>
          <w:color w:val="auto"/>
        </w:rPr>
        <w:t>4,867</w:t>
        <w:tab/>
        <w:t>Ps.</w:t>
      </w:r>
      <w:r>
        <w:rPr>
          <w:sz w:val="20"/>
          <w:szCs w:val="20"/>
          <w:color w:val="auto"/>
        </w:rPr>
        <w:tab/>
      </w:r>
      <w:r>
        <w:rPr>
          <w:rFonts w:ascii="Courier New" w:cs="Courier New" w:eastAsia="Courier New" w:hAnsi="Courier New"/>
          <w:sz w:val="14"/>
          <w:szCs w:val="14"/>
          <w:color w:val="auto"/>
        </w:rPr>
        <w:t>4,413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0"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Note 7.</w:t>
      </w:r>
      <w:r>
        <w:rPr>
          <w:sz w:val="20"/>
          <w:szCs w:val="20"/>
          <w:color w:val="auto"/>
        </w:rPr>
        <w:tab/>
      </w:r>
      <w:r>
        <w:rPr>
          <w:rFonts w:ascii="Courier New" w:cs="Courier New" w:eastAsia="Courier New" w:hAnsi="Courier New"/>
          <w:sz w:val="14"/>
          <w:szCs w:val="14"/>
          <w:color w:val="auto"/>
        </w:rPr>
        <w:t>Prepaid Expenses.</w:t>
      </w:r>
    </w:p>
    <w:p>
      <w:pPr>
        <w:spacing w:after="0" w:line="166" w:lineRule="exact"/>
        <w:rPr>
          <w:sz w:val="20"/>
          <w:szCs w:val="20"/>
          <w:color w:val="auto"/>
        </w:rPr>
      </w:pPr>
    </w:p>
    <w:p>
      <w:pPr>
        <w:ind w:left="8240"/>
        <w:spacing w:after="0"/>
        <w:tabs>
          <w:tab w:leader="none" w:pos="9780" w:val="left"/>
        </w:tabs>
        <w:rPr>
          <w:sz w:val="20"/>
          <w:szCs w:val="20"/>
          <w:color w:val="auto"/>
        </w:rPr>
      </w:pPr>
      <w:r>
        <w:rPr>
          <w:rFonts w:ascii="Courier New" w:cs="Courier New" w:eastAsia="Courier New" w:hAnsi="Courier New"/>
          <w:sz w:val="15"/>
          <w:szCs w:val="15"/>
          <w:color w:val="auto"/>
        </w:rPr>
        <w:t>2002</w:t>
      </w:r>
      <w:r>
        <w:rPr>
          <w:sz w:val="20"/>
          <w:szCs w:val="20"/>
          <w:color w:val="auto"/>
        </w:rPr>
        <w:tab/>
      </w:r>
      <w:r>
        <w:rPr>
          <w:rFonts w:ascii="Courier New" w:cs="Courier New" w:eastAsia="Courier New" w:hAnsi="Courier New"/>
          <w:sz w:val="15"/>
          <w:szCs w:val="15"/>
          <w:color w:val="auto"/>
        </w:rPr>
        <w:t>2001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60" w:type="dxa"/>
            <w:vAlign w:val="bottom"/>
          </w:tcPr>
          <w:p>
            <w:pPr>
              <w:spacing w:after="0"/>
              <w:rPr>
                <w:sz w:val="20"/>
                <w:szCs w:val="20"/>
                <w:color w:val="auto"/>
              </w:rPr>
            </w:pPr>
            <w:r>
              <w:rPr>
                <w:rFonts w:ascii="Courier New" w:cs="Courier New" w:eastAsia="Courier New" w:hAnsi="Courier New"/>
                <w:sz w:val="15"/>
                <w:szCs w:val="15"/>
                <w:color w:val="auto"/>
              </w:rPr>
              <w:t>Advertising</w:t>
            </w:r>
          </w:p>
        </w:tc>
        <w:tc>
          <w:tcPr>
            <w:tcW w:w="3800" w:type="dxa"/>
            <w:vAlign w:val="bottom"/>
          </w:tcPr>
          <w:p>
            <w:pPr>
              <w:ind w:left="3200"/>
              <w:spacing w:after="0"/>
              <w:rPr>
                <w:sz w:val="20"/>
                <w:szCs w:val="20"/>
                <w:color w:val="auto"/>
              </w:rPr>
            </w:pPr>
            <w:r>
              <w:rPr>
                <w:rFonts w:ascii="Courier New" w:cs="Courier New" w:eastAsia="Courier New" w:hAnsi="Courier New"/>
                <w:sz w:val="15"/>
                <w:szCs w:val="15"/>
                <w:color w:val="auto"/>
              </w:rPr>
              <w:t>Ps.</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539</w:t>
            </w:r>
          </w:p>
        </w:tc>
        <w:tc>
          <w:tcPr>
            <w:tcW w:w="780" w:type="dxa"/>
            <w:vAlign w:val="bottom"/>
          </w:tcPr>
          <w:p>
            <w:pPr>
              <w:ind w:left="180"/>
              <w:spacing w:after="0"/>
              <w:rPr>
                <w:sz w:val="20"/>
                <w:szCs w:val="20"/>
                <w:color w:val="auto"/>
              </w:rPr>
            </w:pPr>
            <w:r>
              <w:rPr>
                <w:rFonts w:ascii="Courier New" w:cs="Courier New" w:eastAsia="Courier New" w:hAnsi="Courier New"/>
                <w:sz w:val="15"/>
                <w:szCs w:val="15"/>
                <w:color w:val="auto"/>
              </w:rPr>
              <w:t>Ps.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499</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Leasing</w:t>
            </w:r>
          </w:p>
        </w:tc>
        <w:tc>
          <w:tcPr>
            <w:tcW w:w="380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w:t>
            </w:r>
          </w:p>
        </w:tc>
        <w:tc>
          <w:tcPr>
            <w:tcW w:w="7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380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w:t>
            </w:r>
          </w:p>
        </w:tc>
        <w:tc>
          <w:tcPr>
            <w:tcW w:w="7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7260"/>
        <w:spacing w:after="0"/>
        <w:tabs>
          <w:tab w:leader="none" w:pos="8300" w:val="left"/>
          <w:tab w:leader="none" w:pos="8920" w:val="left"/>
          <w:tab w:leader="none" w:pos="9880" w:val="left"/>
        </w:tabs>
        <w:rPr>
          <w:sz w:val="20"/>
          <w:szCs w:val="20"/>
          <w:color w:val="auto"/>
        </w:rPr>
      </w:pPr>
      <w:r>
        <w:rPr>
          <w:rFonts w:ascii="Courier New" w:cs="Courier New" w:eastAsia="Courier New" w:hAnsi="Courier New"/>
          <w:sz w:val="15"/>
          <w:szCs w:val="15"/>
          <w:color w:val="auto"/>
        </w:rPr>
        <w:t>Ps</w:t>
      </w:r>
      <w:r>
        <w:rPr>
          <w:sz w:val="20"/>
          <w:szCs w:val="20"/>
          <w:color w:val="auto"/>
        </w:rPr>
        <w:tab/>
      </w:r>
      <w:r>
        <w:rPr>
          <w:rFonts w:ascii="Courier New" w:cs="Courier New" w:eastAsia="Courier New" w:hAnsi="Courier New"/>
          <w:sz w:val="15"/>
          <w:szCs w:val="15"/>
          <w:color w:val="auto"/>
        </w:rPr>
        <w:t>612</w:t>
      </w:r>
      <w:r>
        <w:rPr>
          <w:sz w:val="20"/>
          <w:szCs w:val="20"/>
          <w:color w:val="auto"/>
        </w:rPr>
        <w:tab/>
      </w:r>
      <w:r>
        <w:rPr>
          <w:rFonts w:ascii="Courier New" w:cs="Courier New" w:eastAsia="Courier New" w:hAnsi="Courier New"/>
          <w:sz w:val="15"/>
          <w:szCs w:val="15"/>
          <w:color w:val="auto"/>
        </w:rPr>
        <w:t>Ps.</w:t>
      </w:r>
      <w:r>
        <w:rPr>
          <w:sz w:val="20"/>
          <w:szCs w:val="20"/>
          <w:color w:val="auto"/>
        </w:rPr>
        <w:tab/>
      </w:r>
      <w:r>
        <w:rPr>
          <w:rFonts w:ascii="Courier New" w:cs="Courier New" w:eastAsia="Courier New" w:hAnsi="Courier New"/>
          <w:sz w:val="14"/>
          <w:szCs w:val="14"/>
          <w:color w:val="auto"/>
        </w:rPr>
        <w:t>554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6" w:lineRule="exact"/>
        <w:rPr>
          <w:sz w:val="20"/>
          <w:szCs w:val="20"/>
          <w:color w:val="auto"/>
        </w:rPr>
      </w:pPr>
    </w:p>
    <w:p>
      <w:pPr>
        <w:ind w:right="3680"/>
        <w:spacing w:after="0" w:line="234" w:lineRule="auto"/>
        <w:rPr>
          <w:sz w:val="20"/>
          <w:szCs w:val="20"/>
          <w:color w:val="auto"/>
        </w:rPr>
      </w:pPr>
      <w:r>
        <w:rPr>
          <w:rFonts w:ascii="Courier New" w:cs="Courier New" w:eastAsia="Courier New" w:hAnsi="Courier New"/>
          <w:sz w:val="15"/>
          <w:szCs w:val="15"/>
          <w:color w:val="auto"/>
        </w:rPr>
        <w:t>The advertising and promotional expenses recorded in the income statement for the years ended December 31, 2002, 2001 and 2000 are as follows:</w:t>
      </w:r>
    </w:p>
    <w:p>
      <w:pPr>
        <w:spacing w:after="0" w:line="167" w:lineRule="exact"/>
        <w:rPr>
          <w:sz w:val="20"/>
          <w:szCs w:val="20"/>
          <w:color w:val="auto"/>
        </w:rPr>
      </w:pPr>
    </w:p>
    <w:p>
      <w:pPr>
        <w:ind w:left="6660"/>
        <w:spacing w:after="0"/>
        <w:tabs>
          <w:tab w:leader="none" w:pos="8220" w:val="left"/>
          <w:tab w:leader="none" w:pos="9780" w:val="left"/>
        </w:tabs>
        <w:rPr>
          <w:sz w:val="20"/>
          <w:szCs w:val="20"/>
          <w:color w:val="auto"/>
        </w:rPr>
      </w:pPr>
      <w:r>
        <w:rPr>
          <w:rFonts w:ascii="Courier New" w:cs="Courier New" w:eastAsia="Courier New" w:hAnsi="Courier New"/>
          <w:sz w:val="15"/>
          <w:szCs w:val="15"/>
          <w:color w:val="auto"/>
        </w:rPr>
        <w:t>2002</w:t>
      </w:r>
      <w:r>
        <w:rPr>
          <w:sz w:val="20"/>
          <w:szCs w:val="20"/>
          <w:color w:val="auto"/>
        </w:rPr>
        <w:tab/>
      </w:r>
      <w:r>
        <w:rPr>
          <w:rFonts w:ascii="Courier New" w:cs="Courier New" w:eastAsia="Courier New" w:hAnsi="Courier New"/>
          <w:sz w:val="15"/>
          <w:szCs w:val="15"/>
          <w:color w:val="auto"/>
        </w:rPr>
        <w:t>2001</w:t>
      </w:r>
      <w:r>
        <w:rPr>
          <w:sz w:val="20"/>
          <w:szCs w:val="20"/>
          <w:color w:val="auto"/>
        </w:rPr>
        <w:tab/>
      </w:r>
      <w:r>
        <w:rPr>
          <w:rFonts w:ascii="Courier New" w:cs="Courier New" w:eastAsia="Courier New" w:hAnsi="Courier New"/>
          <w:sz w:val="15"/>
          <w:szCs w:val="15"/>
          <w:color w:val="auto"/>
        </w:rPr>
        <w:t>2000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Advertising</w:t>
            </w:r>
          </w:p>
        </w:tc>
        <w:tc>
          <w:tcPr>
            <w:tcW w:w="2620" w:type="dxa"/>
            <w:vAlign w:val="bottom"/>
          </w:tcPr>
          <w:p>
            <w:pPr>
              <w:ind w:left="2000"/>
              <w:spacing w:after="0"/>
              <w:rPr>
                <w:sz w:val="20"/>
                <w:szCs w:val="20"/>
                <w:color w:val="auto"/>
              </w:rPr>
            </w:pPr>
            <w:r>
              <w:rPr>
                <w:rFonts w:ascii="Courier New" w:cs="Courier New" w:eastAsia="Courier New" w:hAnsi="Courier New"/>
                <w:sz w:val="15"/>
                <w:szCs w:val="15"/>
                <w:color w:val="auto"/>
              </w:rPr>
              <w:t>Ps.</w:t>
            </w: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776</w:t>
            </w:r>
          </w:p>
        </w:tc>
        <w:tc>
          <w:tcPr>
            <w:tcW w:w="780" w:type="dxa"/>
            <w:vAlign w:val="bottom"/>
          </w:tcPr>
          <w:p>
            <w:pPr>
              <w:ind w:left="180"/>
              <w:spacing w:after="0"/>
              <w:rPr>
                <w:sz w:val="20"/>
                <w:szCs w:val="20"/>
                <w:color w:val="auto"/>
              </w:rPr>
            </w:pPr>
            <w:r>
              <w:rPr>
                <w:rFonts w:ascii="Courier New" w:cs="Courier New" w:eastAsia="Courier New" w:hAnsi="Courier New"/>
                <w:sz w:val="15"/>
                <w:szCs w:val="15"/>
                <w:color w:val="auto"/>
              </w:rPr>
              <w:t>Ps.</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801</w:t>
            </w:r>
          </w:p>
        </w:tc>
        <w:tc>
          <w:tcPr>
            <w:tcW w:w="780" w:type="dxa"/>
            <w:vAlign w:val="bottom"/>
          </w:tcPr>
          <w:p>
            <w:pPr>
              <w:ind w:left="180"/>
              <w:spacing w:after="0"/>
              <w:rPr>
                <w:sz w:val="20"/>
                <w:szCs w:val="20"/>
                <w:color w:val="auto"/>
              </w:rPr>
            </w:pPr>
            <w:r>
              <w:rPr>
                <w:rFonts w:ascii="Courier New" w:cs="Courier New" w:eastAsia="Courier New" w:hAnsi="Courier New"/>
                <w:sz w:val="15"/>
                <w:szCs w:val="15"/>
                <w:color w:val="auto"/>
              </w:rPr>
              <w:t>Ps.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945</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Promotional expenses</w:t>
            </w:r>
          </w:p>
        </w:tc>
        <w:tc>
          <w:tcPr>
            <w:tcW w:w="26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121</w:t>
            </w:r>
          </w:p>
        </w:tc>
        <w:tc>
          <w:tcPr>
            <w:tcW w:w="7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105</w:t>
            </w:r>
          </w:p>
        </w:tc>
        <w:tc>
          <w:tcPr>
            <w:tcW w:w="7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115</w:t>
            </w:r>
          </w:p>
        </w:tc>
      </w:tr>
    </w:tbl>
    <w:p>
      <w:pPr>
        <w:spacing w:after="0" w:line="5" w:lineRule="exact"/>
        <w:rPr>
          <w:sz w:val="20"/>
          <w:szCs w:val="20"/>
          <w:color w:val="auto"/>
        </w:rPr>
      </w:pPr>
    </w:p>
    <w:p>
      <w:pPr>
        <w:ind w:left="180" w:hanging="170"/>
        <w:spacing w:after="0"/>
        <w:tabs>
          <w:tab w:leader="none" w:pos="180"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Note 8.</w:t>
      </w:r>
      <w:r>
        <w:rPr>
          <w:rFonts w:ascii="Courier New" w:cs="Courier New" w:eastAsia="Courier New" w:hAnsi="Courier New"/>
          <w:sz w:val="14"/>
          <w:szCs w:val="14"/>
          <w:color w:val="auto"/>
        </w:rPr>
        <w:t>Investments in Shares.</w:t>
      </w:r>
    </w:p>
    <w:p>
      <w:pPr>
        <w:spacing w:after="0" w:line="172"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ind w:left="180" w:hanging="170"/>
        <w:spacing w:after="0"/>
        <w:tabs>
          <w:tab w:leader="none" w:pos="180"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FEMSA Cerveza:</w:t>
      </w:r>
    </w:p>
    <w:tbl>
      <w:tblPr>
        <w:tblLayout w:type="fixed"/>
        <w:tblInd w:w="0" w:type="dxa"/>
        <w:tblCellMar>
          <w:top w:w="0" w:type="dxa"/>
          <w:left w:w="0" w:type="dxa"/>
          <w:bottom w:w="0" w:type="dxa"/>
          <w:right w:w="0" w:type="dxa"/>
        </w:tblCellMar>
      </w:tblPr>
      <w:tr>
        <w:trPr>
          <w:trHeight w:val="169"/>
        </w:trPr>
        <w:tc>
          <w:tcPr>
            <w:tcW w:w="5300" w:type="dxa"/>
            <w:vAlign w:val="bottom"/>
          </w:tcPr>
          <w:p>
            <w:pPr>
              <w:ind w:left="360"/>
              <w:spacing w:after="0" w:line="169" w:lineRule="exact"/>
              <w:rPr>
                <w:sz w:val="20"/>
                <w:szCs w:val="20"/>
                <w:color w:val="auto"/>
              </w:rPr>
            </w:pPr>
            <w:r>
              <w:rPr>
                <w:rFonts w:ascii="Courier New" w:cs="Courier New" w:eastAsia="Courier New" w:hAnsi="Courier New"/>
                <w:sz w:val="15"/>
                <w:szCs w:val="15"/>
                <w:color w:val="auto"/>
              </w:rPr>
              <w:t>Labatt-USA LLC ("Labatt")</w:t>
            </w:r>
          </w:p>
        </w:tc>
        <w:tc>
          <w:tcPr>
            <w:tcW w:w="1880" w:type="dxa"/>
            <w:vAlign w:val="bottom"/>
          </w:tcPr>
          <w:p>
            <w:pPr>
              <w:jc w:val="right"/>
              <w:ind w:right="107"/>
              <w:spacing w:after="0" w:line="169" w:lineRule="exact"/>
              <w:rPr>
                <w:sz w:val="20"/>
                <w:szCs w:val="20"/>
                <w:color w:val="auto"/>
              </w:rPr>
            </w:pPr>
            <w:r>
              <w:rPr>
                <w:rFonts w:ascii="Courier New" w:cs="Courier New" w:eastAsia="Courier New" w:hAnsi="Courier New"/>
                <w:sz w:val="15"/>
                <w:szCs w:val="15"/>
                <w:color w:val="auto"/>
              </w:rPr>
              <w:t>30.00%</w:t>
            </w:r>
          </w:p>
        </w:tc>
        <w:tc>
          <w:tcPr>
            <w:tcW w:w="780" w:type="dxa"/>
            <w:vAlign w:val="bottom"/>
          </w:tcPr>
          <w:p>
            <w:pPr>
              <w:ind w:left="180"/>
              <w:spacing w:after="0" w:line="169" w:lineRule="exact"/>
              <w:rPr>
                <w:sz w:val="20"/>
                <w:szCs w:val="20"/>
                <w:color w:val="auto"/>
              </w:rPr>
            </w:pPr>
            <w:r>
              <w:rPr>
                <w:rFonts w:ascii="Courier New" w:cs="Courier New" w:eastAsia="Courier New" w:hAnsi="Courier New"/>
                <w:sz w:val="15"/>
                <w:szCs w:val="15"/>
                <w:color w:val="auto"/>
              </w:rPr>
              <w:t>Ps.</w:t>
            </w:r>
          </w:p>
        </w:tc>
        <w:tc>
          <w:tcPr>
            <w:tcW w:w="800" w:type="dxa"/>
            <w:vAlign w:val="bottom"/>
          </w:tcPr>
          <w:p>
            <w:pPr>
              <w:jc w:val="right"/>
              <w:ind w:right="107"/>
              <w:spacing w:after="0" w:line="169" w:lineRule="exact"/>
              <w:rPr>
                <w:sz w:val="20"/>
                <w:szCs w:val="20"/>
                <w:color w:val="auto"/>
              </w:rPr>
            </w:pPr>
            <w:r>
              <w:rPr>
                <w:rFonts w:ascii="Courier New" w:cs="Courier New" w:eastAsia="Courier New" w:hAnsi="Courier New"/>
                <w:sz w:val="15"/>
                <w:szCs w:val="15"/>
                <w:color w:val="auto"/>
              </w:rPr>
              <w:t>172</w:t>
            </w:r>
          </w:p>
        </w:tc>
        <w:tc>
          <w:tcPr>
            <w:tcW w:w="780" w:type="dxa"/>
            <w:vAlign w:val="bottom"/>
          </w:tcPr>
          <w:p>
            <w:pPr>
              <w:ind w:left="180"/>
              <w:spacing w:after="0" w:line="169" w:lineRule="exact"/>
              <w:rPr>
                <w:sz w:val="20"/>
                <w:szCs w:val="20"/>
                <w:color w:val="auto"/>
              </w:rPr>
            </w:pPr>
            <w:r>
              <w:rPr>
                <w:rFonts w:ascii="Courier New" w:cs="Courier New" w:eastAsia="Courier New" w:hAnsi="Courier New"/>
                <w:sz w:val="15"/>
                <w:szCs w:val="15"/>
                <w:color w:val="auto"/>
              </w:rPr>
              <w:t>Ps.</w:t>
            </w:r>
          </w:p>
        </w:tc>
        <w:tc>
          <w:tcPr>
            <w:tcW w:w="62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117</w:t>
            </w:r>
          </w:p>
        </w:tc>
      </w:tr>
      <w:tr>
        <w:trPr>
          <w:trHeight w:val="168"/>
        </w:trPr>
        <w:tc>
          <w:tcPr>
            <w:tcW w:w="53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Associated companies of FEMSA Cerveza</w:t>
            </w:r>
          </w:p>
        </w:tc>
        <w:tc>
          <w:tcPr>
            <w:tcW w:w="1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Various</w:t>
            </w:r>
          </w:p>
        </w:tc>
        <w:tc>
          <w:tcPr>
            <w:tcW w:w="7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106</w:t>
            </w:r>
          </w:p>
        </w:tc>
        <w:tc>
          <w:tcPr>
            <w:tcW w:w="7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w:t>
            </w:r>
          </w:p>
        </w:tc>
      </w:tr>
      <w:tr>
        <w:trPr>
          <w:trHeight w:val="168"/>
        </w:trPr>
        <w:tc>
          <w:tcPr>
            <w:tcW w:w="53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Rio Blanco Trust (waste water treatment plant)</w:t>
            </w:r>
          </w:p>
        </w:tc>
        <w:tc>
          <w:tcPr>
            <w:tcW w:w="1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33.71%</w:t>
            </w:r>
          </w:p>
        </w:tc>
        <w:tc>
          <w:tcPr>
            <w:tcW w:w="7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86</w:t>
            </w:r>
          </w:p>
        </w:tc>
        <w:tc>
          <w:tcPr>
            <w:tcW w:w="7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w:t>
            </w:r>
          </w:p>
        </w:tc>
      </w:tr>
      <w:tr>
        <w:trPr>
          <w:trHeight w:val="168"/>
        </w:trPr>
        <w:tc>
          <w:tcPr>
            <w:tcW w:w="53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Other associates</w:t>
            </w:r>
          </w:p>
        </w:tc>
        <w:tc>
          <w:tcPr>
            <w:tcW w:w="1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w:t>
            </w:r>
          </w:p>
        </w:tc>
        <w:tc>
          <w:tcPr>
            <w:tcW w:w="7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w:t>
            </w:r>
          </w:p>
        </w:tc>
      </w:tr>
      <w:tr>
        <w:trPr>
          <w:trHeight w:val="168"/>
        </w:trPr>
        <w:tc>
          <w:tcPr>
            <w:tcW w:w="5300" w:type="dxa"/>
            <w:vAlign w:val="bottom"/>
          </w:tcPr>
          <w:p>
            <w:pPr>
              <w:spacing w:after="0" w:line="168" w:lineRule="exact"/>
              <w:rPr>
                <w:sz w:val="20"/>
                <w:szCs w:val="20"/>
                <w:color w:val="auto"/>
              </w:rPr>
            </w:pPr>
            <w:r>
              <w:rPr>
                <w:rFonts w:ascii="Courier New" w:cs="Courier New" w:eastAsia="Courier New" w:hAnsi="Courier New"/>
                <w:sz w:val="15"/>
                <w:szCs w:val="15"/>
                <w:color w:val="auto"/>
              </w:rPr>
              <w:t>Coca-Cola FEMSA:</w:t>
            </w:r>
          </w:p>
        </w:tc>
        <w:tc>
          <w:tcPr>
            <w:tcW w:w="1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3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Industria Envasadora de</w:t>
            </w:r>
          </w:p>
        </w:tc>
        <w:tc>
          <w:tcPr>
            <w:tcW w:w="1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3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Queretaro, S.A. de C.V. ("IEQSA")</w:t>
            </w:r>
          </w:p>
        </w:tc>
        <w:tc>
          <w:tcPr>
            <w:tcW w:w="1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19.60%</w:t>
            </w:r>
          </w:p>
        </w:tc>
        <w:tc>
          <w:tcPr>
            <w:tcW w:w="7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68</w:t>
            </w:r>
          </w:p>
        </w:tc>
        <w:tc>
          <w:tcPr>
            <w:tcW w:w="7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w:t>
            </w:r>
          </w:p>
        </w:tc>
      </w:tr>
      <w:tr>
        <w:trPr>
          <w:trHeight w:val="168"/>
        </w:trPr>
        <w:tc>
          <w:tcPr>
            <w:tcW w:w="5300" w:type="dxa"/>
            <w:vAlign w:val="bottom"/>
          </w:tcPr>
          <w:p>
            <w:pPr>
              <w:spacing w:after="0" w:line="168" w:lineRule="exact"/>
              <w:rPr>
                <w:sz w:val="20"/>
                <w:szCs w:val="20"/>
                <w:color w:val="auto"/>
              </w:rPr>
            </w:pPr>
            <w:r>
              <w:rPr>
                <w:rFonts w:ascii="Courier New" w:cs="Courier New" w:eastAsia="Courier New" w:hAnsi="Courier New"/>
                <w:sz w:val="15"/>
                <w:szCs w:val="15"/>
                <w:color w:val="auto"/>
              </w:rPr>
              <w:t>Coca-Cola FEMSA Buenos Aires:</w:t>
            </w:r>
          </w:p>
        </w:tc>
        <w:tc>
          <w:tcPr>
            <w:tcW w:w="1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3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Complejo Industrial Can S.A. ("CICAN")</w:t>
            </w:r>
          </w:p>
        </w:tc>
        <w:tc>
          <w:tcPr>
            <w:tcW w:w="1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48.10%</w:t>
            </w:r>
          </w:p>
        </w:tc>
        <w:tc>
          <w:tcPr>
            <w:tcW w:w="7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w:t>
            </w:r>
          </w:p>
        </w:tc>
        <w:tc>
          <w:tcPr>
            <w:tcW w:w="7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w:t>
            </w:r>
          </w:p>
        </w:tc>
      </w:tr>
      <w:tr>
        <w:trPr>
          <w:trHeight w:val="168"/>
        </w:trPr>
        <w:tc>
          <w:tcPr>
            <w:tcW w:w="53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associates</w:t>
            </w:r>
          </w:p>
        </w:tc>
        <w:tc>
          <w:tcPr>
            <w:tcW w:w="1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Various</w:t>
            </w:r>
          </w:p>
        </w:tc>
        <w:tc>
          <w:tcPr>
            <w:tcW w:w="7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w:t>
            </w:r>
          </w:p>
        </w:tc>
        <w:tc>
          <w:tcPr>
            <w:tcW w:w="7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7360"/>
        <w:spacing w:after="0"/>
        <w:tabs>
          <w:tab w:leader="none" w:pos="8220" w:val="left"/>
          <w:tab w:leader="none" w:pos="8820" w:val="left"/>
          <w:tab w:leader="none" w:pos="9880" w:val="left"/>
        </w:tabs>
        <w:rPr>
          <w:sz w:val="20"/>
          <w:szCs w:val="20"/>
          <w:color w:val="auto"/>
        </w:rPr>
      </w:pPr>
      <w:r>
        <w:rPr>
          <w:rFonts w:ascii="Courier New" w:cs="Courier New" w:eastAsia="Courier New" w:hAnsi="Courier New"/>
          <w:sz w:val="15"/>
          <w:szCs w:val="15"/>
          <w:color w:val="auto"/>
        </w:rPr>
        <w:t>Ps.</w:t>
      </w:r>
      <w:r>
        <w:rPr>
          <w:sz w:val="20"/>
          <w:szCs w:val="20"/>
          <w:color w:val="auto"/>
        </w:rPr>
        <w:tab/>
      </w:r>
      <w:r>
        <w:rPr>
          <w:rFonts w:ascii="Courier New" w:cs="Courier New" w:eastAsia="Courier New" w:hAnsi="Courier New"/>
          <w:sz w:val="15"/>
          <w:szCs w:val="15"/>
          <w:color w:val="auto"/>
        </w:rPr>
        <w:t>544</w:t>
      </w:r>
      <w:r>
        <w:rPr>
          <w:sz w:val="20"/>
          <w:szCs w:val="20"/>
          <w:color w:val="auto"/>
        </w:rPr>
        <w:tab/>
      </w:r>
      <w:r>
        <w:rPr>
          <w:rFonts w:ascii="Courier New" w:cs="Courier New" w:eastAsia="Courier New" w:hAnsi="Courier New"/>
          <w:sz w:val="15"/>
          <w:szCs w:val="15"/>
          <w:color w:val="auto"/>
        </w:rPr>
        <w:t>Ps.</w:t>
      </w:r>
      <w:r>
        <w:rPr>
          <w:sz w:val="20"/>
          <w:szCs w:val="20"/>
          <w:color w:val="auto"/>
        </w:rPr>
        <w:tab/>
      </w:r>
      <w:r>
        <w:rPr>
          <w:rFonts w:ascii="Courier New" w:cs="Courier New" w:eastAsia="Courier New" w:hAnsi="Courier New"/>
          <w:sz w:val="14"/>
          <w:szCs w:val="14"/>
          <w:color w:val="auto"/>
        </w:rPr>
        <w:t>437</w:t>
      </w:r>
    </w:p>
    <w:p>
      <w:pPr>
        <w:spacing w:after="0" w:line="5" w:lineRule="exact"/>
        <w:rPr>
          <w:sz w:val="20"/>
          <w:szCs w:val="20"/>
          <w:color w:val="auto"/>
        </w:rPr>
      </w:pPr>
    </w:p>
    <w:p>
      <w:pPr>
        <w:ind w:left="180" w:hanging="170"/>
        <w:spacing w:after="0"/>
        <w:tabs>
          <w:tab w:leader="none" w:pos="180"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9" w:lineRule="exact"/>
        <w:rPr>
          <w:rFonts w:ascii="Courier New" w:cs="Courier New" w:eastAsia="Courier New" w:hAnsi="Courier New"/>
          <w:sz w:val="14"/>
          <w:szCs w:val="14"/>
          <w:color w:val="auto"/>
        </w:rPr>
      </w:pPr>
    </w:p>
    <w:p>
      <w:pPr>
        <w:ind w:left="33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F-15</w:t>
      </w:r>
    </w:p>
    <w:p>
      <w:pPr>
        <w:sectPr>
          <w:pgSz w:w="11900" w:h="16838" w:orient="portrait"/>
          <w:cols w:equalWidth="0" w:num="1">
            <w:col w:w="10420"/>
          </w:cols>
          <w:pgMar w:left="220" w:top="953" w:right="1259" w:bottom="1440" w:gutter="0" w:footer="0" w:header="0"/>
        </w:sectPr>
      </w:pPr>
    </w:p>
    <w:bookmarkStart w:id="178" w:name="page179"/>
    <w:bookmarkEnd w:id="178"/>
    <w:tbl>
      <w:tblPr>
        <w:tblLayout w:type="fixed"/>
        <w:tblInd w:w="0" w:type="dxa"/>
        <w:tblCellMar>
          <w:top w:w="0" w:type="dxa"/>
          <w:left w:w="0" w:type="dxa"/>
          <w:bottom w:w="0" w:type="dxa"/>
          <w:right w:w="0" w:type="dxa"/>
        </w:tblCellMar>
      </w:tblPr>
      <w:tr>
        <w:trPr>
          <w:trHeight w:val="170"/>
        </w:trPr>
        <w:tc>
          <w:tcPr>
            <w:tcW w:w="1980" w:type="dxa"/>
            <w:vAlign w:val="bottom"/>
          </w:tcPr>
          <w:p>
            <w:pPr>
              <w:spacing w:after="0"/>
              <w:rPr>
                <w:sz w:val="20"/>
                <w:szCs w:val="20"/>
                <w:color w:val="auto"/>
              </w:rPr>
            </w:pPr>
            <w:r>
              <w:rPr>
                <w:rFonts w:ascii="Courier New" w:cs="Courier New" w:eastAsia="Courier New" w:hAnsi="Courier New"/>
                <w:sz w:val="15"/>
                <w:szCs w:val="15"/>
                <w:color w:val="auto"/>
                <w:w w:val="98"/>
              </w:rPr>
              <w:t>On May 31, 2000, FEMSA</w:t>
            </w:r>
          </w:p>
        </w:tc>
        <w:tc>
          <w:tcPr>
            <w:tcW w:w="36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Empaques' sale of Corrugados de Tehuacan,</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w w:val="94"/>
              </w:rPr>
              <w:t>S.A. de C.V. to</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Willamette Industries,</w:t>
            </w:r>
          </w:p>
        </w:tc>
        <w:tc>
          <w:tcPr>
            <w:tcW w:w="36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7"/>
              </w:rPr>
              <w:t>Inc. was completed. The sales price was $</w:t>
            </w:r>
          </w:p>
        </w:tc>
        <w:tc>
          <w:tcPr>
            <w:tcW w:w="13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4"/>
              </w:rPr>
              <w:t>71, and the net</w:t>
            </w:r>
          </w:p>
        </w:tc>
      </w:tr>
      <w:tr>
        <w:trPr>
          <w:trHeight w:val="168"/>
        </w:trPr>
        <w:tc>
          <w:tcPr>
            <w:tcW w:w="22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proceeds were used to pay</w:t>
            </w:r>
          </w:p>
        </w:tc>
        <w:tc>
          <w:tcPr>
            <w:tcW w:w="3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debt. The gain on the sale was $5, net</w:t>
            </w:r>
          </w:p>
        </w:tc>
        <w:tc>
          <w:tcPr>
            <w:tcW w:w="13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 fee</w:t>
            </w:r>
          </w:p>
        </w:tc>
      </w:tr>
      <w:tr>
        <w:trPr>
          <w:trHeight w:val="168"/>
        </w:trPr>
        <w:tc>
          <w:tcPr>
            <w:tcW w:w="22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payments, and is included</w:t>
            </w:r>
          </w:p>
        </w:tc>
        <w:tc>
          <w:tcPr>
            <w:tcW w:w="34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97"/>
              </w:rPr>
              <w:t>in other income (expenses), net.</w:t>
            </w:r>
          </w:p>
        </w:tc>
        <w:tc>
          <w:tcPr>
            <w:tcW w:w="1340" w:type="dxa"/>
            <w:vAlign w:val="bottom"/>
          </w:tcPr>
          <w:p>
            <w:pPr>
              <w:spacing w:after="0"/>
              <w:rPr>
                <w:sz w:val="14"/>
                <w:szCs w:val="14"/>
                <w:color w:val="auto"/>
              </w:rPr>
            </w:pPr>
          </w:p>
        </w:tc>
      </w:tr>
    </w:tbl>
    <w:p>
      <w:pPr>
        <w:spacing w:after="0" w:line="335"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Note 9.</w:t>
      </w:r>
      <w:r>
        <w:rPr>
          <w:sz w:val="20"/>
          <w:szCs w:val="20"/>
          <w:color w:val="auto"/>
        </w:rPr>
        <w:tab/>
      </w:r>
      <w:r>
        <w:rPr>
          <w:rFonts w:ascii="Courier New" w:cs="Courier New" w:eastAsia="Courier New" w:hAnsi="Courier New"/>
          <w:sz w:val="14"/>
          <w:szCs w:val="14"/>
          <w:color w:val="auto"/>
        </w:rPr>
        <w:t>Property, Plant and Equipment.</w:t>
      </w:r>
    </w:p>
    <w:p>
      <w:pPr>
        <w:spacing w:after="0" w:line="200" w:lineRule="exact"/>
        <w:rPr>
          <w:sz w:val="20"/>
          <w:szCs w:val="20"/>
          <w:color w:val="auto"/>
        </w:rPr>
      </w:pPr>
    </w:p>
    <w:p>
      <w:pPr>
        <w:spacing w:after="0" w:line="303" w:lineRule="exact"/>
        <w:rPr>
          <w:sz w:val="20"/>
          <w:szCs w:val="20"/>
          <w:color w:val="auto"/>
        </w:rPr>
      </w:pPr>
    </w:p>
    <w:p>
      <w:pPr>
        <w:ind w:left="8240"/>
        <w:spacing w:after="0"/>
        <w:tabs>
          <w:tab w:leader="none" w:pos="9780" w:val="left"/>
        </w:tabs>
        <w:rPr>
          <w:sz w:val="20"/>
          <w:szCs w:val="20"/>
          <w:color w:val="auto"/>
        </w:rPr>
      </w:pPr>
      <w:r>
        <w:rPr>
          <w:rFonts w:ascii="Courier New" w:cs="Courier New" w:eastAsia="Courier New" w:hAnsi="Courier New"/>
          <w:sz w:val="15"/>
          <w:szCs w:val="15"/>
          <w:color w:val="auto"/>
        </w:rPr>
        <w:t>2002</w:t>
      </w:r>
      <w:r>
        <w:rPr>
          <w:sz w:val="20"/>
          <w:szCs w:val="20"/>
          <w:color w:val="auto"/>
        </w:rPr>
        <w:tab/>
      </w:r>
      <w:r>
        <w:rPr>
          <w:rFonts w:ascii="Courier New" w:cs="Courier New" w:eastAsia="Courier New" w:hAnsi="Courier New"/>
          <w:sz w:val="15"/>
          <w:szCs w:val="15"/>
          <w:color w:val="auto"/>
        </w:rPr>
        <w:t>2001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60" w:type="dxa"/>
            <w:vAlign w:val="bottom"/>
          </w:tcPr>
          <w:p>
            <w:pPr>
              <w:spacing w:after="0"/>
              <w:rPr>
                <w:sz w:val="20"/>
                <w:szCs w:val="20"/>
                <w:color w:val="auto"/>
              </w:rPr>
            </w:pPr>
            <w:r>
              <w:rPr>
                <w:rFonts w:ascii="Courier New" w:cs="Courier New" w:eastAsia="Courier New" w:hAnsi="Courier New"/>
                <w:sz w:val="15"/>
                <w:szCs w:val="15"/>
                <w:color w:val="auto"/>
              </w:rPr>
              <w:t>Land</w:t>
            </w:r>
          </w:p>
        </w:tc>
        <w:tc>
          <w:tcPr>
            <w:tcW w:w="2500" w:type="dxa"/>
            <w:vAlign w:val="bottom"/>
          </w:tcPr>
          <w:p>
            <w:pPr>
              <w:ind w:left="2100"/>
              <w:spacing w:after="0"/>
              <w:rPr>
                <w:sz w:val="20"/>
                <w:szCs w:val="20"/>
                <w:color w:val="auto"/>
              </w:rPr>
            </w:pPr>
            <w:r>
              <w:rPr>
                <w:rFonts w:ascii="Courier New" w:cs="Courier New" w:eastAsia="Courier New" w:hAnsi="Courier New"/>
                <w:sz w:val="15"/>
                <w:szCs w:val="15"/>
                <w:color w:val="auto"/>
              </w:rPr>
              <w:t>Ps.</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3,369</w:t>
            </w:r>
          </w:p>
        </w:tc>
        <w:tc>
          <w:tcPr>
            <w:tcW w:w="560" w:type="dxa"/>
            <w:vAlign w:val="bottom"/>
          </w:tcPr>
          <w:p>
            <w:pPr>
              <w:ind w:left="180"/>
              <w:spacing w:after="0"/>
              <w:rPr>
                <w:sz w:val="20"/>
                <w:szCs w:val="20"/>
                <w:color w:val="auto"/>
              </w:rPr>
            </w:pPr>
            <w:r>
              <w:rPr>
                <w:rFonts w:ascii="Courier New" w:cs="Courier New" w:eastAsia="Courier New" w:hAnsi="Courier New"/>
                <w:sz w:val="15"/>
                <w:szCs w:val="15"/>
                <w:color w:val="auto"/>
              </w:rPr>
              <w:t>Ps.</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3,433</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Buildings</w:t>
            </w:r>
          </w:p>
        </w:tc>
        <w:tc>
          <w:tcPr>
            <w:tcW w:w="250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12,792</w:t>
            </w:r>
          </w:p>
        </w:tc>
        <w:tc>
          <w:tcPr>
            <w:tcW w:w="5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12,464</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Machinery and equipment</w:t>
            </w:r>
          </w:p>
        </w:tc>
        <w:tc>
          <w:tcPr>
            <w:tcW w:w="250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29,449</w:t>
            </w:r>
          </w:p>
        </w:tc>
        <w:tc>
          <w:tcPr>
            <w:tcW w:w="5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27,792</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Accumulated depreciation</w:t>
            </w:r>
          </w:p>
        </w:tc>
        <w:tc>
          <w:tcPr>
            <w:tcW w:w="250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(18,344)</w:t>
            </w:r>
          </w:p>
        </w:tc>
        <w:tc>
          <w:tcPr>
            <w:tcW w:w="5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(17,073)</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Construction in progress</w:t>
            </w:r>
          </w:p>
        </w:tc>
        <w:tc>
          <w:tcPr>
            <w:tcW w:w="250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1,443</w:t>
            </w:r>
          </w:p>
        </w:tc>
        <w:tc>
          <w:tcPr>
            <w:tcW w:w="5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1,307</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Bottles and cases of Coca-Cola FEMSA</w:t>
            </w:r>
          </w:p>
        </w:tc>
        <w:tc>
          <w:tcPr>
            <w:tcW w:w="250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284</w:t>
            </w:r>
          </w:p>
        </w:tc>
        <w:tc>
          <w:tcPr>
            <w:tcW w:w="5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212</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Assets stated at realizable value</w:t>
            </w:r>
          </w:p>
        </w:tc>
        <w:tc>
          <w:tcPr>
            <w:tcW w:w="250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760</w:t>
            </w:r>
          </w:p>
        </w:tc>
        <w:tc>
          <w:tcPr>
            <w:tcW w:w="5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714</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7360"/>
        <w:spacing w:after="0"/>
        <w:tabs>
          <w:tab w:leader="none" w:pos="8040" w:val="left"/>
          <w:tab w:leader="none" w:pos="8820" w:val="left"/>
          <w:tab w:leader="none" w:pos="9620" w:val="left"/>
        </w:tabs>
        <w:rPr>
          <w:sz w:val="20"/>
          <w:szCs w:val="20"/>
          <w:color w:val="auto"/>
        </w:rPr>
      </w:pPr>
      <w:r>
        <w:rPr>
          <w:rFonts w:ascii="Courier New" w:cs="Courier New" w:eastAsia="Courier New" w:hAnsi="Courier New"/>
          <w:sz w:val="15"/>
          <w:szCs w:val="15"/>
          <w:color w:val="auto"/>
        </w:rPr>
        <w:t>Ps.</w:t>
      </w:r>
      <w:r>
        <w:rPr>
          <w:sz w:val="20"/>
          <w:szCs w:val="20"/>
          <w:color w:val="auto"/>
        </w:rPr>
        <w:tab/>
      </w:r>
      <w:r>
        <w:rPr>
          <w:rFonts w:ascii="Courier New" w:cs="Courier New" w:eastAsia="Courier New" w:hAnsi="Courier New"/>
          <w:sz w:val="15"/>
          <w:szCs w:val="15"/>
          <w:color w:val="auto"/>
        </w:rPr>
        <w:t>29,753</w:t>
        <w:tab/>
        <w:t>Ps.</w:t>
      </w:r>
      <w:r>
        <w:rPr>
          <w:sz w:val="20"/>
          <w:szCs w:val="20"/>
          <w:color w:val="auto"/>
        </w:rPr>
        <w:tab/>
      </w:r>
      <w:r>
        <w:rPr>
          <w:rFonts w:ascii="Courier New" w:cs="Courier New" w:eastAsia="Courier New" w:hAnsi="Courier New"/>
          <w:sz w:val="14"/>
          <w:szCs w:val="14"/>
          <w:color w:val="auto"/>
        </w:rPr>
        <w:t>28,849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8" w:lineRule="exact"/>
        <w:rPr>
          <w:sz w:val="20"/>
          <w:szCs w:val="20"/>
          <w:color w:val="auto"/>
        </w:rPr>
      </w:pPr>
    </w:p>
    <w:p>
      <w:pPr>
        <w:jc w:val="both"/>
        <w:ind w:right="3420"/>
        <w:spacing w:after="0" w:line="236" w:lineRule="auto"/>
        <w:rPr>
          <w:sz w:val="20"/>
          <w:szCs w:val="20"/>
          <w:color w:val="auto"/>
        </w:rPr>
      </w:pPr>
      <w:r>
        <w:rPr>
          <w:rFonts w:ascii="Courier New" w:cs="Courier New" w:eastAsia="Courier New" w:hAnsi="Courier New"/>
          <w:sz w:val="15"/>
          <w:szCs w:val="15"/>
          <w:color w:val="auto"/>
        </w:rPr>
        <w:t>The Company has identified fixed assets consisting mainly of land, buildings and equipment for disposal, in accordance with an approved program for the disposal of certain investments. Such assets are not in use and have been valued at their estimated realizable value, according to independent appraisals. Such assets are allocated as follows:</w:t>
      </w:r>
    </w:p>
    <w:p>
      <w:pPr>
        <w:spacing w:after="0" w:line="167" w:lineRule="exact"/>
        <w:rPr>
          <w:sz w:val="20"/>
          <w:szCs w:val="20"/>
          <w:color w:val="auto"/>
        </w:rPr>
      </w:pPr>
    </w:p>
    <w:p>
      <w:pPr>
        <w:ind w:left="8240"/>
        <w:spacing w:after="0"/>
        <w:tabs>
          <w:tab w:leader="none" w:pos="9780" w:val="left"/>
        </w:tabs>
        <w:rPr>
          <w:sz w:val="20"/>
          <w:szCs w:val="20"/>
          <w:color w:val="auto"/>
        </w:rPr>
      </w:pPr>
      <w:r>
        <w:rPr>
          <w:rFonts w:ascii="Courier New" w:cs="Courier New" w:eastAsia="Courier New" w:hAnsi="Courier New"/>
          <w:sz w:val="15"/>
          <w:szCs w:val="15"/>
          <w:color w:val="auto"/>
        </w:rPr>
        <w:t>2002</w:t>
      </w:r>
      <w:r>
        <w:rPr>
          <w:sz w:val="20"/>
          <w:szCs w:val="20"/>
          <w:color w:val="auto"/>
        </w:rPr>
        <w:tab/>
      </w:r>
      <w:r>
        <w:rPr>
          <w:rFonts w:ascii="Courier New" w:cs="Courier New" w:eastAsia="Courier New" w:hAnsi="Courier New"/>
          <w:sz w:val="15"/>
          <w:szCs w:val="15"/>
          <w:color w:val="auto"/>
        </w:rPr>
        <w:t>2001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40" w:type="dxa"/>
            <w:vAlign w:val="bottom"/>
          </w:tcPr>
          <w:p>
            <w:pPr>
              <w:spacing w:after="0"/>
              <w:rPr>
                <w:sz w:val="20"/>
                <w:szCs w:val="20"/>
                <w:color w:val="auto"/>
              </w:rPr>
            </w:pPr>
            <w:r>
              <w:rPr>
                <w:rFonts w:ascii="Courier New" w:cs="Courier New" w:eastAsia="Courier New" w:hAnsi="Courier New"/>
                <w:sz w:val="15"/>
                <w:szCs w:val="15"/>
                <w:color w:val="auto"/>
              </w:rPr>
              <w:t>FEMSA Cerveza</w:t>
            </w:r>
          </w:p>
        </w:tc>
        <w:tc>
          <w:tcPr>
            <w:tcW w:w="3620" w:type="dxa"/>
            <w:vAlign w:val="bottom"/>
          </w:tcPr>
          <w:p>
            <w:pPr>
              <w:ind w:left="3020"/>
              <w:spacing w:after="0"/>
              <w:rPr>
                <w:sz w:val="20"/>
                <w:szCs w:val="20"/>
                <w:color w:val="auto"/>
              </w:rPr>
            </w:pPr>
            <w:r>
              <w:rPr>
                <w:rFonts w:ascii="Courier New" w:cs="Courier New" w:eastAsia="Courier New" w:hAnsi="Courier New"/>
                <w:sz w:val="15"/>
                <w:szCs w:val="15"/>
                <w:color w:val="auto"/>
              </w:rPr>
              <w:t>Ps.</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393</w:t>
            </w:r>
          </w:p>
        </w:tc>
        <w:tc>
          <w:tcPr>
            <w:tcW w:w="780" w:type="dxa"/>
            <w:vAlign w:val="bottom"/>
          </w:tcPr>
          <w:p>
            <w:pPr>
              <w:ind w:left="180"/>
              <w:spacing w:after="0"/>
              <w:rPr>
                <w:sz w:val="20"/>
                <w:szCs w:val="20"/>
                <w:color w:val="auto"/>
              </w:rPr>
            </w:pPr>
            <w:r>
              <w:rPr>
                <w:rFonts w:ascii="Courier New" w:cs="Courier New" w:eastAsia="Courier New" w:hAnsi="Courier New"/>
                <w:sz w:val="15"/>
                <w:szCs w:val="15"/>
                <w:color w:val="auto"/>
              </w:rPr>
              <w:t>Ps.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303</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Coca-Cola FEMSA</w:t>
            </w:r>
          </w:p>
        </w:tc>
        <w:tc>
          <w:tcPr>
            <w:tcW w:w="362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FEMSA Empaques</w:t>
            </w:r>
          </w:p>
        </w:tc>
        <w:tc>
          <w:tcPr>
            <w:tcW w:w="362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w:t>
            </w:r>
          </w:p>
        </w:tc>
        <w:tc>
          <w:tcPr>
            <w:tcW w:w="7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FEMSA</w:t>
            </w:r>
          </w:p>
        </w:tc>
        <w:tc>
          <w:tcPr>
            <w:tcW w:w="362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328</w:t>
            </w:r>
          </w:p>
        </w:tc>
        <w:tc>
          <w:tcPr>
            <w:tcW w:w="7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352</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7360"/>
        <w:spacing w:after="0"/>
        <w:tabs>
          <w:tab w:leader="none" w:pos="8300" w:val="left"/>
          <w:tab w:leader="none" w:pos="8920" w:val="left"/>
          <w:tab w:leader="none" w:pos="9880" w:val="left"/>
        </w:tabs>
        <w:rPr>
          <w:sz w:val="20"/>
          <w:szCs w:val="20"/>
          <w:color w:val="auto"/>
        </w:rPr>
      </w:pPr>
      <w:r>
        <w:rPr>
          <w:rFonts w:ascii="Courier New" w:cs="Courier New" w:eastAsia="Courier New" w:hAnsi="Courier New"/>
          <w:sz w:val="15"/>
          <w:szCs w:val="15"/>
          <w:color w:val="auto"/>
        </w:rPr>
        <w:t>Ps.</w:t>
      </w:r>
      <w:r>
        <w:rPr>
          <w:sz w:val="20"/>
          <w:szCs w:val="20"/>
          <w:color w:val="auto"/>
        </w:rPr>
        <w:tab/>
      </w:r>
      <w:r>
        <w:rPr>
          <w:rFonts w:ascii="Courier New" w:cs="Courier New" w:eastAsia="Courier New" w:hAnsi="Courier New"/>
          <w:sz w:val="15"/>
          <w:szCs w:val="15"/>
          <w:color w:val="auto"/>
        </w:rPr>
        <w:t>760</w:t>
      </w:r>
      <w:r>
        <w:rPr>
          <w:sz w:val="20"/>
          <w:szCs w:val="20"/>
          <w:color w:val="auto"/>
        </w:rPr>
        <w:tab/>
      </w:r>
      <w:r>
        <w:rPr>
          <w:rFonts w:ascii="Courier New" w:cs="Courier New" w:eastAsia="Courier New" w:hAnsi="Courier New"/>
          <w:sz w:val="15"/>
          <w:szCs w:val="15"/>
          <w:color w:val="auto"/>
        </w:rPr>
        <w:t>Ps.</w:t>
      </w:r>
      <w:r>
        <w:rPr>
          <w:sz w:val="20"/>
          <w:szCs w:val="20"/>
          <w:color w:val="auto"/>
        </w:rPr>
        <w:tab/>
      </w:r>
      <w:r>
        <w:rPr>
          <w:rFonts w:ascii="Courier New" w:cs="Courier New" w:eastAsia="Courier New" w:hAnsi="Courier New"/>
          <w:sz w:val="14"/>
          <w:szCs w:val="14"/>
          <w:color w:val="auto"/>
        </w:rPr>
        <w:t>714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8" w:lineRule="exact"/>
        <w:rPr>
          <w:sz w:val="20"/>
          <w:szCs w:val="20"/>
          <w:color w:val="auto"/>
        </w:rPr>
      </w:pPr>
    </w:p>
    <w:p>
      <w:pPr>
        <w:ind w:right="3420"/>
        <w:spacing w:after="0" w:line="235" w:lineRule="auto"/>
        <w:rPr>
          <w:sz w:val="20"/>
          <w:szCs w:val="20"/>
          <w:color w:val="auto"/>
        </w:rPr>
      </w:pPr>
      <w:r>
        <w:rPr>
          <w:rFonts w:ascii="Courier New" w:cs="Courier New" w:eastAsia="Courier New" w:hAnsi="Courier New"/>
          <w:sz w:val="15"/>
          <w:szCs w:val="15"/>
          <w:color w:val="auto"/>
        </w:rPr>
        <w:t>Those fixed assets recorded at their estimated realizable value are considered monetary assets on which a loss on monetary position is computed and recorded in the results of operations.</w:t>
      </w:r>
    </w:p>
    <w:p>
      <w:pPr>
        <w:spacing w:after="0" w:line="167"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Note 10.</w:t>
      </w:r>
      <w:r>
        <w:rPr>
          <w:sz w:val="20"/>
          <w:szCs w:val="20"/>
          <w:color w:val="auto"/>
        </w:rPr>
        <w:tab/>
      </w:r>
      <w:r>
        <w:rPr>
          <w:rFonts w:ascii="Courier New" w:cs="Courier New" w:eastAsia="Courier New" w:hAnsi="Courier New"/>
          <w:sz w:val="14"/>
          <w:szCs w:val="14"/>
          <w:color w:val="auto"/>
        </w:rPr>
        <w:t>Other Assets.</w:t>
      </w:r>
    </w:p>
    <w:p>
      <w:pPr>
        <w:spacing w:after="0" w:line="166" w:lineRule="exact"/>
        <w:rPr>
          <w:sz w:val="20"/>
          <w:szCs w:val="20"/>
          <w:color w:val="auto"/>
        </w:rPr>
      </w:pPr>
    </w:p>
    <w:p>
      <w:pPr>
        <w:ind w:left="8240"/>
        <w:spacing w:after="0"/>
        <w:tabs>
          <w:tab w:leader="none" w:pos="9780" w:val="left"/>
        </w:tabs>
        <w:rPr>
          <w:sz w:val="20"/>
          <w:szCs w:val="20"/>
          <w:color w:val="auto"/>
        </w:rPr>
      </w:pPr>
      <w:r>
        <w:rPr>
          <w:rFonts w:ascii="Courier New" w:cs="Courier New" w:eastAsia="Courier New" w:hAnsi="Courier New"/>
          <w:sz w:val="15"/>
          <w:szCs w:val="15"/>
          <w:color w:val="auto"/>
        </w:rPr>
        <w:t>2002</w:t>
      </w:r>
      <w:r>
        <w:rPr>
          <w:sz w:val="20"/>
          <w:szCs w:val="20"/>
          <w:color w:val="auto"/>
        </w:rPr>
        <w:tab/>
      </w:r>
      <w:r>
        <w:rPr>
          <w:rFonts w:ascii="Courier New" w:cs="Courier New" w:eastAsia="Courier New" w:hAnsi="Courier New"/>
          <w:sz w:val="15"/>
          <w:szCs w:val="15"/>
          <w:color w:val="auto"/>
        </w:rPr>
        <w:t>2001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400" w:type="dxa"/>
            <w:vAlign w:val="bottom"/>
          </w:tcPr>
          <w:p>
            <w:pPr>
              <w:spacing w:after="0"/>
              <w:rPr>
                <w:sz w:val="20"/>
                <w:szCs w:val="20"/>
                <w:color w:val="auto"/>
              </w:rPr>
            </w:pPr>
            <w:r>
              <w:rPr>
                <w:rFonts w:ascii="Courier New" w:cs="Courier New" w:eastAsia="Courier New" w:hAnsi="Courier New"/>
                <w:sz w:val="15"/>
                <w:szCs w:val="15"/>
                <w:color w:val="auto"/>
              </w:rPr>
              <w:t>Agreements with customers of FEMSA Cerveza and Coca-Cola FEMSA</w:t>
            </w:r>
          </w:p>
        </w:tc>
        <w:tc>
          <w:tcPr>
            <w:tcW w:w="1480" w:type="dxa"/>
            <w:vAlign w:val="bottom"/>
          </w:tcPr>
          <w:p>
            <w:pPr>
              <w:ind w:left="960"/>
              <w:spacing w:after="0"/>
              <w:rPr>
                <w:sz w:val="20"/>
                <w:szCs w:val="20"/>
                <w:color w:val="auto"/>
              </w:rPr>
            </w:pPr>
            <w:r>
              <w:rPr>
                <w:rFonts w:ascii="Courier New" w:cs="Courier New" w:eastAsia="Courier New" w:hAnsi="Courier New"/>
                <w:sz w:val="15"/>
                <w:szCs w:val="15"/>
                <w:color w:val="auto"/>
              </w:rPr>
              <w:t>Ps.</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2,274</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Ps.</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2,199</w:t>
            </w:r>
          </w:p>
        </w:tc>
      </w:tr>
      <w:tr>
        <w:trPr>
          <w:trHeight w:val="168"/>
        </w:trPr>
        <w:tc>
          <w:tcPr>
            <w:tcW w:w="6400" w:type="dxa"/>
            <w:vAlign w:val="bottom"/>
          </w:tcPr>
          <w:p>
            <w:pPr>
              <w:spacing w:after="0" w:line="168" w:lineRule="exact"/>
              <w:rPr>
                <w:sz w:val="20"/>
                <w:szCs w:val="20"/>
                <w:color w:val="auto"/>
              </w:rPr>
            </w:pPr>
            <w:r>
              <w:rPr>
                <w:rFonts w:ascii="Courier New" w:cs="Courier New" w:eastAsia="Courier New" w:hAnsi="Courier New"/>
                <w:sz w:val="15"/>
                <w:szCs w:val="15"/>
                <w:color w:val="auto"/>
              </w:rPr>
              <w:t>Leasehold improvements</w:t>
            </w:r>
          </w:p>
        </w:tc>
        <w:tc>
          <w:tcPr>
            <w:tcW w:w="1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1,385</w:t>
            </w:r>
          </w:p>
        </w:tc>
        <w:tc>
          <w:tcPr>
            <w:tcW w:w="7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1,162</w:t>
            </w:r>
          </w:p>
        </w:tc>
      </w:tr>
      <w:tr>
        <w:trPr>
          <w:trHeight w:val="168"/>
        </w:trPr>
        <w:tc>
          <w:tcPr>
            <w:tcW w:w="640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accounts receivable</w:t>
            </w:r>
          </w:p>
        </w:tc>
        <w:tc>
          <w:tcPr>
            <w:tcW w:w="1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463</w:t>
            </w:r>
          </w:p>
        </w:tc>
        <w:tc>
          <w:tcPr>
            <w:tcW w:w="7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415</w:t>
            </w:r>
          </w:p>
        </w:tc>
      </w:tr>
      <w:tr>
        <w:trPr>
          <w:trHeight w:val="168"/>
        </w:trPr>
        <w:tc>
          <w:tcPr>
            <w:tcW w:w="6400" w:type="dxa"/>
            <w:vAlign w:val="bottom"/>
          </w:tcPr>
          <w:p>
            <w:pPr>
              <w:spacing w:after="0" w:line="168" w:lineRule="exact"/>
              <w:rPr>
                <w:sz w:val="20"/>
                <w:szCs w:val="20"/>
                <w:color w:val="auto"/>
              </w:rPr>
            </w:pPr>
            <w:r>
              <w:rPr>
                <w:rFonts w:ascii="Courier New" w:cs="Courier New" w:eastAsia="Courier New" w:hAnsi="Courier New"/>
                <w:sz w:val="15"/>
                <w:szCs w:val="15"/>
                <w:color w:val="auto"/>
              </w:rPr>
              <w:t>Recoverable taxes (Note 22 a)</w:t>
            </w:r>
          </w:p>
        </w:tc>
        <w:tc>
          <w:tcPr>
            <w:tcW w:w="1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379</w:t>
            </w:r>
          </w:p>
        </w:tc>
        <w:tc>
          <w:tcPr>
            <w:tcW w:w="7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410</w:t>
            </w:r>
          </w:p>
        </w:tc>
      </w:tr>
      <w:tr>
        <w:trPr>
          <w:trHeight w:val="168"/>
        </w:trPr>
        <w:tc>
          <w:tcPr>
            <w:tcW w:w="6400" w:type="dxa"/>
            <w:vAlign w:val="bottom"/>
          </w:tcPr>
          <w:p>
            <w:pPr>
              <w:spacing w:after="0" w:line="168" w:lineRule="exact"/>
              <w:rPr>
                <w:sz w:val="20"/>
                <w:szCs w:val="20"/>
                <w:color w:val="auto"/>
              </w:rPr>
            </w:pPr>
            <w:r>
              <w:rPr>
                <w:rFonts w:ascii="Courier New" w:cs="Courier New" w:eastAsia="Courier New" w:hAnsi="Courier New"/>
                <w:sz w:val="15"/>
                <w:szCs w:val="15"/>
                <w:color w:val="auto"/>
              </w:rPr>
              <w:t>Additional labor liabilities (Note 14)</w:t>
            </w:r>
          </w:p>
        </w:tc>
        <w:tc>
          <w:tcPr>
            <w:tcW w:w="1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284</w:t>
            </w:r>
          </w:p>
        </w:tc>
        <w:tc>
          <w:tcPr>
            <w:tcW w:w="7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105</w:t>
            </w:r>
          </w:p>
        </w:tc>
      </w:tr>
      <w:tr>
        <w:trPr>
          <w:trHeight w:val="168"/>
        </w:trPr>
        <w:tc>
          <w:tcPr>
            <w:tcW w:w="640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acquisition costs of Panamco</w:t>
            </w:r>
          </w:p>
        </w:tc>
        <w:tc>
          <w:tcPr>
            <w:tcW w:w="1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261</w:t>
            </w:r>
          </w:p>
        </w:tc>
        <w:tc>
          <w:tcPr>
            <w:tcW w:w="7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0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systems implementation</w:t>
            </w:r>
          </w:p>
        </w:tc>
        <w:tc>
          <w:tcPr>
            <w:tcW w:w="1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171</w:t>
            </w:r>
          </w:p>
        </w:tc>
        <w:tc>
          <w:tcPr>
            <w:tcW w:w="7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w:t>
            </w:r>
          </w:p>
        </w:tc>
      </w:tr>
      <w:tr>
        <w:trPr>
          <w:trHeight w:val="168"/>
        </w:trPr>
        <w:tc>
          <w:tcPr>
            <w:tcW w:w="6400" w:type="dxa"/>
            <w:vAlign w:val="bottom"/>
          </w:tcPr>
          <w:p>
            <w:pPr>
              <w:spacing w:after="0" w:line="168" w:lineRule="exact"/>
              <w:rPr>
                <w:sz w:val="20"/>
                <w:szCs w:val="20"/>
                <w:color w:val="auto"/>
              </w:rPr>
            </w:pPr>
            <w:r>
              <w:rPr>
                <w:rFonts w:ascii="Courier New" w:cs="Courier New" w:eastAsia="Courier New" w:hAnsi="Courier New"/>
                <w:sz w:val="15"/>
                <w:szCs w:val="15"/>
                <w:color w:val="auto"/>
              </w:rPr>
              <w:t>Start-up expenses</w:t>
            </w:r>
          </w:p>
        </w:tc>
        <w:tc>
          <w:tcPr>
            <w:tcW w:w="1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84</w:t>
            </w:r>
          </w:p>
        </w:tc>
        <w:tc>
          <w:tcPr>
            <w:tcW w:w="7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w:t>
            </w:r>
          </w:p>
        </w:tc>
      </w:tr>
      <w:tr>
        <w:trPr>
          <w:trHeight w:val="168"/>
        </w:trPr>
        <w:tc>
          <w:tcPr>
            <w:tcW w:w="6400" w:type="dxa"/>
            <w:vAlign w:val="bottom"/>
          </w:tcPr>
          <w:p>
            <w:pPr>
              <w:spacing w:after="0" w:line="168" w:lineRule="exact"/>
              <w:rPr>
                <w:sz w:val="20"/>
                <w:szCs w:val="20"/>
                <w:color w:val="auto"/>
              </w:rPr>
            </w:pPr>
            <w:r>
              <w:rPr>
                <w:rFonts w:ascii="Courier New" w:cs="Courier New" w:eastAsia="Courier New" w:hAnsi="Courier New"/>
                <w:sz w:val="15"/>
                <w:szCs w:val="15"/>
                <w:color w:val="auto"/>
              </w:rPr>
              <w:t>Prepaid advertising</w:t>
            </w:r>
          </w:p>
        </w:tc>
        <w:tc>
          <w:tcPr>
            <w:tcW w:w="1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w:t>
            </w:r>
          </w:p>
        </w:tc>
        <w:tc>
          <w:tcPr>
            <w:tcW w:w="7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w:t>
            </w:r>
          </w:p>
        </w:tc>
      </w:tr>
      <w:tr>
        <w:trPr>
          <w:trHeight w:val="168"/>
        </w:trPr>
        <w:tc>
          <w:tcPr>
            <w:tcW w:w="6400" w:type="dxa"/>
            <w:vAlign w:val="bottom"/>
          </w:tcPr>
          <w:p>
            <w:pPr>
              <w:spacing w:after="0" w:line="168" w:lineRule="exact"/>
              <w:rPr>
                <w:sz w:val="20"/>
                <w:szCs w:val="20"/>
                <w:color w:val="auto"/>
              </w:rPr>
            </w:pPr>
            <w:r>
              <w:rPr>
                <w:rFonts w:ascii="Courier New" w:cs="Courier New" w:eastAsia="Courier New" w:hAnsi="Courier New"/>
                <w:sz w:val="15"/>
                <w:szCs w:val="15"/>
                <w:color w:val="auto"/>
              </w:rPr>
              <w:t>Yankee bond issuance costs</w:t>
            </w:r>
          </w:p>
        </w:tc>
        <w:tc>
          <w:tcPr>
            <w:tcW w:w="1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w:t>
            </w:r>
          </w:p>
        </w:tc>
        <w:tc>
          <w:tcPr>
            <w:tcW w:w="7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w:t>
            </w:r>
          </w:p>
        </w:tc>
      </w:tr>
      <w:tr>
        <w:trPr>
          <w:trHeight w:val="168"/>
        </w:trPr>
        <w:tc>
          <w:tcPr>
            <w:tcW w:w="6400" w:type="dxa"/>
            <w:vAlign w:val="bottom"/>
          </w:tcPr>
          <w:p>
            <w:pPr>
              <w:spacing w:after="0" w:line="168" w:lineRule="exact"/>
              <w:rPr>
                <w:sz w:val="20"/>
                <w:szCs w:val="20"/>
                <w:color w:val="auto"/>
              </w:rPr>
            </w:pPr>
            <w:r>
              <w:rPr>
                <w:rFonts w:ascii="Courier New" w:cs="Courier New" w:eastAsia="Courier New" w:hAnsi="Courier New"/>
                <w:sz w:val="15"/>
                <w:szCs w:val="15"/>
                <w:color w:val="auto"/>
              </w:rPr>
              <w:t>Bonus program (Note 15)</w:t>
            </w:r>
          </w:p>
        </w:tc>
        <w:tc>
          <w:tcPr>
            <w:tcW w:w="1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w:t>
            </w:r>
          </w:p>
        </w:tc>
      </w:tr>
      <w:tr>
        <w:trPr>
          <w:trHeight w:val="168"/>
        </w:trPr>
        <w:tc>
          <w:tcPr>
            <w:tcW w:w="64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1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263</w:t>
            </w:r>
          </w:p>
        </w:tc>
        <w:tc>
          <w:tcPr>
            <w:tcW w:w="7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117</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7360"/>
        <w:spacing w:after="0"/>
        <w:tabs>
          <w:tab w:leader="none" w:pos="8120" w:val="left"/>
          <w:tab w:leader="none" w:pos="8920" w:val="left"/>
          <w:tab w:leader="none" w:pos="9700" w:val="left"/>
        </w:tabs>
        <w:rPr>
          <w:sz w:val="20"/>
          <w:szCs w:val="20"/>
          <w:color w:val="auto"/>
        </w:rPr>
      </w:pPr>
      <w:r>
        <w:rPr>
          <w:rFonts w:ascii="Courier New" w:cs="Courier New" w:eastAsia="Courier New" w:hAnsi="Courier New"/>
          <w:sz w:val="15"/>
          <w:szCs w:val="15"/>
          <w:color w:val="auto"/>
        </w:rPr>
        <w:t>Ps.</w:t>
      </w:r>
      <w:r>
        <w:rPr>
          <w:sz w:val="20"/>
          <w:szCs w:val="20"/>
          <w:color w:val="auto"/>
        </w:rPr>
        <w:tab/>
      </w:r>
      <w:r>
        <w:rPr>
          <w:rFonts w:ascii="Courier New" w:cs="Courier New" w:eastAsia="Courier New" w:hAnsi="Courier New"/>
          <w:sz w:val="15"/>
          <w:szCs w:val="15"/>
          <w:color w:val="auto"/>
        </w:rPr>
        <w:t>5,612</w:t>
      </w:r>
      <w:r>
        <w:rPr>
          <w:sz w:val="20"/>
          <w:szCs w:val="20"/>
          <w:color w:val="auto"/>
        </w:rPr>
        <w:tab/>
      </w:r>
      <w:r>
        <w:rPr>
          <w:rFonts w:ascii="Courier New" w:cs="Courier New" w:eastAsia="Courier New" w:hAnsi="Courier New"/>
          <w:sz w:val="15"/>
          <w:szCs w:val="15"/>
          <w:color w:val="auto"/>
        </w:rPr>
        <w:t>Ps.</w:t>
      </w:r>
      <w:r>
        <w:rPr>
          <w:sz w:val="20"/>
          <w:szCs w:val="20"/>
          <w:color w:val="auto"/>
        </w:rPr>
        <w:tab/>
      </w:r>
      <w:r>
        <w:rPr>
          <w:rFonts w:ascii="Courier New" w:cs="Courier New" w:eastAsia="Courier New" w:hAnsi="Courier New"/>
          <w:sz w:val="14"/>
          <w:szCs w:val="14"/>
          <w:color w:val="auto"/>
        </w:rPr>
        <w:t>4,609</w:t>
      </w:r>
    </w:p>
    <w:p>
      <w:pPr>
        <w:spacing w:after="0" w:line="5" w:lineRule="exact"/>
        <w:rPr>
          <w:sz w:val="20"/>
          <w:szCs w:val="20"/>
          <w:color w:val="auto"/>
        </w:rPr>
      </w:pPr>
    </w:p>
    <w:p>
      <w:pPr>
        <w:ind w:left="180" w:hanging="170"/>
        <w:spacing w:after="0"/>
        <w:tabs>
          <w:tab w:leader="none" w:pos="180"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307" w:lineRule="exact"/>
        <w:rPr>
          <w:rFonts w:ascii="Courier New" w:cs="Courier New" w:eastAsia="Courier New" w:hAnsi="Courier New"/>
          <w:sz w:val="14"/>
          <w:szCs w:val="14"/>
          <w:color w:val="auto"/>
        </w:rPr>
      </w:pPr>
    </w:p>
    <w:p>
      <w:pPr>
        <w:ind w:left="33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F-16</w:t>
      </w:r>
    </w:p>
    <w:p>
      <w:pPr>
        <w:sectPr>
          <w:pgSz w:w="11900" w:h="16838" w:orient="portrait"/>
          <w:cols w:equalWidth="0" w:num="1">
            <w:col w:w="10420"/>
          </w:cols>
          <w:pgMar w:left="220" w:top="617" w:right="1259" w:bottom="1440" w:gutter="0" w:footer="0" w:header="0"/>
        </w:sectPr>
      </w:pPr>
    </w:p>
    <w:bookmarkStart w:id="179" w:name="page180"/>
    <w:bookmarkEnd w:id="179"/>
    <w:p>
      <w:pPr>
        <w:spacing w:after="0" w:line="19"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Note 11.</w:t>
      </w:r>
      <w:r>
        <w:rPr>
          <w:sz w:val="20"/>
          <w:szCs w:val="20"/>
          <w:color w:val="auto"/>
        </w:rPr>
        <w:tab/>
      </w:r>
      <w:r>
        <w:rPr>
          <w:rFonts w:ascii="Courier New" w:cs="Courier New" w:eastAsia="Courier New" w:hAnsi="Courier New"/>
          <w:sz w:val="14"/>
          <w:szCs w:val="14"/>
          <w:color w:val="auto"/>
        </w:rPr>
        <w:t>Goodwill and Other Intangible Assets.</w:t>
      </w:r>
    </w:p>
    <w:p>
      <w:pPr>
        <w:spacing w:after="0" w:line="166" w:lineRule="exact"/>
        <w:rPr>
          <w:sz w:val="20"/>
          <w:szCs w:val="20"/>
          <w:color w:val="auto"/>
        </w:rPr>
      </w:pPr>
    </w:p>
    <w:p>
      <w:pPr>
        <w:ind w:left="8240"/>
        <w:spacing w:after="0"/>
        <w:tabs>
          <w:tab w:leader="none" w:pos="9780" w:val="left"/>
        </w:tabs>
        <w:rPr>
          <w:sz w:val="20"/>
          <w:szCs w:val="20"/>
          <w:color w:val="auto"/>
        </w:rPr>
      </w:pPr>
      <w:r>
        <w:rPr>
          <w:rFonts w:ascii="Courier New" w:cs="Courier New" w:eastAsia="Courier New" w:hAnsi="Courier New"/>
          <w:sz w:val="15"/>
          <w:szCs w:val="15"/>
          <w:color w:val="auto"/>
        </w:rPr>
        <w:t>2002</w:t>
      </w:r>
      <w:r>
        <w:rPr>
          <w:sz w:val="20"/>
          <w:szCs w:val="20"/>
          <w:color w:val="auto"/>
        </w:rPr>
        <w:tab/>
      </w:r>
      <w:r>
        <w:rPr>
          <w:rFonts w:ascii="Courier New" w:cs="Courier New" w:eastAsia="Courier New" w:hAnsi="Courier New"/>
          <w:sz w:val="15"/>
          <w:szCs w:val="15"/>
          <w:color w:val="auto"/>
        </w:rPr>
        <w:t>2001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60" w:type="dxa"/>
            <w:vAlign w:val="bottom"/>
          </w:tcPr>
          <w:p>
            <w:pPr>
              <w:spacing w:after="0"/>
              <w:rPr>
                <w:sz w:val="20"/>
                <w:szCs w:val="20"/>
                <w:color w:val="auto"/>
              </w:rPr>
            </w:pPr>
            <w:r>
              <w:rPr>
                <w:rFonts w:ascii="Courier New" w:cs="Courier New" w:eastAsia="Courier New" w:hAnsi="Courier New"/>
                <w:sz w:val="15"/>
                <w:szCs w:val="15"/>
                <w:color w:val="auto"/>
              </w:rPr>
              <w:t>Coca-Cola FEMSA:</w:t>
            </w:r>
          </w:p>
        </w:tc>
        <w:tc>
          <w:tcPr>
            <w:tcW w:w="1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66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Coca-Cola FEMSA Buenos Aires</w:t>
            </w:r>
          </w:p>
        </w:tc>
        <w:tc>
          <w:tcPr>
            <w:tcW w:w="12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Ps.</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908</w:t>
            </w:r>
          </w:p>
        </w:tc>
        <w:tc>
          <w:tcPr>
            <w:tcW w:w="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Ps.</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1,112</w:t>
            </w:r>
          </w:p>
        </w:tc>
      </w:tr>
      <w:tr>
        <w:trPr>
          <w:trHeight w:val="168"/>
        </w:trPr>
        <w:tc>
          <w:tcPr>
            <w:tcW w:w="66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Tapachula territory</w:t>
            </w:r>
          </w:p>
        </w:tc>
        <w:tc>
          <w:tcPr>
            <w:tcW w:w="1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139</w:t>
            </w:r>
          </w:p>
        </w:tc>
        <w:tc>
          <w:tcPr>
            <w:tcW w:w="7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139</w:t>
            </w:r>
          </w:p>
        </w:tc>
      </w:tr>
      <w:tr>
        <w:trPr>
          <w:trHeight w:val="168"/>
        </w:trPr>
        <w:tc>
          <w:tcPr>
            <w:tcW w:w="6660" w:type="dxa"/>
            <w:vAlign w:val="bottom"/>
          </w:tcPr>
          <w:p>
            <w:pPr>
              <w:spacing w:after="0" w:line="168" w:lineRule="exact"/>
              <w:rPr>
                <w:sz w:val="20"/>
                <w:szCs w:val="20"/>
                <w:color w:val="auto"/>
              </w:rPr>
            </w:pPr>
            <w:r>
              <w:rPr>
                <w:rFonts w:ascii="Courier New" w:cs="Courier New" w:eastAsia="Courier New" w:hAnsi="Courier New"/>
                <w:sz w:val="15"/>
                <w:szCs w:val="15"/>
                <w:color w:val="auto"/>
              </w:rPr>
              <w:t>FEMSA:</w:t>
            </w:r>
          </w:p>
        </w:tc>
        <w:tc>
          <w:tcPr>
            <w:tcW w:w="1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66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Minority interest acquisition</w:t>
            </w:r>
          </w:p>
        </w:tc>
        <w:tc>
          <w:tcPr>
            <w:tcW w:w="1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254</w:t>
            </w:r>
          </w:p>
        </w:tc>
        <w:tc>
          <w:tcPr>
            <w:tcW w:w="7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254</w:t>
            </w:r>
          </w:p>
        </w:tc>
      </w:tr>
      <w:tr>
        <w:trPr>
          <w:trHeight w:val="168"/>
        </w:trPr>
        <w:tc>
          <w:tcPr>
            <w:tcW w:w="66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Mundet trademark</w:t>
            </w:r>
          </w:p>
        </w:tc>
        <w:tc>
          <w:tcPr>
            <w:tcW w:w="1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149</w:t>
            </w:r>
          </w:p>
        </w:tc>
        <w:tc>
          <w:tcPr>
            <w:tcW w:w="7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145</w:t>
            </w:r>
          </w:p>
        </w:tc>
      </w:tr>
      <w:tr>
        <w:trPr>
          <w:trHeight w:val="168"/>
        </w:trPr>
        <w:tc>
          <w:tcPr>
            <w:tcW w:w="6660" w:type="dxa"/>
            <w:vAlign w:val="bottom"/>
          </w:tcPr>
          <w:p>
            <w:pPr>
              <w:spacing w:after="0" w:line="168" w:lineRule="exact"/>
              <w:rPr>
                <w:sz w:val="20"/>
                <w:szCs w:val="20"/>
                <w:color w:val="auto"/>
              </w:rPr>
            </w:pPr>
            <w:r>
              <w:rPr>
                <w:rFonts w:ascii="Courier New" w:cs="Courier New" w:eastAsia="Courier New" w:hAnsi="Courier New"/>
                <w:sz w:val="15"/>
                <w:szCs w:val="15"/>
                <w:color w:val="auto"/>
              </w:rPr>
              <w:t>Accumulated amortization</w:t>
            </w:r>
          </w:p>
        </w:tc>
        <w:tc>
          <w:tcPr>
            <w:tcW w:w="1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(452)</w:t>
            </w:r>
          </w:p>
        </w:tc>
        <w:tc>
          <w:tcPr>
            <w:tcW w:w="7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(400)</w:t>
            </w:r>
          </w:p>
        </w:tc>
      </w:tr>
      <w:tr>
        <w:trPr>
          <w:trHeight w:val="168"/>
        </w:trPr>
        <w:tc>
          <w:tcPr>
            <w:tcW w:w="6660" w:type="dxa"/>
            <w:vAlign w:val="bottom"/>
          </w:tcPr>
          <w:p>
            <w:pPr>
              <w:spacing w:after="0" w:line="168" w:lineRule="exact"/>
              <w:rPr>
                <w:sz w:val="20"/>
                <w:szCs w:val="20"/>
                <w:color w:val="auto"/>
              </w:rPr>
            </w:pPr>
            <w:r>
              <w:rPr>
                <w:rFonts w:ascii="Courier New" w:cs="Courier New" w:eastAsia="Courier New" w:hAnsi="Courier New"/>
                <w:sz w:val="15"/>
                <w:szCs w:val="15"/>
                <w:color w:val="auto"/>
              </w:rPr>
              <w:t>Impairment of the goodwill generated by Coca-Cola FEMSA Buenos Aires</w:t>
            </w:r>
          </w:p>
        </w:tc>
        <w:tc>
          <w:tcPr>
            <w:tcW w:w="1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(402)</w:t>
            </w:r>
          </w:p>
        </w:tc>
        <w:tc>
          <w:tcPr>
            <w:tcW w:w="7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7360"/>
        <w:spacing w:after="0"/>
        <w:tabs>
          <w:tab w:leader="none" w:pos="8220" w:val="left"/>
          <w:tab w:leader="none" w:pos="8920" w:val="left"/>
          <w:tab w:leader="none" w:pos="9700" w:val="left"/>
        </w:tabs>
        <w:rPr>
          <w:sz w:val="20"/>
          <w:szCs w:val="20"/>
          <w:color w:val="auto"/>
        </w:rPr>
      </w:pPr>
      <w:r>
        <w:rPr>
          <w:rFonts w:ascii="Courier New" w:cs="Courier New" w:eastAsia="Courier New" w:hAnsi="Courier New"/>
          <w:sz w:val="15"/>
          <w:szCs w:val="15"/>
          <w:color w:val="auto"/>
        </w:rPr>
        <w:t>Ps.</w:t>
      </w:r>
      <w:r>
        <w:rPr>
          <w:sz w:val="20"/>
          <w:szCs w:val="20"/>
          <w:color w:val="auto"/>
        </w:rPr>
        <w:tab/>
      </w:r>
      <w:r>
        <w:rPr>
          <w:rFonts w:ascii="Courier New" w:cs="Courier New" w:eastAsia="Courier New" w:hAnsi="Courier New"/>
          <w:sz w:val="15"/>
          <w:szCs w:val="15"/>
          <w:color w:val="auto"/>
        </w:rPr>
        <w:t>596</w:t>
      </w:r>
      <w:r>
        <w:rPr>
          <w:sz w:val="20"/>
          <w:szCs w:val="20"/>
          <w:color w:val="auto"/>
        </w:rPr>
        <w:tab/>
      </w:r>
      <w:r>
        <w:rPr>
          <w:rFonts w:ascii="Courier New" w:cs="Courier New" w:eastAsia="Courier New" w:hAnsi="Courier New"/>
          <w:sz w:val="15"/>
          <w:szCs w:val="15"/>
          <w:color w:val="auto"/>
        </w:rPr>
        <w:t>Ps.</w:t>
      </w:r>
      <w:r>
        <w:rPr>
          <w:sz w:val="20"/>
          <w:szCs w:val="20"/>
          <w:color w:val="auto"/>
        </w:rPr>
        <w:tab/>
      </w:r>
      <w:r>
        <w:rPr>
          <w:rFonts w:ascii="Courier New" w:cs="Courier New" w:eastAsia="Courier New" w:hAnsi="Courier New"/>
          <w:sz w:val="14"/>
          <w:szCs w:val="14"/>
          <w:color w:val="auto"/>
        </w:rPr>
        <w:t>1,250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0"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Note 12.</w:t>
      </w:r>
      <w:r>
        <w:rPr>
          <w:sz w:val="20"/>
          <w:szCs w:val="20"/>
          <w:color w:val="auto"/>
        </w:rPr>
        <w:tab/>
      </w:r>
      <w:r>
        <w:rPr>
          <w:rFonts w:ascii="Courier New" w:cs="Courier New" w:eastAsia="Courier New" w:hAnsi="Courier New"/>
          <w:sz w:val="14"/>
          <w:szCs w:val="14"/>
          <w:color w:val="auto"/>
        </w:rPr>
        <w:t>Balances and Transactions with Related Parties and Affiliated Companies.</w:t>
      </w:r>
    </w:p>
    <w:p>
      <w:pPr>
        <w:spacing w:after="0" w:line="173" w:lineRule="exact"/>
        <w:rPr>
          <w:sz w:val="20"/>
          <w:szCs w:val="20"/>
          <w:color w:val="auto"/>
        </w:rPr>
      </w:pPr>
    </w:p>
    <w:p>
      <w:pPr>
        <w:ind w:right="4020"/>
        <w:spacing w:after="0" w:line="261" w:lineRule="auto"/>
        <w:rPr>
          <w:sz w:val="20"/>
          <w:szCs w:val="20"/>
          <w:color w:val="auto"/>
        </w:rPr>
      </w:pPr>
      <w:r>
        <w:rPr>
          <w:rFonts w:ascii="Courier New" w:cs="Courier New" w:eastAsia="Courier New" w:hAnsi="Courier New"/>
          <w:sz w:val="14"/>
          <w:szCs w:val="14"/>
          <w:color w:val="auto"/>
        </w:rPr>
        <w:t>The consolidated balance sheet and income statement include the following balances and transactions with related parties and affiliated companies: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80" w:type="dxa"/>
            <w:vAlign w:val="bottom"/>
          </w:tcPr>
          <w:p>
            <w:pPr>
              <w:spacing w:after="0"/>
              <w:rPr>
                <w:sz w:val="20"/>
                <w:szCs w:val="20"/>
                <w:color w:val="auto"/>
              </w:rPr>
            </w:pPr>
            <w:r>
              <w:rPr>
                <w:rFonts w:ascii="Courier New" w:cs="Courier New" w:eastAsia="Courier New" w:hAnsi="Courier New"/>
                <w:sz w:val="15"/>
                <w:szCs w:val="15"/>
                <w:color w:val="auto"/>
              </w:rPr>
              <w:t>Balance Sheet</w:t>
            </w:r>
          </w:p>
        </w:tc>
        <w:tc>
          <w:tcPr>
            <w:tcW w:w="45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2002</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2001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00" w:type="dxa"/>
            <w:vAlign w:val="bottom"/>
          </w:tcPr>
          <w:p>
            <w:pPr>
              <w:spacing w:after="0"/>
              <w:rPr>
                <w:sz w:val="20"/>
                <w:szCs w:val="20"/>
                <w:color w:val="auto"/>
              </w:rPr>
            </w:pPr>
            <w:r>
              <w:rPr>
                <w:rFonts w:ascii="Courier New" w:cs="Courier New" w:eastAsia="Courier New" w:hAnsi="Courier New"/>
                <w:sz w:val="15"/>
                <w:szCs w:val="15"/>
                <w:color w:val="auto"/>
              </w:rPr>
              <w:t>Assets (accounts receivable)</w:t>
            </w:r>
          </w:p>
        </w:tc>
        <w:tc>
          <w:tcPr>
            <w:tcW w:w="1880" w:type="dxa"/>
            <w:vAlign w:val="bottom"/>
          </w:tcPr>
          <w:p>
            <w:pPr>
              <w:ind w:left="1360"/>
              <w:spacing w:after="0"/>
              <w:rPr>
                <w:sz w:val="20"/>
                <w:szCs w:val="20"/>
                <w:color w:val="auto"/>
              </w:rPr>
            </w:pPr>
            <w:r>
              <w:rPr>
                <w:rFonts w:ascii="Courier New" w:cs="Courier New" w:eastAsia="Courier New" w:hAnsi="Courier New"/>
                <w:sz w:val="15"/>
                <w:szCs w:val="15"/>
                <w:color w:val="auto"/>
              </w:rPr>
              <w:t>Ps.</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624</w:t>
            </w:r>
          </w:p>
        </w:tc>
        <w:tc>
          <w:tcPr>
            <w:tcW w:w="780" w:type="dxa"/>
            <w:vAlign w:val="bottom"/>
          </w:tcPr>
          <w:p>
            <w:pPr>
              <w:ind w:left="180"/>
              <w:spacing w:after="0"/>
              <w:rPr>
                <w:sz w:val="20"/>
                <w:szCs w:val="20"/>
                <w:color w:val="auto"/>
              </w:rPr>
            </w:pPr>
            <w:r>
              <w:rPr>
                <w:rFonts w:ascii="Courier New" w:cs="Courier New" w:eastAsia="Courier New" w:hAnsi="Courier New"/>
                <w:sz w:val="15"/>
                <w:szCs w:val="15"/>
                <w:color w:val="auto"/>
              </w:rPr>
              <w:t>Ps.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673</w:t>
            </w:r>
          </w:p>
        </w:tc>
      </w:tr>
      <w:tr>
        <w:trPr>
          <w:trHeight w:val="168"/>
        </w:trPr>
        <w:tc>
          <w:tcPr>
            <w:tcW w:w="6000" w:type="dxa"/>
            <w:vAlign w:val="bottom"/>
          </w:tcPr>
          <w:p>
            <w:pPr>
              <w:spacing w:after="0" w:line="168" w:lineRule="exact"/>
              <w:rPr>
                <w:sz w:val="20"/>
                <w:szCs w:val="20"/>
                <w:color w:val="auto"/>
              </w:rPr>
            </w:pPr>
            <w:r>
              <w:rPr>
                <w:rFonts w:ascii="Courier New" w:cs="Courier New" w:eastAsia="Courier New" w:hAnsi="Courier New"/>
                <w:sz w:val="15"/>
                <w:szCs w:val="15"/>
                <w:color w:val="auto"/>
              </w:rPr>
              <w:t>Liabilities (suppliers and other liabilities)</w:t>
            </w:r>
          </w:p>
        </w:tc>
        <w:tc>
          <w:tcPr>
            <w:tcW w:w="18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321</w:t>
            </w:r>
          </w:p>
        </w:tc>
        <w:tc>
          <w:tcPr>
            <w:tcW w:w="7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162</w:t>
            </w:r>
          </w:p>
        </w:tc>
      </w:tr>
      <w:tr>
        <w:trPr>
          <w:trHeight w:val="168"/>
        </w:trPr>
        <w:tc>
          <w:tcPr>
            <w:tcW w:w="600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 with BBVA Bancomer, S.A. (Note 16) (1)</w:t>
            </w:r>
          </w:p>
        </w:tc>
        <w:tc>
          <w:tcPr>
            <w:tcW w:w="18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1,465</w:t>
            </w:r>
          </w:p>
        </w:tc>
        <w:tc>
          <w:tcPr>
            <w:tcW w:w="7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776</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Transactions</w:t>
            </w:r>
          </w:p>
        </w:tc>
        <w:tc>
          <w:tcPr>
            <w:tcW w:w="37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2002</w:t>
            </w:r>
          </w:p>
        </w:tc>
        <w:tc>
          <w:tcPr>
            <w:tcW w:w="15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r>
    </w:tbl>
    <w:p>
      <w:pPr>
        <w:spacing w:after="0" w:line="5" w:lineRule="exact"/>
        <w:rPr>
          <w:sz w:val="20"/>
          <w:szCs w:val="20"/>
          <w:color w:val="auto"/>
        </w:rPr>
      </w:pPr>
    </w:p>
    <w:p>
      <w:pPr>
        <w:ind w:left="180" w:hanging="170"/>
        <w:spacing w:after="0"/>
        <w:tabs>
          <w:tab w:leader="none" w:pos="180"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Income:</w:t>
      </w:r>
    </w:p>
    <w:tbl>
      <w:tblPr>
        <w:tblLayout w:type="fixed"/>
        <w:tblInd w:w="360" w:type="dxa"/>
        <w:tblCellMar>
          <w:top w:w="0" w:type="dxa"/>
          <w:left w:w="0" w:type="dxa"/>
          <w:bottom w:w="0" w:type="dxa"/>
          <w:right w:w="0" w:type="dxa"/>
        </w:tblCellMar>
      </w:tblPr>
      <w:tr>
        <w:trPr>
          <w:trHeight w:val="169"/>
        </w:trPr>
        <w:tc>
          <w:tcPr>
            <w:tcW w:w="480" w:type="dxa"/>
            <w:vAlign w:val="bottom"/>
          </w:tcPr>
          <w:p>
            <w:pPr>
              <w:spacing w:after="0" w:line="169" w:lineRule="exact"/>
              <w:rPr>
                <w:sz w:val="20"/>
                <w:szCs w:val="20"/>
                <w:color w:val="auto"/>
              </w:rPr>
            </w:pPr>
            <w:r>
              <w:rPr>
                <w:rFonts w:ascii="Courier New" w:cs="Courier New" w:eastAsia="Courier New" w:hAnsi="Courier New"/>
                <w:sz w:val="15"/>
                <w:szCs w:val="15"/>
                <w:color w:val="auto"/>
              </w:rPr>
              <w:t>Sales</w:t>
            </w:r>
          </w:p>
        </w:tc>
        <w:tc>
          <w:tcPr>
            <w:tcW w:w="26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to</w:t>
            </w:r>
          </w:p>
        </w:tc>
        <w:tc>
          <w:tcPr>
            <w:tcW w:w="3860" w:type="dxa"/>
            <w:vAlign w:val="bottom"/>
            <w:gridSpan w:val="2"/>
          </w:tcPr>
          <w:p>
            <w:pPr>
              <w:ind w:left="40"/>
              <w:spacing w:after="0" w:line="169" w:lineRule="exact"/>
              <w:rPr>
                <w:sz w:val="20"/>
                <w:szCs w:val="20"/>
                <w:color w:val="auto"/>
              </w:rPr>
            </w:pPr>
            <w:r>
              <w:rPr>
                <w:rFonts w:ascii="Courier New" w:cs="Courier New" w:eastAsia="Courier New" w:hAnsi="Courier New"/>
                <w:sz w:val="15"/>
                <w:szCs w:val="15"/>
                <w:color w:val="auto"/>
              </w:rPr>
              <w:t>and other revenues from affiliated</w:t>
            </w:r>
          </w:p>
        </w:tc>
        <w:tc>
          <w:tcPr>
            <w:tcW w:w="1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1360" w:type="dxa"/>
            <w:vAlign w:val="bottom"/>
            <w:gridSpan w:val="3"/>
          </w:tcPr>
          <w:p>
            <w:pPr>
              <w:ind w:left="260"/>
              <w:spacing w:after="0" w:line="168" w:lineRule="exact"/>
              <w:rPr>
                <w:sz w:val="20"/>
                <w:szCs w:val="20"/>
                <w:color w:val="auto"/>
              </w:rPr>
            </w:pPr>
            <w:r>
              <w:rPr>
                <w:rFonts w:ascii="Courier New" w:cs="Courier New" w:eastAsia="Courier New" w:hAnsi="Courier New"/>
                <w:sz w:val="15"/>
                <w:szCs w:val="15"/>
                <w:color w:val="auto"/>
                <w:w w:val="99"/>
              </w:rPr>
              <w:t>Companies of</w:t>
            </w:r>
          </w:p>
        </w:tc>
        <w:tc>
          <w:tcPr>
            <w:tcW w:w="32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FEMSA Cerveza</w:t>
            </w:r>
          </w:p>
        </w:tc>
        <w:tc>
          <w:tcPr>
            <w:tcW w:w="1340" w:type="dxa"/>
            <w:vAlign w:val="bottom"/>
          </w:tcPr>
          <w:p>
            <w:pPr>
              <w:ind w:left="820"/>
              <w:spacing w:after="0" w:line="168" w:lineRule="exact"/>
              <w:rPr>
                <w:sz w:val="20"/>
                <w:szCs w:val="20"/>
                <w:color w:val="auto"/>
              </w:rPr>
            </w:pPr>
            <w:r>
              <w:rPr>
                <w:rFonts w:ascii="Courier New" w:cs="Courier New" w:eastAsia="Courier New" w:hAnsi="Courier New"/>
                <w:sz w:val="15"/>
                <w:szCs w:val="15"/>
                <w:color w:val="auto"/>
              </w:rPr>
              <w:t>Ps.</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1,610</w:t>
            </w:r>
          </w:p>
        </w:tc>
        <w:tc>
          <w:tcPr>
            <w:tcW w:w="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Ps.</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1,059</w:t>
            </w:r>
          </w:p>
        </w:tc>
        <w:tc>
          <w:tcPr>
            <w:tcW w:w="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Ps.</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1,077</w:t>
            </w:r>
          </w:p>
        </w:tc>
      </w:tr>
      <w:tr>
        <w:trPr>
          <w:trHeight w:val="168"/>
        </w:trPr>
        <w:tc>
          <w:tcPr>
            <w:tcW w:w="480" w:type="dxa"/>
            <w:vAlign w:val="bottom"/>
          </w:tcPr>
          <w:p>
            <w:pPr>
              <w:spacing w:after="0" w:line="168" w:lineRule="exact"/>
              <w:rPr>
                <w:sz w:val="20"/>
                <w:szCs w:val="20"/>
                <w:color w:val="auto"/>
              </w:rPr>
            </w:pPr>
            <w:r>
              <w:rPr>
                <w:rFonts w:ascii="Courier New" w:cs="Courier New" w:eastAsia="Courier New" w:hAnsi="Courier New"/>
                <w:sz w:val="15"/>
                <w:szCs w:val="15"/>
                <w:color w:val="auto"/>
              </w:rPr>
              <w:t>Sales</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of</w:t>
            </w:r>
          </w:p>
        </w:tc>
        <w:tc>
          <w:tcPr>
            <w:tcW w:w="38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cans to IEQSA</w:t>
            </w:r>
          </w:p>
        </w:tc>
        <w:tc>
          <w:tcPr>
            <w:tcW w:w="1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355</w:t>
            </w:r>
          </w:p>
        </w:tc>
        <w:tc>
          <w:tcPr>
            <w:tcW w:w="7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393</w:t>
            </w:r>
          </w:p>
        </w:tc>
        <w:tc>
          <w:tcPr>
            <w:tcW w:w="7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452</w:t>
            </w:r>
          </w:p>
        </w:tc>
      </w:tr>
      <w:tr>
        <w:trPr>
          <w:trHeight w:val="168"/>
        </w:trPr>
        <w:tc>
          <w:tcPr>
            <w:tcW w:w="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Interest</w:t>
            </w:r>
          </w:p>
        </w:tc>
        <w:tc>
          <w:tcPr>
            <w:tcW w:w="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income</w:t>
            </w:r>
          </w:p>
        </w:tc>
        <w:tc>
          <w:tcPr>
            <w:tcW w:w="32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w:t>
            </w:r>
          </w:p>
        </w:tc>
        <w:tc>
          <w:tcPr>
            <w:tcW w:w="1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111</w:t>
            </w:r>
          </w:p>
        </w:tc>
        <w:tc>
          <w:tcPr>
            <w:tcW w:w="7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101</w:t>
            </w:r>
          </w:p>
        </w:tc>
        <w:tc>
          <w:tcPr>
            <w:tcW w:w="7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r>
    </w:tbl>
    <w:p>
      <w:pPr>
        <w:spacing w:after="0" w:line="5" w:lineRule="exact"/>
        <w:rPr>
          <w:sz w:val="20"/>
          <w:szCs w:val="20"/>
          <w:color w:val="auto"/>
        </w:rPr>
      </w:pPr>
    </w:p>
    <w:p>
      <w:pPr>
        <w:ind w:left="180" w:hanging="170"/>
        <w:spacing w:after="0"/>
        <w:tabs>
          <w:tab w:leader="none" w:pos="180"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Expenses:</w:t>
      </w:r>
    </w:p>
    <w:tbl>
      <w:tblPr>
        <w:tblLayout w:type="fixed"/>
        <w:tblInd w:w="360" w:type="dxa"/>
        <w:tblCellMar>
          <w:top w:w="0" w:type="dxa"/>
          <w:left w:w="0" w:type="dxa"/>
          <w:bottom w:w="0" w:type="dxa"/>
          <w:right w:w="0" w:type="dxa"/>
        </w:tblCellMar>
      </w:tblPr>
      <w:tr>
        <w:trPr>
          <w:trHeight w:val="169"/>
        </w:trPr>
        <w:tc>
          <w:tcPr>
            <w:tcW w:w="5500" w:type="dxa"/>
            <w:vAlign w:val="bottom"/>
          </w:tcPr>
          <w:p>
            <w:pPr>
              <w:spacing w:after="0" w:line="169" w:lineRule="exact"/>
              <w:rPr>
                <w:sz w:val="20"/>
                <w:szCs w:val="20"/>
                <w:color w:val="auto"/>
              </w:rPr>
            </w:pPr>
            <w:r>
              <w:rPr>
                <w:rFonts w:ascii="Courier New" w:cs="Courier New" w:eastAsia="Courier New" w:hAnsi="Courier New"/>
                <w:sz w:val="15"/>
                <w:szCs w:val="15"/>
                <w:color w:val="auto"/>
              </w:rPr>
              <w:t>Purchase of concentrate from The Coca-Cola Company</w:t>
            </w:r>
          </w:p>
        </w:tc>
        <w:tc>
          <w:tcPr>
            <w:tcW w:w="1720" w:type="dxa"/>
            <w:vAlign w:val="bottom"/>
          </w:tcPr>
          <w:p>
            <w:pPr>
              <w:jc w:val="right"/>
              <w:ind w:right="507"/>
              <w:spacing w:after="0" w:line="169" w:lineRule="exact"/>
              <w:rPr>
                <w:sz w:val="20"/>
                <w:szCs w:val="20"/>
                <w:color w:val="auto"/>
              </w:rPr>
            </w:pPr>
            <w:r>
              <w:rPr>
                <w:rFonts w:ascii="Courier New" w:cs="Courier New" w:eastAsia="Courier New" w:hAnsi="Courier New"/>
                <w:sz w:val="15"/>
                <w:szCs w:val="15"/>
                <w:color w:val="auto"/>
              </w:rPr>
              <w:t>2,559</w:t>
            </w:r>
          </w:p>
        </w:tc>
        <w:tc>
          <w:tcPr>
            <w:tcW w:w="1560" w:type="dxa"/>
            <w:vAlign w:val="bottom"/>
          </w:tcPr>
          <w:p>
            <w:pPr>
              <w:jc w:val="right"/>
              <w:ind w:right="487"/>
              <w:spacing w:after="0" w:line="169" w:lineRule="exact"/>
              <w:rPr>
                <w:sz w:val="20"/>
                <w:szCs w:val="20"/>
                <w:color w:val="auto"/>
              </w:rPr>
            </w:pPr>
            <w:r>
              <w:rPr>
                <w:rFonts w:ascii="Courier New" w:cs="Courier New" w:eastAsia="Courier New" w:hAnsi="Courier New"/>
                <w:sz w:val="15"/>
                <w:szCs w:val="15"/>
                <w:color w:val="auto"/>
              </w:rPr>
              <w:t>2,643</w:t>
            </w:r>
          </w:p>
        </w:tc>
        <w:tc>
          <w:tcPr>
            <w:tcW w:w="102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2,603</w:t>
            </w:r>
          </w:p>
        </w:tc>
      </w:tr>
      <w:tr>
        <w:trPr>
          <w:trHeight w:val="168"/>
        </w:trPr>
        <w:tc>
          <w:tcPr>
            <w:tcW w:w="5500" w:type="dxa"/>
            <w:vAlign w:val="bottom"/>
          </w:tcPr>
          <w:p>
            <w:pPr>
              <w:spacing w:after="0" w:line="168" w:lineRule="exact"/>
              <w:rPr>
                <w:sz w:val="20"/>
                <w:szCs w:val="20"/>
                <w:color w:val="auto"/>
              </w:rPr>
            </w:pPr>
            <w:r>
              <w:rPr>
                <w:rFonts w:ascii="Courier New" w:cs="Courier New" w:eastAsia="Courier New" w:hAnsi="Courier New"/>
                <w:sz w:val="15"/>
                <w:szCs w:val="15"/>
                <w:color w:val="auto"/>
              </w:rPr>
              <w:t>Purchases from Grupo Industrial BIMBO, S.A. de C.V. (1)</w:t>
            </w:r>
          </w:p>
        </w:tc>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460</w:t>
            </w:r>
          </w:p>
        </w:tc>
        <w:tc>
          <w:tcPr>
            <w:tcW w:w="15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383</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325</w:t>
            </w:r>
          </w:p>
        </w:tc>
      </w:tr>
      <w:tr>
        <w:trPr>
          <w:trHeight w:val="168"/>
        </w:trPr>
        <w:tc>
          <w:tcPr>
            <w:tcW w:w="5500" w:type="dxa"/>
            <w:vAlign w:val="bottom"/>
          </w:tcPr>
          <w:p>
            <w:pPr>
              <w:spacing w:after="0" w:line="168" w:lineRule="exact"/>
              <w:rPr>
                <w:sz w:val="20"/>
                <w:szCs w:val="20"/>
                <w:color w:val="auto"/>
              </w:rPr>
            </w:pPr>
            <w:r>
              <w:rPr>
                <w:rFonts w:ascii="Courier New" w:cs="Courier New" w:eastAsia="Courier New" w:hAnsi="Courier New"/>
                <w:sz w:val="15"/>
                <w:szCs w:val="15"/>
                <w:color w:val="auto"/>
              </w:rPr>
              <w:t>Purchase of canned products from IEQSA and CICAN</w:t>
            </w:r>
          </w:p>
        </w:tc>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235</w:t>
            </w:r>
          </w:p>
        </w:tc>
        <w:tc>
          <w:tcPr>
            <w:tcW w:w="15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552</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355</w:t>
            </w:r>
          </w:p>
        </w:tc>
      </w:tr>
      <w:tr>
        <w:trPr>
          <w:trHeight w:val="168"/>
        </w:trPr>
        <w:tc>
          <w:tcPr>
            <w:tcW w:w="5500" w:type="dxa"/>
            <w:vAlign w:val="bottom"/>
          </w:tcPr>
          <w:p>
            <w:pPr>
              <w:spacing w:after="0" w:line="168" w:lineRule="exact"/>
              <w:rPr>
                <w:sz w:val="20"/>
                <w:szCs w:val="20"/>
                <w:color w:val="auto"/>
              </w:rPr>
            </w:pPr>
            <w:r>
              <w:rPr>
                <w:rFonts w:ascii="Courier New" w:cs="Courier New" w:eastAsia="Courier New" w:hAnsi="Courier New"/>
                <w:sz w:val="15"/>
                <w:szCs w:val="15"/>
                <w:color w:val="auto"/>
              </w:rPr>
              <w:t>Insurance premiums (1)</w:t>
            </w:r>
          </w:p>
        </w:tc>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152</w:t>
            </w:r>
          </w:p>
        </w:tc>
        <w:tc>
          <w:tcPr>
            <w:tcW w:w="15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83</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5500" w:type="dxa"/>
            <w:vAlign w:val="bottom"/>
          </w:tcPr>
          <w:p>
            <w:pPr>
              <w:spacing w:after="0" w:line="168" w:lineRule="exact"/>
              <w:rPr>
                <w:sz w:val="20"/>
                <w:szCs w:val="20"/>
                <w:color w:val="auto"/>
              </w:rPr>
            </w:pPr>
            <w:r>
              <w:rPr>
                <w:rFonts w:ascii="Courier New" w:cs="Courier New" w:eastAsia="Courier New" w:hAnsi="Courier New"/>
                <w:sz w:val="15"/>
                <w:szCs w:val="15"/>
                <w:color w:val="auto"/>
              </w:rPr>
              <w:t>Services paid to Labatt</w:t>
            </w:r>
          </w:p>
        </w:tc>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114</w:t>
            </w:r>
          </w:p>
        </w:tc>
        <w:tc>
          <w:tcPr>
            <w:tcW w:w="15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122</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118</w:t>
            </w:r>
          </w:p>
        </w:tc>
      </w:tr>
      <w:tr>
        <w:trPr>
          <w:trHeight w:val="168"/>
        </w:trPr>
        <w:tc>
          <w:tcPr>
            <w:tcW w:w="550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 (1)</w:t>
            </w:r>
          </w:p>
        </w:tc>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7</w:t>
            </w:r>
          </w:p>
        </w:tc>
        <w:tc>
          <w:tcPr>
            <w:tcW w:w="15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24</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55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15</w:t>
            </w:r>
          </w:p>
        </w:tc>
        <w:tc>
          <w:tcPr>
            <w:tcW w:w="15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23</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w:t>
            </w:r>
          </w:p>
        </w:tc>
      </w:tr>
    </w:tbl>
    <w:p>
      <w:pPr>
        <w:spacing w:after="0" w:line="5" w:lineRule="exact"/>
        <w:rPr>
          <w:sz w:val="20"/>
          <w:szCs w:val="20"/>
          <w:color w:val="auto"/>
        </w:rPr>
      </w:pPr>
    </w:p>
    <w:p>
      <w:pPr>
        <w:ind w:left="180" w:hanging="170"/>
        <w:spacing w:after="0"/>
        <w:tabs>
          <w:tab w:leader="none" w:pos="180"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 There are common members of the Board of Directors</w:t>
      </w:r>
    </w:p>
    <w:p>
      <w:pPr>
        <w:spacing w:after="0" w:line="200" w:lineRule="exact"/>
        <w:rPr>
          <w:sz w:val="20"/>
          <w:szCs w:val="20"/>
          <w:color w:val="auto"/>
        </w:rPr>
      </w:pPr>
    </w:p>
    <w:p>
      <w:pPr>
        <w:spacing w:after="0" w:line="30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F-17</w:t>
      </w:r>
    </w:p>
    <w:p>
      <w:pPr>
        <w:sectPr>
          <w:pgSz w:w="11900" w:h="16838" w:orient="portrait"/>
          <w:cols w:equalWidth="0" w:num="1">
            <w:col w:w="10420"/>
          </w:cols>
          <w:pgMar w:left="220" w:top="1440" w:right="1259" w:bottom="1440" w:gutter="0" w:footer="0" w:header="0"/>
        </w:sectPr>
      </w:pPr>
    </w:p>
    <w:bookmarkStart w:id="180" w:name="page181"/>
    <w:bookmarkEnd w:id="180"/>
    <w:p>
      <w:pPr>
        <w:spacing w:after="0"/>
        <w:tabs>
          <w:tab w:leader="none" w:pos="960" w:val="left"/>
        </w:tabs>
        <w:rPr>
          <w:sz w:val="20"/>
          <w:szCs w:val="20"/>
          <w:color w:val="auto"/>
        </w:rPr>
      </w:pPr>
      <w:r>
        <w:rPr>
          <w:rFonts w:ascii="Courier New" w:cs="Courier New" w:eastAsia="Courier New" w:hAnsi="Courier New"/>
          <w:sz w:val="15"/>
          <w:szCs w:val="15"/>
          <w:color w:val="auto"/>
        </w:rPr>
        <w:t>Note 13.</w:t>
      </w:r>
      <w:r>
        <w:rPr>
          <w:sz w:val="20"/>
          <w:szCs w:val="20"/>
          <w:color w:val="auto"/>
        </w:rPr>
        <w:tab/>
      </w:r>
      <w:r>
        <w:rPr>
          <w:rFonts w:ascii="Courier New" w:cs="Courier New" w:eastAsia="Courier New" w:hAnsi="Courier New"/>
          <w:sz w:val="14"/>
          <w:szCs w:val="14"/>
          <w:color w:val="auto"/>
        </w:rPr>
        <w:t>Balances and Transactions in Foreign Currency.</w:t>
      </w:r>
    </w:p>
    <w:p>
      <w:pPr>
        <w:spacing w:after="0" w:line="173" w:lineRule="exact"/>
        <w:rPr>
          <w:sz w:val="20"/>
          <w:szCs w:val="20"/>
          <w:color w:val="auto"/>
        </w:rPr>
      </w:pPr>
    </w:p>
    <w:p>
      <w:pPr>
        <w:jc w:val="both"/>
        <w:ind w:right="3580"/>
        <w:spacing w:after="0" w:line="235" w:lineRule="auto"/>
        <w:rPr>
          <w:sz w:val="20"/>
          <w:szCs w:val="20"/>
          <w:color w:val="auto"/>
        </w:rPr>
      </w:pPr>
      <w:r>
        <w:rPr>
          <w:rFonts w:ascii="Courier New" w:cs="Courier New" w:eastAsia="Courier New" w:hAnsi="Courier New"/>
          <w:sz w:val="15"/>
          <w:szCs w:val="15"/>
          <w:color w:val="auto"/>
        </w:rPr>
        <w:t>Assets, liabilities and transactions denominated in a foreign currency, other than the functional currency of the reporting unit, translated into US dollars are as follows: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Applicable</w:t>
      </w:r>
    </w:p>
    <w:p>
      <w:pPr>
        <w:spacing w:after="0"/>
        <w:tabs>
          <w:tab w:leader="none" w:pos="3660" w:val="left"/>
          <w:tab w:leader="none" w:pos="6280" w:val="left"/>
          <w:tab w:leader="none" w:pos="7940" w:val="left"/>
          <w:tab w:leader="none" w:pos="8920" w:val="left"/>
          <w:tab w:leader="none" w:pos="9440" w:val="left"/>
        </w:tabs>
        <w:rPr>
          <w:sz w:val="20"/>
          <w:szCs w:val="20"/>
          <w:color w:val="auto"/>
        </w:rPr>
      </w:pPr>
      <w:r>
        <w:rPr>
          <w:rFonts w:ascii="Courier New" w:cs="Courier New" w:eastAsia="Courier New" w:hAnsi="Courier New"/>
          <w:sz w:val="15"/>
          <w:szCs w:val="15"/>
          <w:color w:val="auto"/>
        </w:rPr>
        <w:t>Balances</w:t>
      </w:r>
      <w:r>
        <w:rPr>
          <w:sz w:val="20"/>
          <w:szCs w:val="20"/>
          <w:color w:val="auto"/>
        </w:rPr>
        <w:tab/>
      </w:r>
      <w:r>
        <w:rPr>
          <w:rFonts w:ascii="Courier New" w:cs="Courier New" w:eastAsia="Courier New" w:hAnsi="Courier New"/>
          <w:sz w:val="15"/>
          <w:szCs w:val="15"/>
          <w:color w:val="auto"/>
        </w:rPr>
        <w:t>Exchange Rate (1)</w:t>
      </w:r>
      <w:r>
        <w:rPr>
          <w:sz w:val="20"/>
          <w:szCs w:val="20"/>
          <w:color w:val="auto"/>
        </w:rPr>
        <w:tab/>
      </w:r>
      <w:r>
        <w:rPr>
          <w:rFonts w:ascii="Courier New" w:cs="Courier New" w:eastAsia="Courier New" w:hAnsi="Courier New"/>
          <w:sz w:val="15"/>
          <w:szCs w:val="15"/>
          <w:color w:val="auto"/>
        </w:rPr>
        <w:t>Short-Term</w:t>
      </w:r>
      <w:r>
        <w:rPr>
          <w:sz w:val="20"/>
          <w:szCs w:val="20"/>
          <w:color w:val="auto"/>
        </w:rPr>
        <w:tab/>
      </w:r>
      <w:r>
        <w:rPr>
          <w:rFonts w:ascii="Courier New" w:cs="Courier New" w:eastAsia="Courier New" w:hAnsi="Courier New"/>
          <w:sz w:val="15"/>
          <w:szCs w:val="15"/>
          <w:color w:val="auto"/>
        </w:rPr>
        <w:t>Long-Term</w:t>
        <w:tab/>
        <w:t>(a)</w:t>
      </w:r>
      <w:r>
        <w:rPr>
          <w:sz w:val="20"/>
          <w:szCs w:val="20"/>
          <w:color w:val="auto"/>
        </w:rPr>
        <w:tab/>
      </w:r>
      <w:r>
        <w:rPr>
          <w:rFonts w:ascii="Courier New" w:cs="Courier New" w:eastAsia="Courier New" w:hAnsi="Courier New"/>
          <w:sz w:val="14"/>
          <w:szCs w:val="14"/>
          <w:color w:val="auto"/>
        </w:rPr>
        <w:t>Total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December 31,</w:t>
            </w:r>
          </w:p>
        </w:tc>
        <w:tc>
          <w:tcPr>
            <w:tcW w:w="8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2002:</w:t>
            </w:r>
          </w:p>
        </w:tc>
        <w:tc>
          <w:tcPr>
            <w:tcW w:w="2140" w:type="dxa"/>
            <w:vAlign w:val="bottom"/>
          </w:tcPr>
          <w:p>
            <w:pPr>
              <w:ind w:left="300"/>
              <w:spacing w:after="0"/>
              <w:rPr>
                <w:sz w:val="20"/>
                <w:szCs w:val="20"/>
                <w:color w:val="auto"/>
              </w:rPr>
            </w:pPr>
            <w:r>
              <w:rPr>
                <w:rFonts w:ascii="Courier New" w:cs="Courier New" w:eastAsia="Courier New" w:hAnsi="Courier New"/>
                <w:sz w:val="15"/>
                <w:szCs w:val="15"/>
                <w:color w:val="auto"/>
              </w:rPr>
              <w:t>Assets</w:t>
            </w:r>
          </w:p>
        </w:tc>
        <w:tc>
          <w:tcPr>
            <w:tcW w:w="17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10.459</w:t>
            </w: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638</w:t>
            </w: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w:t>
            </w:r>
          </w:p>
        </w:tc>
        <w:tc>
          <w:tcPr>
            <w:tcW w:w="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657</w:t>
            </w:r>
          </w:p>
        </w:tc>
      </w:tr>
      <w:tr>
        <w:trPr>
          <w:trHeight w:val="168"/>
        </w:trPr>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1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Liabilities</w:t>
            </w:r>
          </w:p>
        </w:tc>
        <w:tc>
          <w:tcPr>
            <w:tcW w:w="1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389</w:t>
            </w:r>
          </w:p>
        </w:tc>
        <w:tc>
          <w:tcPr>
            <w:tcW w:w="8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652</w:t>
            </w:r>
          </w:p>
        </w:tc>
        <w:tc>
          <w:tcPr>
            <w:tcW w:w="4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1,041</w:t>
            </w: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December 31,</w:t>
            </w:r>
          </w:p>
        </w:tc>
        <w:tc>
          <w:tcPr>
            <w:tcW w:w="8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2001:</w:t>
            </w:r>
          </w:p>
        </w:tc>
        <w:tc>
          <w:tcPr>
            <w:tcW w:w="2140" w:type="dxa"/>
            <w:vAlign w:val="bottom"/>
          </w:tcPr>
          <w:p>
            <w:pPr>
              <w:ind w:left="300"/>
              <w:spacing w:after="0"/>
              <w:rPr>
                <w:sz w:val="20"/>
                <w:szCs w:val="20"/>
                <w:color w:val="auto"/>
              </w:rPr>
            </w:pPr>
            <w:r>
              <w:rPr>
                <w:rFonts w:ascii="Courier New" w:cs="Courier New" w:eastAsia="Courier New" w:hAnsi="Courier New"/>
                <w:sz w:val="15"/>
                <w:szCs w:val="15"/>
                <w:color w:val="auto"/>
              </w:rPr>
              <w:t>Assets</w:t>
            </w:r>
          </w:p>
        </w:tc>
        <w:tc>
          <w:tcPr>
            <w:tcW w:w="17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9.180</w:t>
            </w: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293</w:t>
            </w: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w:t>
            </w:r>
          </w:p>
        </w:tc>
        <w:tc>
          <w:tcPr>
            <w:tcW w:w="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310</w:t>
            </w:r>
          </w:p>
        </w:tc>
      </w:tr>
      <w:tr>
        <w:trPr>
          <w:trHeight w:val="168"/>
        </w:trPr>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1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Liabilities</w:t>
            </w:r>
          </w:p>
        </w:tc>
        <w:tc>
          <w:tcPr>
            <w:tcW w:w="1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269</w:t>
            </w:r>
          </w:p>
        </w:tc>
        <w:tc>
          <w:tcPr>
            <w:tcW w:w="8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647</w:t>
            </w:r>
          </w:p>
        </w:tc>
        <w:tc>
          <w:tcPr>
            <w:tcW w:w="4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916</w:t>
            </w:r>
          </w:p>
        </w:tc>
      </w:tr>
    </w:tbl>
    <w:p>
      <w:pPr>
        <w:spacing w:after="0" w:line="5" w:lineRule="exact"/>
        <w:rPr>
          <w:sz w:val="20"/>
          <w:szCs w:val="20"/>
          <w:color w:val="auto"/>
        </w:rPr>
      </w:pPr>
    </w:p>
    <w:p>
      <w:pPr>
        <w:ind w:left="180" w:hanging="170"/>
        <w:spacing w:after="0"/>
        <w:tabs>
          <w:tab w:leader="none" w:pos="180"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 Mexican pesos per one US dollar</w:t>
      </w:r>
    </w:p>
    <w:p>
      <w:pPr>
        <w:spacing w:after="0" w:line="172"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Transactions</w:t>
            </w:r>
          </w:p>
        </w:tc>
        <w:tc>
          <w:tcPr>
            <w:tcW w:w="37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2002</w:t>
            </w:r>
          </w:p>
        </w:tc>
        <w:tc>
          <w:tcPr>
            <w:tcW w:w="15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8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2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217</w:t>
            </w:r>
          </w:p>
        </w:tc>
        <w:tc>
          <w:tcPr>
            <w:tcW w:w="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204</w:t>
            </w:r>
          </w:p>
        </w:tc>
        <w:tc>
          <w:tcPr>
            <w:tcW w:w="7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192</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Expenses:</w:t>
            </w:r>
          </w:p>
        </w:tc>
        <w:tc>
          <w:tcPr>
            <w:tcW w:w="2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43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Purchases of raw materials</w:t>
            </w:r>
          </w:p>
        </w:tc>
        <w:tc>
          <w:tcPr>
            <w:tcW w:w="210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229</w:t>
            </w:r>
          </w:p>
        </w:tc>
        <w:tc>
          <w:tcPr>
            <w:tcW w:w="700" w:type="dxa"/>
            <w:vAlign w:val="bottom"/>
          </w:tcPr>
          <w:p>
            <w:pPr>
              <w:spacing w:after="0"/>
              <w:rPr>
                <w:sz w:val="14"/>
                <w:szCs w:val="14"/>
                <w:color w:val="auto"/>
              </w:rPr>
            </w:pPr>
          </w:p>
        </w:tc>
        <w:tc>
          <w:tcPr>
            <w:tcW w:w="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201</w:t>
            </w:r>
          </w:p>
        </w:tc>
        <w:tc>
          <w:tcPr>
            <w:tcW w:w="70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219</w:t>
            </w:r>
          </w:p>
        </w:tc>
      </w:tr>
      <w:tr>
        <w:trPr>
          <w:trHeight w:val="168"/>
        </w:trPr>
        <w:tc>
          <w:tcPr>
            <w:tcW w:w="43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Technical assistance fees</w:t>
            </w:r>
          </w:p>
        </w:tc>
        <w:tc>
          <w:tcPr>
            <w:tcW w:w="210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32</w:t>
            </w:r>
          </w:p>
        </w:tc>
        <w:tc>
          <w:tcPr>
            <w:tcW w:w="700" w:type="dxa"/>
            <w:vAlign w:val="bottom"/>
          </w:tcPr>
          <w:p>
            <w:pPr>
              <w:spacing w:after="0"/>
              <w:rPr>
                <w:sz w:val="14"/>
                <w:szCs w:val="14"/>
                <w:color w:val="auto"/>
              </w:rPr>
            </w:pPr>
          </w:p>
        </w:tc>
        <w:tc>
          <w:tcPr>
            <w:tcW w:w="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44</w:t>
            </w:r>
          </w:p>
        </w:tc>
        <w:tc>
          <w:tcPr>
            <w:tcW w:w="70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w:t>
            </w:r>
          </w:p>
        </w:tc>
      </w:tr>
      <w:tr>
        <w:trPr>
          <w:trHeight w:val="168"/>
        </w:trPr>
        <w:tc>
          <w:tcPr>
            <w:tcW w:w="43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Interest and other</w:t>
            </w:r>
          </w:p>
        </w:tc>
        <w:tc>
          <w:tcPr>
            <w:tcW w:w="210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245</w:t>
            </w:r>
          </w:p>
        </w:tc>
        <w:tc>
          <w:tcPr>
            <w:tcW w:w="700" w:type="dxa"/>
            <w:vAlign w:val="bottom"/>
          </w:tcPr>
          <w:p>
            <w:pPr>
              <w:spacing w:after="0"/>
              <w:rPr>
                <w:sz w:val="14"/>
                <w:szCs w:val="14"/>
                <w:color w:val="auto"/>
              </w:rPr>
            </w:pPr>
          </w:p>
        </w:tc>
        <w:tc>
          <w:tcPr>
            <w:tcW w:w="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177</w:t>
            </w:r>
          </w:p>
        </w:tc>
        <w:tc>
          <w:tcPr>
            <w:tcW w:w="70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204</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6140"/>
        <w:spacing w:after="0"/>
        <w:tabs>
          <w:tab w:leader="none" w:pos="6720" w:val="left"/>
          <w:tab w:leader="none" w:pos="7780" w:val="left"/>
          <w:tab w:leader="none" w:pos="8300" w:val="left"/>
          <w:tab w:leader="none" w:pos="9260" w:val="left"/>
          <w:tab w:leader="none" w:pos="98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506</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422</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444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6" w:lineRule="exact"/>
        <w:rPr>
          <w:sz w:val="20"/>
          <w:szCs w:val="20"/>
          <w:color w:val="auto"/>
        </w:rPr>
      </w:pPr>
    </w:p>
    <w:p>
      <w:pPr>
        <w:ind w:right="3680"/>
        <w:spacing w:after="0" w:line="235" w:lineRule="auto"/>
        <w:rPr>
          <w:sz w:val="20"/>
          <w:szCs w:val="20"/>
          <w:color w:val="auto"/>
        </w:rPr>
      </w:pPr>
      <w:r>
        <w:rPr>
          <w:rFonts w:ascii="Courier New" w:cs="Courier New" w:eastAsia="Courier New" w:hAnsi="Courier New"/>
          <w:sz w:val="15"/>
          <w:szCs w:val="15"/>
          <w:color w:val="auto"/>
        </w:rPr>
        <w:t>As of January 29, 2003, the issue date of these consolidated financial statements, the exchange rate was 10.986 Mexican pesos per one US dollar, and the foreign currency position was similar to that December 31, 2002.</w:t>
      </w:r>
    </w:p>
    <w:p>
      <w:pPr>
        <w:spacing w:after="0" w:line="335"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Note 14.</w:t>
      </w:r>
      <w:r>
        <w:rPr>
          <w:sz w:val="20"/>
          <w:szCs w:val="20"/>
          <w:color w:val="auto"/>
        </w:rPr>
        <w:tab/>
      </w:r>
      <w:r>
        <w:rPr>
          <w:rFonts w:ascii="Courier New" w:cs="Courier New" w:eastAsia="Courier New" w:hAnsi="Courier New"/>
          <w:sz w:val="14"/>
          <w:szCs w:val="14"/>
          <w:color w:val="auto"/>
        </w:rPr>
        <w:t>Labor Liabilities.</w:t>
      </w:r>
    </w:p>
    <w:p>
      <w:pPr>
        <w:spacing w:after="0" w:line="173" w:lineRule="exact"/>
        <w:rPr>
          <w:sz w:val="20"/>
          <w:szCs w:val="20"/>
          <w:color w:val="auto"/>
        </w:rPr>
      </w:pPr>
    </w:p>
    <w:p>
      <w:pPr>
        <w:jc w:val="both"/>
        <w:ind w:right="3420"/>
        <w:spacing w:after="0" w:line="258" w:lineRule="auto"/>
        <w:rPr>
          <w:sz w:val="20"/>
          <w:szCs w:val="20"/>
          <w:color w:val="auto"/>
        </w:rPr>
      </w:pPr>
      <w:r>
        <w:rPr>
          <w:rFonts w:ascii="Courier New" w:cs="Courier New" w:eastAsia="Courier New" w:hAnsi="Courier New"/>
          <w:sz w:val="14"/>
          <w:szCs w:val="14"/>
          <w:color w:val="auto"/>
        </w:rPr>
        <w:t>The actuarial calculations for the Mexican subsidiaries' pension and retirement plans, seniority premiums and postretirement medical service liabilities and the cost for the year were determined using the following long-term assumptions:</w:t>
      </w:r>
    </w:p>
    <w:p>
      <w:pPr>
        <w:spacing w:after="0" w:line="155" w:lineRule="exact"/>
        <w:rPr>
          <w:sz w:val="20"/>
          <w:szCs w:val="20"/>
          <w:color w:val="auto"/>
        </w:rPr>
      </w:pPr>
    </w:p>
    <w:p>
      <w:pPr>
        <w:ind w:left="5780"/>
        <w:spacing w:after="0"/>
        <w:rPr>
          <w:sz w:val="20"/>
          <w:szCs w:val="20"/>
          <w:color w:val="auto"/>
        </w:rPr>
      </w:pPr>
      <w:r>
        <w:rPr>
          <w:rFonts w:ascii="Courier New" w:cs="Courier New" w:eastAsia="Courier New" w:hAnsi="Courier New"/>
          <w:sz w:val="15"/>
          <w:szCs w:val="15"/>
          <w:color w:val="auto"/>
        </w:rPr>
        <w:t>Real Rates</w:t>
      </w:r>
    </w:p>
    <w:p>
      <w:pPr>
        <w:spacing w:after="0" w:line="237" w:lineRule="auto"/>
        <w:rPr>
          <w:sz w:val="20"/>
          <w:szCs w:val="20"/>
          <w:color w:val="auto"/>
        </w:rPr>
      </w:pPr>
      <w:r>
        <w:rPr>
          <w:rFonts w:ascii="Courier New" w:cs="Courier New" w:eastAsia="Courier New" w:hAnsi="Courier New"/>
          <w:sz w:val="15"/>
          <w:szCs w:val="15"/>
          <w:color w:val="auto"/>
        </w:rPr>
        <w:t>- --------------------------------------------------------------------------</w:t>
      </w:r>
    </w:p>
    <w:tbl>
      <w:tblPr>
        <w:tblLayout w:type="fixed"/>
        <w:tblInd w:w="0" w:type="dxa"/>
        <w:tblCellMar>
          <w:top w:w="0" w:type="dxa"/>
          <w:left w:w="0" w:type="dxa"/>
          <w:bottom w:w="0" w:type="dxa"/>
          <w:right w:w="0" w:type="dxa"/>
        </w:tblCellMar>
      </w:tblPr>
      <w:tr>
        <w:trPr>
          <w:trHeight w:val="169"/>
        </w:trPr>
        <w:tc>
          <w:tcPr>
            <w:tcW w:w="1360" w:type="dxa"/>
            <w:vAlign w:val="bottom"/>
            <w:gridSpan w:val="2"/>
          </w:tcPr>
          <w:p>
            <w:pPr>
              <w:spacing w:after="0" w:line="169" w:lineRule="exact"/>
              <w:rPr>
                <w:sz w:val="20"/>
                <w:szCs w:val="20"/>
                <w:color w:val="auto"/>
              </w:rPr>
            </w:pPr>
            <w:r>
              <w:rPr>
                <w:rFonts w:ascii="Courier New" w:cs="Courier New" w:eastAsia="Courier New" w:hAnsi="Courier New"/>
                <w:sz w:val="15"/>
                <w:szCs w:val="15"/>
                <w:color w:val="auto"/>
                <w:w w:val="99"/>
              </w:rPr>
              <w:t>Annual discount</w:t>
            </w:r>
          </w:p>
        </w:tc>
        <w:tc>
          <w:tcPr>
            <w:tcW w:w="2540" w:type="dxa"/>
            <w:vAlign w:val="bottom"/>
          </w:tcPr>
          <w:p>
            <w:pPr>
              <w:ind w:left="40"/>
              <w:spacing w:after="0" w:line="169" w:lineRule="exact"/>
              <w:rPr>
                <w:sz w:val="20"/>
                <w:szCs w:val="20"/>
                <w:color w:val="auto"/>
              </w:rPr>
            </w:pPr>
            <w:r>
              <w:rPr>
                <w:rFonts w:ascii="Courier New" w:cs="Courier New" w:eastAsia="Courier New" w:hAnsi="Courier New"/>
                <w:sz w:val="15"/>
                <w:szCs w:val="15"/>
                <w:color w:val="auto"/>
              </w:rPr>
              <w:t>rate</w:t>
            </w:r>
          </w:p>
        </w:tc>
        <w:tc>
          <w:tcPr>
            <w:tcW w:w="250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6.0%</w:t>
            </w:r>
          </w:p>
        </w:tc>
      </w:t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Salary</w:t>
            </w:r>
          </w:p>
        </w:tc>
        <w:tc>
          <w:tcPr>
            <w:tcW w:w="7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increase</w:t>
            </w:r>
          </w:p>
        </w:tc>
        <w:tc>
          <w:tcPr>
            <w:tcW w:w="2540" w:type="dxa"/>
            <w:vAlign w:val="bottom"/>
          </w:tcPr>
          <w:p>
            <w:pPr>
              <w:spacing w:after="0"/>
              <w:rPr>
                <w:sz w:val="14"/>
                <w:szCs w:val="14"/>
                <w:color w:val="auto"/>
              </w:rPr>
            </w:pPr>
          </w:p>
        </w:tc>
        <w:tc>
          <w:tcPr>
            <w:tcW w:w="2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w:t>
            </w:r>
          </w:p>
        </w:tc>
      </w:t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Return</w:t>
            </w:r>
          </w:p>
        </w:tc>
        <w:tc>
          <w:tcPr>
            <w:tcW w:w="33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on assets</w:t>
            </w:r>
          </w:p>
        </w:tc>
        <w:tc>
          <w:tcPr>
            <w:tcW w:w="2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w:t>
            </w:r>
          </w:p>
        </w:tc>
      </w:tr>
    </w:tbl>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420"/>
        <w:spacing w:after="0" w:line="236" w:lineRule="auto"/>
        <w:rPr>
          <w:sz w:val="20"/>
          <w:szCs w:val="20"/>
          <w:color w:val="auto"/>
        </w:rPr>
      </w:pPr>
      <w:r>
        <w:rPr>
          <w:rFonts w:ascii="Courier New" w:cs="Courier New" w:eastAsia="Courier New" w:hAnsi="Courier New"/>
          <w:sz w:val="15"/>
          <w:szCs w:val="15"/>
          <w:color w:val="auto"/>
        </w:rPr>
        <w:t>In June 2001, the Company decreased the projected service obligation derived from a change in the actuarial calculations based on a confirmation received from the Mexican Social Security Institute ("IMSS") regarding the interpretation of Article 28 of the Social Security Law in effect in July 1997, in which the IMSS increased the pensions to those insured for disability, old age, and discharge due to aging.</w:t>
      </w:r>
    </w:p>
    <w:p>
      <w:pPr>
        <w:spacing w:after="0" w:line="200" w:lineRule="exact"/>
        <w:rPr>
          <w:sz w:val="20"/>
          <w:szCs w:val="20"/>
          <w:color w:val="auto"/>
        </w:rPr>
      </w:pPr>
    </w:p>
    <w:p>
      <w:pPr>
        <w:spacing w:after="0" w:line="30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F-18</w:t>
      </w:r>
    </w:p>
    <w:p>
      <w:pPr>
        <w:sectPr>
          <w:pgSz w:w="11900" w:h="16838" w:orient="portrait"/>
          <w:cols w:equalWidth="0" w:num="1">
            <w:col w:w="10420"/>
          </w:cols>
          <w:pgMar w:left="220" w:top="1290" w:right="1259" w:bottom="1440" w:gutter="0" w:footer="0" w:header="0"/>
        </w:sectPr>
      </w:pPr>
    </w:p>
    <w:bookmarkStart w:id="181" w:name="page182"/>
    <w:bookmarkEnd w:id="181"/>
    <w:p>
      <w:pPr>
        <w:spacing w:after="0" w:line="25" w:lineRule="exact"/>
        <w:rPr>
          <w:sz w:val="20"/>
          <w:szCs w:val="20"/>
          <w:color w:val="auto"/>
        </w:rPr>
      </w:pPr>
    </w:p>
    <w:p>
      <w:pPr>
        <w:ind w:right="3420"/>
        <w:spacing w:after="0" w:line="234" w:lineRule="auto"/>
        <w:rPr>
          <w:sz w:val="20"/>
          <w:szCs w:val="20"/>
          <w:color w:val="auto"/>
        </w:rPr>
      </w:pPr>
      <w:r>
        <w:rPr>
          <w:rFonts w:ascii="Courier New" w:cs="Courier New" w:eastAsia="Courier New" w:hAnsi="Courier New"/>
          <w:sz w:val="15"/>
          <w:szCs w:val="15"/>
          <w:color w:val="auto"/>
        </w:rPr>
        <w:t>The balances of the liabilities and the trust assets as well as the expenses for the year are as follows:</w:t>
      </w:r>
    </w:p>
    <w:p>
      <w:pPr>
        <w:spacing w:after="0" w:line="167" w:lineRule="exact"/>
        <w:rPr>
          <w:sz w:val="20"/>
          <w:szCs w:val="20"/>
          <w:color w:val="auto"/>
        </w:rPr>
      </w:pPr>
    </w:p>
    <w:p>
      <w:pPr>
        <w:ind w:left="8240"/>
        <w:spacing w:after="0"/>
        <w:tabs>
          <w:tab w:leader="none" w:pos="9620" w:val="left"/>
        </w:tabs>
        <w:rPr>
          <w:sz w:val="20"/>
          <w:szCs w:val="20"/>
          <w:color w:val="auto"/>
        </w:rPr>
      </w:pPr>
      <w:r>
        <w:rPr>
          <w:rFonts w:ascii="Courier New" w:cs="Courier New" w:eastAsia="Courier New" w:hAnsi="Courier New"/>
          <w:sz w:val="15"/>
          <w:szCs w:val="15"/>
          <w:color w:val="auto"/>
        </w:rPr>
        <w:t>2002</w:t>
      </w:r>
      <w:r>
        <w:rPr>
          <w:sz w:val="20"/>
          <w:szCs w:val="20"/>
          <w:color w:val="auto"/>
        </w:rPr>
        <w:tab/>
      </w:r>
      <w:r>
        <w:rPr>
          <w:rFonts w:ascii="Courier New" w:cs="Courier New" w:eastAsia="Courier New" w:hAnsi="Courier New"/>
          <w:sz w:val="15"/>
          <w:szCs w:val="15"/>
          <w:color w:val="auto"/>
        </w:rPr>
        <w:t>2001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80" w:type="dxa"/>
            <w:vAlign w:val="bottom"/>
          </w:tcPr>
          <w:p>
            <w:pPr>
              <w:jc w:val="right"/>
              <w:spacing w:after="0"/>
              <w:rPr>
                <w:sz w:val="20"/>
                <w:szCs w:val="20"/>
                <w:color w:val="auto"/>
              </w:rPr>
            </w:pPr>
            <w:r>
              <w:rPr>
                <w:rFonts w:ascii="Courier New" w:cs="Courier New" w:eastAsia="Courier New" w:hAnsi="Courier New"/>
                <w:sz w:val="15"/>
                <w:szCs w:val="15"/>
                <w:color w:val="auto"/>
                <w:w w:val="96"/>
              </w:rPr>
              <w:t>Pension and retirement</w:t>
            </w:r>
          </w:p>
        </w:tc>
        <w:tc>
          <w:tcPr>
            <w:tcW w:w="3140" w:type="dxa"/>
            <w:vAlign w:val="bottom"/>
          </w:tcPr>
          <w:p>
            <w:pPr>
              <w:jc w:val="right"/>
              <w:ind w:right="2507"/>
              <w:spacing w:after="0"/>
              <w:rPr>
                <w:sz w:val="20"/>
                <w:szCs w:val="20"/>
                <w:color w:val="auto"/>
              </w:rPr>
            </w:pPr>
            <w:r>
              <w:rPr>
                <w:rFonts w:ascii="Courier New" w:cs="Courier New" w:eastAsia="Courier New" w:hAnsi="Courier New"/>
                <w:sz w:val="15"/>
                <w:szCs w:val="15"/>
                <w:color w:val="auto"/>
                <w:w w:val="99"/>
              </w:rPr>
              <w:t>plans:</w:t>
            </w:r>
          </w:p>
        </w:tc>
        <w:tc>
          <w:tcPr>
            <w:tcW w:w="2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120" w:type="dxa"/>
            <w:vAlign w:val="bottom"/>
            <w:gridSpan w:val="2"/>
          </w:tcPr>
          <w:p>
            <w:pPr>
              <w:jc w:val="right"/>
              <w:ind w:right="2507"/>
              <w:spacing w:after="0" w:line="168" w:lineRule="exact"/>
              <w:rPr>
                <w:sz w:val="20"/>
                <w:szCs w:val="20"/>
                <w:color w:val="auto"/>
              </w:rPr>
            </w:pPr>
            <w:r>
              <w:rPr>
                <w:rFonts w:ascii="Courier New" w:cs="Courier New" w:eastAsia="Courier New" w:hAnsi="Courier New"/>
                <w:sz w:val="15"/>
                <w:szCs w:val="15"/>
                <w:color w:val="auto"/>
              </w:rPr>
              <w:t>Vested benefit obligation</w:t>
            </w:r>
          </w:p>
        </w:tc>
        <w:tc>
          <w:tcPr>
            <w:tcW w:w="2760" w:type="dxa"/>
            <w:vAlign w:val="bottom"/>
          </w:tcPr>
          <w:p>
            <w:pPr>
              <w:ind w:left="2240"/>
              <w:spacing w:after="0" w:line="168" w:lineRule="exact"/>
              <w:rPr>
                <w:sz w:val="20"/>
                <w:szCs w:val="20"/>
                <w:color w:val="auto"/>
              </w:rPr>
            </w:pPr>
            <w:r>
              <w:rPr>
                <w:rFonts w:ascii="Courier New" w:cs="Courier New" w:eastAsia="Courier New" w:hAnsi="Courier New"/>
                <w:sz w:val="15"/>
                <w:szCs w:val="15"/>
                <w:color w:val="auto"/>
              </w:rPr>
              <w:t>Ps.</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1,274</w:t>
            </w:r>
          </w:p>
        </w:tc>
        <w:tc>
          <w:tcPr>
            <w:tcW w:w="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Ps.</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1,084</w:t>
            </w:r>
          </w:p>
        </w:tc>
      </w:tr>
      <w:tr>
        <w:trPr>
          <w:trHeight w:val="168"/>
        </w:trPr>
        <w:tc>
          <w:tcPr>
            <w:tcW w:w="1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Non-vested benefit</w:t>
            </w:r>
          </w:p>
        </w:tc>
        <w:tc>
          <w:tcPr>
            <w:tcW w:w="3140" w:type="dxa"/>
            <w:vAlign w:val="bottom"/>
          </w:tcPr>
          <w:p>
            <w:pPr>
              <w:jc w:val="right"/>
              <w:ind w:right="2147"/>
              <w:spacing w:after="0" w:line="168" w:lineRule="exact"/>
              <w:rPr>
                <w:sz w:val="20"/>
                <w:szCs w:val="20"/>
                <w:color w:val="auto"/>
              </w:rPr>
            </w:pPr>
            <w:r>
              <w:rPr>
                <w:rFonts w:ascii="Courier New" w:cs="Courier New" w:eastAsia="Courier New" w:hAnsi="Courier New"/>
                <w:sz w:val="15"/>
                <w:szCs w:val="15"/>
                <w:color w:val="auto"/>
                <w:w w:val="99"/>
              </w:rPr>
              <w:t>obligation</w:t>
            </w:r>
          </w:p>
        </w:tc>
        <w:tc>
          <w:tcPr>
            <w:tcW w:w="27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1,006</w:t>
            </w:r>
          </w:p>
        </w:tc>
        <w:tc>
          <w:tcPr>
            <w:tcW w:w="7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943</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1700" w:type="dxa"/>
            <w:vAlign w:val="bottom"/>
          </w:tcPr>
          <w:p>
            <w:pPr>
              <w:spacing w:after="0"/>
              <w:rPr>
                <w:sz w:val="20"/>
                <w:szCs w:val="20"/>
                <w:color w:val="auto"/>
              </w:rPr>
            </w:pPr>
            <w:r>
              <w:rPr>
                <w:rFonts w:ascii="Courier New" w:cs="Courier New" w:eastAsia="Courier New" w:hAnsi="Courier New"/>
                <w:sz w:val="15"/>
                <w:szCs w:val="15"/>
                <w:color w:val="auto"/>
                <w:w w:val="98"/>
              </w:rPr>
              <w:t>Accumulated benefit</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obligation</w:t>
            </w:r>
          </w:p>
        </w:tc>
        <w:tc>
          <w:tcPr>
            <w:tcW w:w="16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2,280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2,027</w:t>
            </w:r>
          </w:p>
        </w:tc>
      </w:tr>
      <w:tr>
        <w:trPr>
          <w:trHeight w:val="168"/>
        </w:trPr>
        <w:tc>
          <w:tcPr>
            <w:tcW w:w="17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Excess of projected</w:t>
            </w:r>
          </w:p>
        </w:tc>
        <w:tc>
          <w:tcPr>
            <w:tcW w:w="54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benefit obligation over accumulated benefit obligation</w:t>
            </w:r>
          </w:p>
        </w:tc>
        <w:tc>
          <w:tcPr>
            <w:tcW w:w="16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208</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Projected benefit</w:t>
            </w:r>
          </w:p>
        </w:tc>
        <w:tc>
          <w:tcPr>
            <w:tcW w:w="3480" w:type="dxa"/>
            <w:vAlign w:val="bottom"/>
          </w:tcPr>
          <w:p>
            <w:pPr>
              <w:ind w:left="40"/>
              <w:spacing w:after="0"/>
              <w:rPr>
                <w:sz w:val="20"/>
                <w:szCs w:val="20"/>
                <w:color w:val="auto"/>
              </w:rPr>
            </w:pPr>
            <w:r>
              <w:rPr>
                <w:rFonts w:ascii="Courier New" w:cs="Courier New" w:eastAsia="Courier New" w:hAnsi="Courier New"/>
                <w:sz w:val="15"/>
                <w:szCs w:val="15"/>
                <w:color w:val="auto"/>
              </w:rPr>
              <w:t>obligation</w:t>
            </w:r>
          </w:p>
        </w:tc>
        <w:tc>
          <w:tcPr>
            <w:tcW w:w="36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2,488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2,227</w:t>
            </w:r>
          </w:p>
        </w:tc>
      </w:tr>
      <w:tr>
        <w:trPr>
          <w:trHeight w:val="168"/>
        </w:trPr>
        <w:tc>
          <w:tcPr>
            <w:tcW w:w="1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Pension plan funds at</w:t>
            </w:r>
          </w:p>
        </w:tc>
        <w:tc>
          <w:tcPr>
            <w:tcW w:w="3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fair value</w:t>
            </w:r>
          </w:p>
        </w:tc>
        <w:tc>
          <w:tcPr>
            <w:tcW w:w="36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(1,581)</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(1,559)</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Unfunded projected benefit obligation</w:t>
            </w:r>
          </w:p>
        </w:tc>
        <w:tc>
          <w:tcPr>
            <w:tcW w:w="28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907</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668</w:t>
            </w:r>
          </w:p>
        </w:tc>
      </w:tr>
      <w:tr>
        <w:trPr>
          <w:trHeight w:val="168"/>
        </w:trPr>
        <w:tc>
          <w:tcPr>
            <w:tcW w:w="63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Unrecognized net transition obligation services</w:t>
            </w:r>
          </w:p>
        </w:tc>
        <w:tc>
          <w:tcPr>
            <w:tcW w:w="28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(369)</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(369)</w:t>
            </w:r>
          </w:p>
        </w:tc>
      </w:tr>
      <w:tr>
        <w:trPr>
          <w:trHeight w:val="168"/>
        </w:trPr>
        <w:tc>
          <w:tcPr>
            <w:tcW w:w="63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Unrecognized actuarial net gain</w:t>
            </w:r>
          </w:p>
        </w:tc>
        <w:tc>
          <w:tcPr>
            <w:tcW w:w="28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46</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228</w:t>
            </w:r>
          </w:p>
        </w:tc>
      </w:tr>
    </w:tbl>
    <w:p>
      <w:pPr>
        <w:spacing w:after="0" w:line="5" w:lineRule="exact"/>
        <w:rPr>
          <w:sz w:val="20"/>
          <w:szCs w:val="20"/>
          <w:color w:val="auto"/>
        </w:rPr>
      </w:pPr>
    </w:p>
    <w:p>
      <w:pPr>
        <w:ind w:left="180" w:hanging="170"/>
        <w:spacing w:after="0"/>
        <w:tabs>
          <w:tab w:leader="none" w:pos="180"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83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584</w:t>
      </w:r>
      <w:r>
        <w:rPr>
          <w:rFonts w:ascii="Courier New" w:cs="Courier New" w:eastAsia="Courier New" w:hAnsi="Courier New"/>
          <w:sz w:val="14"/>
          <w:szCs w:val="14"/>
          <w:color w:val="auto"/>
        </w:rPr>
        <w:t>527</w:t>
      </w:r>
    </w:p>
    <w:tbl>
      <w:tblPr>
        <w:tblLayout w:type="fixed"/>
        <w:tblInd w:w="360" w:type="dxa"/>
        <w:tblCellMar>
          <w:top w:w="0" w:type="dxa"/>
          <w:left w:w="0" w:type="dxa"/>
          <w:bottom w:w="0" w:type="dxa"/>
          <w:right w:w="0" w:type="dxa"/>
        </w:tblCellMar>
      </w:tblPr>
      <w:tr>
        <w:trPr>
          <w:trHeight w:val="169"/>
        </w:trPr>
        <w:tc>
          <w:tcPr>
            <w:tcW w:w="5120" w:type="dxa"/>
            <w:vAlign w:val="bottom"/>
          </w:tcPr>
          <w:p>
            <w:pPr>
              <w:spacing w:after="0" w:line="169" w:lineRule="exact"/>
              <w:rPr>
                <w:sz w:val="20"/>
                <w:szCs w:val="20"/>
                <w:color w:val="auto"/>
              </w:rPr>
            </w:pPr>
            <w:r>
              <w:rPr>
                <w:rFonts w:ascii="Courier New" w:cs="Courier New" w:eastAsia="Courier New" w:hAnsi="Courier New"/>
                <w:sz w:val="15"/>
                <w:szCs w:val="15"/>
                <w:color w:val="auto"/>
              </w:rPr>
              <w:t>Additional labor liability</w:t>
            </w:r>
          </w:p>
        </w:tc>
        <w:tc>
          <w:tcPr>
            <w:tcW w:w="3800" w:type="dxa"/>
            <w:vAlign w:val="bottom"/>
          </w:tcPr>
          <w:p>
            <w:pPr>
              <w:jc w:val="right"/>
              <w:ind w:right="627"/>
              <w:spacing w:after="0" w:line="169" w:lineRule="exact"/>
              <w:rPr>
                <w:sz w:val="20"/>
                <w:szCs w:val="20"/>
                <w:color w:val="auto"/>
              </w:rPr>
            </w:pPr>
            <w:r>
              <w:rPr>
                <w:rFonts w:ascii="Courier New" w:cs="Courier New" w:eastAsia="Courier New" w:hAnsi="Courier New"/>
                <w:sz w:val="15"/>
                <w:szCs w:val="15"/>
                <w:color w:val="auto"/>
              </w:rPr>
              <w:t>264</w:t>
            </w:r>
          </w:p>
        </w:tc>
        <w:tc>
          <w:tcPr>
            <w:tcW w:w="88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87</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360"/>
        <w:spacing w:after="0"/>
        <w:tabs>
          <w:tab w:leader="none" w:pos="7340" w:val="left"/>
          <w:tab w:leader="none" w:pos="8300" w:val="left"/>
          <w:tab w:leader="none" w:pos="8920" w:val="left"/>
          <w:tab w:leader="none" w:pos="9880" w:val="left"/>
        </w:tabs>
        <w:rPr>
          <w:sz w:val="20"/>
          <w:szCs w:val="20"/>
          <w:color w:val="auto"/>
        </w:rPr>
      </w:pPr>
      <w:r>
        <w:rPr>
          <w:rFonts w:ascii="Courier New" w:cs="Courier New" w:eastAsia="Courier New" w:hAnsi="Courier New"/>
          <w:sz w:val="15"/>
          <w:szCs w:val="15"/>
          <w:color w:val="auto"/>
        </w:rPr>
        <w:t>Total</w:t>
      </w:r>
      <w:r>
        <w:rPr>
          <w:sz w:val="20"/>
          <w:szCs w:val="20"/>
          <w:color w:val="auto"/>
        </w:rPr>
        <w:tab/>
      </w:r>
      <w:r>
        <w:rPr>
          <w:rFonts w:ascii="Courier New" w:cs="Courier New" w:eastAsia="Courier New" w:hAnsi="Courier New"/>
          <w:sz w:val="15"/>
          <w:szCs w:val="15"/>
          <w:color w:val="auto"/>
        </w:rPr>
        <w:t>Ps.</w:t>
      </w:r>
      <w:r>
        <w:rPr>
          <w:sz w:val="20"/>
          <w:szCs w:val="20"/>
          <w:color w:val="auto"/>
        </w:rPr>
        <w:tab/>
      </w:r>
      <w:r>
        <w:rPr>
          <w:rFonts w:ascii="Courier New" w:cs="Courier New" w:eastAsia="Courier New" w:hAnsi="Courier New"/>
          <w:sz w:val="15"/>
          <w:szCs w:val="15"/>
          <w:color w:val="auto"/>
        </w:rPr>
        <w:t>848</w:t>
      </w:r>
      <w:r>
        <w:rPr>
          <w:sz w:val="20"/>
          <w:szCs w:val="20"/>
          <w:color w:val="auto"/>
        </w:rPr>
        <w:tab/>
      </w:r>
      <w:r>
        <w:rPr>
          <w:rFonts w:ascii="Courier New" w:cs="Courier New" w:eastAsia="Courier New" w:hAnsi="Courier New"/>
          <w:sz w:val="15"/>
          <w:szCs w:val="15"/>
          <w:color w:val="auto"/>
        </w:rPr>
        <w:t>Ps.</w:t>
      </w:r>
      <w:r>
        <w:rPr>
          <w:sz w:val="20"/>
          <w:szCs w:val="20"/>
          <w:color w:val="auto"/>
        </w:rPr>
        <w:tab/>
      </w:r>
      <w:r>
        <w:rPr>
          <w:rFonts w:ascii="Courier New" w:cs="Courier New" w:eastAsia="Courier New" w:hAnsi="Courier New"/>
          <w:sz w:val="14"/>
          <w:szCs w:val="14"/>
          <w:color w:val="auto"/>
        </w:rPr>
        <w:t>614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100" w:type="dxa"/>
            <w:vAlign w:val="bottom"/>
          </w:tcPr>
          <w:p>
            <w:pPr>
              <w:spacing w:after="0"/>
              <w:rPr>
                <w:sz w:val="20"/>
                <w:szCs w:val="20"/>
                <w:color w:val="auto"/>
              </w:rPr>
            </w:pPr>
            <w:r>
              <w:rPr>
                <w:rFonts w:ascii="Courier New" w:cs="Courier New" w:eastAsia="Courier New" w:hAnsi="Courier New"/>
                <w:sz w:val="15"/>
                <w:szCs w:val="15"/>
                <w:color w:val="auto"/>
              </w:rPr>
              <w:t>Seniority premiums:</w:t>
            </w: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7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Vested benefit obligation</w:t>
            </w:r>
          </w:p>
        </w:tc>
        <w:tc>
          <w:tcPr>
            <w:tcW w:w="8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Ps.</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58</w:t>
            </w:r>
          </w:p>
        </w:tc>
        <w:tc>
          <w:tcPr>
            <w:tcW w:w="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Ps.</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w:t>
            </w:r>
          </w:p>
        </w:tc>
      </w:tr>
      <w:tr>
        <w:trPr>
          <w:trHeight w:val="168"/>
        </w:trPr>
        <w:tc>
          <w:tcPr>
            <w:tcW w:w="7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Non-vested benefit obligation</w:t>
            </w:r>
          </w:p>
        </w:tc>
        <w:tc>
          <w:tcPr>
            <w:tcW w:w="8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w:t>
            </w:r>
          </w:p>
        </w:tc>
        <w:tc>
          <w:tcPr>
            <w:tcW w:w="7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w:t>
            </w:r>
          </w:p>
        </w:tc>
      </w:tr>
      <w:tr>
        <w:trPr>
          <w:trHeight w:val="168"/>
        </w:trPr>
        <w:tc>
          <w:tcPr>
            <w:tcW w:w="7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Accumulated benefit obligation</w:t>
            </w:r>
          </w:p>
        </w:tc>
        <w:tc>
          <w:tcPr>
            <w:tcW w:w="8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105</w:t>
            </w:r>
          </w:p>
        </w:tc>
        <w:tc>
          <w:tcPr>
            <w:tcW w:w="7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103</w:t>
            </w:r>
          </w:p>
        </w:tc>
      </w:tr>
      <w:tr>
        <w:trPr>
          <w:trHeight w:val="168"/>
        </w:trPr>
        <w:tc>
          <w:tcPr>
            <w:tcW w:w="7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Excess of projected benefit obligation over accumulated benefit obligation</w:t>
            </w:r>
          </w:p>
        </w:tc>
        <w:tc>
          <w:tcPr>
            <w:tcW w:w="8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w:t>
            </w:r>
          </w:p>
        </w:tc>
        <w:tc>
          <w:tcPr>
            <w:tcW w:w="7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w:t>
            </w:r>
          </w:p>
        </w:tc>
      </w:tr>
      <w:tr>
        <w:trPr>
          <w:trHeight w:val="168"/>
        </w:trPr>
        <w:tc>
          <w:tcPr>
            <w:tcW w:w="7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Projected benefit obligation</w:t>
            </w:r>
          </w:p>
        </w:tc>
        <w:tc>
          <w:tcPr>
            <w:tcW w:w="8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114</w:t>
            </w:r>
          </w:p>
        </w:tc>
        <w:tc>
          <w:tcPr>
            <w:tcW w:w="7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111</w:t>
            </w:r>
          </w:p>
        </w:tc>
      </w:tr>
      <w:tr>
        <w:trPr>
          <w:trHeight w:val="168"/>
        </w:trPr>
        <w:tc>
          <w:tcPr>
            <w:tcW w:w="7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Recognized net transition obligation services</w:t>
            </w:r>
          </w:p>
        </w:tc>
        <w:tc>
          <w:tcPr>
            <w:tcW w:w="8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w:t>
            </w:r>
          </w:p>
        </w:tc>
        <w:tc>
          <w:tcPr>
            <w:tcW w:w="7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7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97</w:t>
            </w:r>
          </w:p>
        </w:tc>
        <w:tc>
          <w:tcPr>
            <w:tcW w:w="7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w:t>
            </w:r>
          </w:p>
        </w:tc>
      </w:tr>
      <w:tr>
        <w:trPr>
          <w:trHeight w:val="168"/>
        </w:trPr>
        <w:tc>
          <w:tcPr>
            <w:tcW w:w="7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Additional labor liability</w:t>
            </w:r>
          </w:p>
        </w:tc>
        <w:tc>
          <w:tcPr>
            <w:tcW w:w="8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w:t>
            </w:r>
          </w:p>
        </w:tc>
        <w:tc>
          <w:tcPr>
            <w:tcW w:w="7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80" w:type="dxa"/>
            <w:vAlign w:val="bottom"/>
          </w:tcPr>
          <w:p>
            <w:pPr>
              <w:ind w:left="360"/>
              <w:spacing w:after="0"/>
              <w:rPr>
                <w:sz w:val="20"/>
                <w:szCs w:val="20"/>
                <w:color w:val="auto"/>
              </w:rPr>
            </w:pPr>
            <w:r>
              <w:rPr>
                <w:rFonts w:ascii="Courier New" w:cs="Courier New" w:eastAsia="Courier New" w:hAnsi="Courier New"/>
                <w:sz w:val="15"/>
                <w:szCs w:val="15"/>
                <w:color w:val="auto"/>
              </w:rPr>
              <w:t>Total</w:t>
            </w:r>
          </w:p>
        </w:tc>
        <w:tc>
          <w:tcPr>
            <w:tcW w:w="3140" w:type="dxa"/>
            <w:vAlign w:val="bottom"/>
          </w:tcPr>
          <w:p>
            <w:pPr>
              <w:spacing w:after="0"/>
              <w:rPr>
                <w:sz w:val="14"/>
                <w:szCs w:val="14"/>
                <w:color w:val="auto"/>
              </w:rPr>
            </w:pPr>
          </w:p>
        </w:tc>
        <w:tc>
          <w:tcPr>
            <w:tcW w:w="2840" w:type="dxa"/>
            <w:vAlign w:val="bottom"/>
          </w:tcPr>
          <w:p>
            <w:pPr>
              <w:ind w:left="2240"/>
              <w:spacing w:after="0"/>
              <w:rPr>
                <w:sz w:val="20"/>
                <w:szCs w:val="20"/>
                <w:color w:val="auto"/>
              </w:rPr>
            </w:pPr>
            <w:r>
              <w:rPr>
                <w:rFonts w:ascii="Courier New" w:cs="Courier New" w:eastAsia="Courier New" w:hAnsi="Courier New"/>
                <w:sz w:val="15"/>
                <w:szCs w:val="15"/>
                <w:color w:val="auto"/>
              </w:rPr>
              <w:t>Ps.</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117</w:t>
            </w:r>
          </w:p>
        </w:tc>
        <w:tc>
          <w:tcPr>
            <w:tcW w:w="780" w:type="dxa"/>
            <w:vAlign w:val="bottom"/>
          </w:tcPr>
          <w:p>
            <w:pPr>
              <w:ind w:left="180"/>
              <w:spacing w:after="0"/>
              <w:rPr>
                <w:sz w:val="20"/>
                <w:szCs w:val="20"/>
                <w:color w:val="auto"/>
              </w:rPr>
            </w:pPr>
            <w:r>
              <w:rPr>
                <w:rFonts w:ascii="Courier New" w:cs="Courier New" w:eastAsia="Courier New" w:hAnsi="Courier New"/>
                <w:sz w:val="15"/>
                <w:szCs w:val="15"/>
                <w:color w:val="auto"/>
              </w:rPr>
              <w:t>Ps.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115</w:t>
            </w:r>
          </w:p>
        </w:tc>
      </w:tr>
      <w:tr>
        <w:trPr>
          <w:trHeight w:val="673"/>
        </w:trPr>
        <w:tc>
          <w:tcPr>
            <w:tcW w:w="1980" w:type="dxa"/>
            <w:vAlign w:val="bottom"/>
          </w:tcPr>
          <w:p>
            <w:pPr>
              <w:spacing w:after="0"/>
              <w:rPr>
                <w:sz w:val="20"/>
                <w:szCs w:val="20"/>
                <w:color w:val="auto"/>
              </w:rPr>
            </w:pPr>
            <w:r>
              <w:rPr>
                <w:rFonts w:ascii="Courier New" w:cs="Courier New" w:eastAsia="Courier New" w:hAnsi="Courier New"/>
                <w:sz w:val="15"/>
                <w:szCs w:val="15"/>
                <w:color w:val="auto"/>
                <w:w w:val="98"/>
              </w:rPr>
              <w:t>Postretirement medical</w:t>
            </w:r>
          </w:p>
        </w:tc>
        <w:tc>
          <w:tcPr>
            <w:tcW w:w="3140" w:type="dxa"/>
            <w:vAlign w:val="bottom"/>
          </w:tcPr>
          <w:p>
            <w:pPr>
              <w:ind w:left="40"/>
              <w:spacing w:after="0"/>
              <w:rPr>
                <w:sz w:val="20"/>
                <w:szCs w:val="20"/>
                <w:color w:val="auto"/>
              </w:rPr>
            </w:pPr>
            <w:r>
              <w:rPr>
                <w:rFonts w:ascii="Courier New" w:cs="Courier New" w:eastAsia="Courier New" w:hAnsi="Courier New"/>
                <w:sz w:val="15"/>
                <w:szCs w:val="15"/>
                <w:color w:val="auto"/>
              </w:rPr>
              <w:t>services:</w:t>
            </w:r>
          </w:p>
        </w:tc>
        <w:tc>
          <w:tcPr>
            <w:tcW w:w="2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512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Vested benefit obligation</w:t>
            </w:r>
          </w:p>
        </w:tc>
        <w:tc>
          <w:tcPr>
            <w:tcW w:w="2840" w:type="dxa"/>
            <w:vAlign w:val="bottom"/>
          </w:tcPr>
          <w:p>
            <w:pPr>
              <w:ind w:left="2240"/>
              <w:spacing w:after="0" w:line="168" w:lineRule="exact"/>
              <w:rPr>
                <w:sz w:val="20"/>
                <w:szCs w:val="20"/>
                <w:color w:val="auto"/>
              </w:rPr>
            </w:pPr>
            <w:r>
              <w:rPr>
                <w:rFonts w:ascii="Courier New" w:cs="Courier New" w:eastAsia="Courier New" w:hAnsi="Courier New"/>
                <w:sz w:val="15"/>
                <w:szCs w:val="15"/>
                <w:color w:val="auto"/>
              </w:rPr>
              <w:t>Ps.</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173</w:t>
            </w:r>
          </w:p>
        </w:tc>
        <w:tc>
          <w:tcPr>
            <w:tcW w:w="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Ps.</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159</w:t>
            </w:r>
          </w:p>
        </w:tc>
      </w:tr>
      <w:tr>
        <w:trPr>
          <w:trHeight w:val="168"/>
        </w:trPr>
        <w:tc>
          <w:tcPr>
            <w:tcW w:w="19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8"/>
              </w:rPr>
              <w:t>Non-vested benefit</w:t>
            </w:r>
          </w:p>
        </w:tc>
        <w:tc>
          <w:tcPr>
            <w:tcW w:w="3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obligation</w:t>
            </w:r>
          </w:p>
        </w:tc>
        <w:tc>
          <w:tcPr>
            <w:tcW w:w="284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174</w:t>
            </w:r>
          </w:p>
        </w:tc>
        <w:tc>
          <w:tcPr>
            <w:tcW w:w="7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177</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rPr>
              <w:t>Accumulated benefit obligation</w:t>
            </w:r>
          </w:p>
        </w:tc>
        <w:tc>
          <w:tcPr>
            <w:tcW w:w="33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347</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336</w:t>
            </w:r>
          </w:p>
        </w:tc>
      </w:tr>
      <w:tr>
        <w:trPr>
          <w:trHeight w:val="168"/>
        </w:trPr>
        <w:tc>
          <w:tcPr>
            <w:tcW w:w="5500" w:type="dxa"/>
            <w:vAlign w:val="bottom"/>
          </w:tcPr>
          <w:p>
            <w:pPr>
              <w:spacing w:after="0" w:line="168" w:lineRule="exact"/>
              <w:rPr>
                <w:sz w:val="20"/>
                <w:szCs w:val="20"/>
                <w:color w:val="auto"/>
              </w:rPr>
            </w:pPr>
            <w:r>
              <w:rPr>
                <w:rFonts w:ascii="Courier New" w:cs="Courier New" w:eastAsia="Courier New" w:hAnsi="Courier New"/>
                <w:sz w:val="15"/>
                <w:szCs w:val="15"/>
                <w:color w:val="auto"/>
              </w:rPr>
              <w:t>Medical services funds at fair value</w:t>
            </w:r>
          </w:p>
        </w:tc>
        <w:tc>
          <w:tcPr>
            <w:tcW w:w="33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(41)</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5560" w:type="dxa"/>
            <w:vAlign w:val="bottom"/>
          </w:tcPr>
          <w:p>
            <w:pPr>
              <w:spacing w:after="0"/>
              <w:rPr>
                <w:sz w:val="20"/>
                <w:szCs w:val="20"/>
                <w:color w:val="auto"/>
              </w:rPr>
            </w:pPr>
            <w:r>
              <w:rPr>
                <w:rFonts w:ascii="Courier New" w:cs="Courier New" w:eastAsia="Courier New" w:hAnsi="Courier New"/>
                <w:sz w:val="15"/>
                <w:szCs w:val="15"/>
                <w:color w:val="auto"/>
              </w:rPr>
              <w:t>Unfunded status</w:t>
            </w:r>
          </w:p>
        </w:tc>
        <w:tc>
          <w:tcPr>
            <w:tcW w:w="32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306</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310</w:t>
            </w:r>
          </w:p>
        </w:tc>
      </w:tr>
      <w:tr>
        <w:trPr>
          <w:trHeight w:val="168"/>
        </w:trPr>
        <w:tc>
          <w:tcPr>
            <w:tcW w:w="5560" w:type="dxa"/>
            <w:vAlign w:val="bottom"/>
          </w:tcPr>
          <w:p>
            <w:pPr>
              <w:spacing w:after="0" w:line="168" w:lineRule="exact"/>
              <w:rPr>
                <w:sz w:val="20"/>
                <w:szCs w:val="20"/>
                <w:color w:val="auto"/>
              </w:rPr>
            </w:pPr>
            <w:r>
              <w:rPr>
                <w:rFonts w:ascii="Courier New" w:cs="Courier New" w:eastAsia="Courier New" w:hAnsi="Courier New"/>
                <w:sz w:val="15"/>
                <w:szCs w:val="15"/>
                <w:color w:val="auto"/>
              </w:rPr>
              <w:t>Unrecognized net transition obligation</w:t>
            </w:r>
          </w:p>
        </w:tc>
        <w:tc>
          <w:tcPr>
            <w:tcW w:w="32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(62)</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w:t>
            </w:r>
          </w:p>
        </w:tc>
      </w:tr>
      <w:tr>
        <w:trPr>
          <w:trHeight w:val="168"/>
        </w:trPr>
        <w:tc>
          <w:tcPr>
            <w:tcW w:w="5560" w:type="dxa"/>
            <w:vAlign w:val="bottom"/>
          </w:tcPr>
          <w:p>
            <w:pPr>
              <w:spacing w:after="0" w:line="168" w:lineRule="exact"/>
              <w:rPr>
                <w:sz w:val="20"/>
                <w:szCs w:val="20"/>
                <w:color w:val="auto"/>
              </w:rPr>
            </w:pPr>
            <w:r>
              <w:rPr>
                <w:rFonts w:ascii="Courier New" w:cs="Courier New" w:eastAsia="Courier New" w:hAnsi="Courier New"/>
                <w:sz w:val="15"/>
                <w:szCs w:val="15"/>
                <w:color w:val="auto"/>
              </w:rPr>
              <w:t>Unrecognized actuarial net loss</w:t>
            </w:r>
          </w:p>
        </w:tc>
        <w:tc>
          <w:tcPr>
            <w:tcW w:w="32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(137)</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(173)</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360"/>
        <w:spacing w:after="0"/>
        <w:tabs>
          <w:tab w:leader="none" w:pos="7340" w:val="left"/>
          <w:tab w:leader="none" w:pos="8300" w:val="left"/>
          <w:tab w:leader="none" w:pos="8920" w:val="left"/>
          <w:tab w:leader="none" w:pos="9960" w:val="left"/>
        </w:tabs>
        <w:rPr>
          <w:sz w:val="20"/>
          <w:szCs w:val="20"/>
          <w:color w:val="auto"/>
        </w:rPr>
      </w:pPr>
      <w:r>
        <w:rPr>
          <w:rFonts w:ascii="Courier New" w:cs="Courier New" w:eastAsia="Courier New" w:hAnsi="Courier New"/>
          <w:sz w:val="15"/>
          <w:szCs w:val="15"/>
          <w:color w:val="auto"/>
        </w:rPr>
        <w:t>Total</w:t>
      </w:r>
      <w:r>
        <w:rPr>
          <w:sz w:val="20"/>
          <w:szCs w:val="20"/>
          <w:color w:val="auto"/>
        </w:rPr>
        <w:tab/>
      </w:r>
      <w:r>
        <w:rPr>
          <w:rFonts w:ascii="Courier New" w:cs="Courier New" w:eastAsia="Courier New" w:hAnsi="Courier New"/>
          <w:sz w:val="15"/>
          <w:szCs w:val="15"/>
          <w:color w:val="auto"/>
        </w:rPr>
        <w:t>Ps.</w:t>
      </w:r>
      <w:r>
        <w:rPr>
          <w:sz w:val="20"/>
          <w:szCs w:val="20"/>
          <w:color w:val="auto"/>
        </w:rPr>
        <w:tab/>
      </w:r>
      <w:r>
        <w:rPr>
          <w:rFonts w:ascii="Courier New" w:cs="Courier New" w:eastAsia="Courier New" w:hAnsi="Courier New"/>
          <w:sz w:val="15"/>
          <w:szCs w:val="15"/>
          <w:color w:val="auto"/>
        </w:rPr>
        <w:t>107</w:t>
      </w:r>
      <w:r>
        <w:rPr>
          <w:sz w:val="20"/>
          <w:szCs w:val="20"/>
          <w:color w:val="auto"/>
        </w:rPr>
        <w:tab/>
      </w:r>
      <w:r>
        <w:rPr>
          <w:rFonts w:ascii="Courier New" w:cs="Courier New" w:eastAsia="Courier New" w:hAnsi="Courier New"/>
          <w:sz w:val="15"/>
          <w:szCs w:val="15"/>
          <w:color w:val="auto"/>
        </w:rPr>
        <w:t>Ps.</w:t>
      </w:r>
      <w:r>
        <w:rPr>
          <w:sz w:val="20"/>
          <w:szCs w:val="20"/>
          <w:color w:val="auto"/>
        </w:rPr>
        <w:tab/>
      </w:r>
      <w:r>
        <w:rPr>
          <w:rFonts w:ascii="Courier New" w:cs="Courier New" w:eastAsia="Courier New" w:hAnsi="Courier New"/>
          <w:sz w:val="15"/>
          <w:szCs w:val="15"/>
          <w:color w:val="auto"/>
        </w:rPr>
        <w:t>71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Total Labor</w:t>
            </w:r>
          </w:p>
        </w:tc>
        <w:tc>
          <w:tcPr>
            <w:tcW w:w="3160" w:type="dxa"/>
            <w:vAlign w:val="bottom"/>
          </w:tcPr>
          <w:p>
            <w:pPr>
              <w:ind w:left="40"/>
              <w:spacing w:after="0"/>
              <w:rPr>
                <w:sz w:val="20"/>
                <w:szCs w:val="20"/>
                <w:color w:val="auto"/>
              </w:rPr>
            </w:pPr>
            <w:r>
              <w:rPr>
                <w:rFonts w:ascii="Courier New" w:cs="Courier New" w:eastAsia="Courier New" w:hAnsi="Courier New"/>
                <w:sz w:val="15"/>
                <w:szCs w:val="15"/>
                <w:color w:val="auto"/>
              </w:rPr>
              <w:t>Liabilities</w:t>
            </w:r>
          </w:p>
        </w:tc>
        <w:tc>
          <w:tcPr>
            <w:tcW w:w="3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Ps.</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1,072</w:t>
            </w:r>
          </w:p>
        </w:tc>
        <w:tc>
          <w:tcPr>
            <w:tcW w:w="740" w:type="dxa"/>
            <w:vAlign w:val="bottom"/>
          </w:tcPr>
          <w:p>
            <w:pPr>
              <w:ind w:left="180"/>
              <w:spacing w:after="0"/>
              <w:rPr>
                <w:sz w:val="20"/>
                <w:szCs w:val="20"/>
                <w:color w:val="auto"/>
              </w:rPr>
            </w:pPr>
            <w:r>
              <w:rPr>
                <w:rFonts w:ascii="Courier New" w:cs="Courier New" w:eastAsia="Courier New" w:hAnsi="Courier New"/>
                <w:sz w:val="15"/>
                <w:szCs w:val="15"/>
                <w:color w:val="auto"/>
              </w:rPr>
              <w:t>Ps.</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800</w:t>
            </w:r>
          </w:p>
        </w:tc>
      </w:tr>
      <w:tr>
        <w:trPr>
          <w:trHeight w:val="673"/>
        </w:trPr>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w w:val="96"/>
              </w:rPr>
              <w:t>Expense for the</w:t>
            </w:r>
          </w:p>
        </w:tc>
        <w:tc>
          <w:tcPr>
            <w:tcW w:w="3160" w:type="dxa"/>
            <w:vAlign w:val="bottom"/>
          </w:tcPr>
          <w:p>
            <w:pPr>
              <w:ind w:left="40"/>
              <w:spacing w:after="0"/>
              <w:rPr>
                <w:sz w:val="20"/>
                <w:szCs w:val="20"/>
                <w:color w:val="auto"/>
              </w:rPr>
            </w:pPr>
            <w:r>
              <w:rPr>
                <w:rFonts w:ascii="Courier New" w:cs="Courier New" w:eastAsia="Courier New" w:hAnsi="Courier New"/>
                <w:sz w:val="15"/>
                <w:szCs w:val="15"/>
                <w:color w:val="auto"/>
              </w:rPr>
              <w:t>year</w:t>
            </w:r>
          </w:p>
        </w:tc>
        <w:tc>
          <w:tcPr>
            <w:tcW w:w="336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2002</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2001</w:t>
            </w:r>
          </w:p>
        </w:tc>
        <w:tc>
          <w:tcPr>
            <w:tcW w:w="7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60" w:type="dxa"/>
            <w:vAlign w:val="bottom"/>
          </w:tcPr>
          <w:p>
            <w:pPr>
              <w:spacing w:after="0"/>
              <w:rPr>
                <w:sz w:val="20"/>
                <w:szCs w:val="20"/>
                <w:color w:val="auto"/>
              </w:rPr>
            </w:pPr>
            <w:r>
              <w:rPr>
                <w:rFonts w:ascii="Courier New" w:cs="Courier New" w:eastAsia="Courier New" w:hAnsi="Courier New"/>
                <w:sz w:val="15"/>
                <w:szCs w:val="15"/>
                <w:color w:val="auto"/>
              </w:rPr>
              <w:t>Pension plan</w:t>
            </w:r>
          </w:p>
        </w:tc>
        <w:tc>
          <w:tcPr>
            <w:tcW w:w="2140" w:type="dxa"/>
            <w:vAlign w:val="bottom"/>
          </w:tcPr>
          <w:p>
            <w:pPr>
              <w:ind w:left="1520"/>
              <w:spacing w:after="0"/>
              <w:rPr>
                <w:sz w:val="20"/>
                <w:szCs w:val="20"/>
                <w:color w:val="auto"/>
              </w:rPr>
            </w:pPr>
            <w:r>
              <w:rPr>
                <w:rFonts w:ascii="Courier New" w:cs="Courier New" w:eastAsia="Courier New" w:hAnsi="Courier New"/>
                <w:sz w:val="15"/>
                <w:szCs w:val="15"/>
                <w:color w:val="auto"/>
              </w:rPr>
              <w:t>Ps.</w:t>
            </w: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124</w:t>
            </w:r>
          </w:p>
        </w:tc>
        <w:tc>
          <w:tcPr>
            <w:tcW w:w="780" w:type="dxa"/>
            <w:vAlign w:val="bottom"/>
          </w:tcPr>
          <w:p>
            <w:pPr>
              <w:ind w:left="180"/>
              <w:spacing w:after="0"/>
              <w:rPr>
                <w:sz w:val="20"/>
                <w:szCs w:val="20"/>
                <w:color w:val="auto"/>
              </w:rPr>
            </w:pPr>
            <w:r>
              <w:rPr>
                <w:rFonts w:ascii="Courier New" w:cs="Courier New" w:eastAsia="Courier New" w:hAnsi="Courier New"/>
                <w:sz w:val="15"/>
                <w:szCs w:val="15"/>
                <w:color w:val="auto"/>
              </w:rPr>
              <w:t>Ps.</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w:t>
            </w:r>
          </w:p>
        </w:tc>
        <w:tc>
          <w:tcPr>
            <w:tcW w:w="780" w:type="dxa"/>
            <w:vAlign w:val="bottom"/>
          </w:tcPr>
          <w:p>
            <w:pPr>
              <w:ind w:left="180"/>
              <w:spacing w:after="0"/>
              <w:rPr>
                <w:sz w:val="20"/>
                <w:szCs w:val="20"/>
                <w:color w:val="auto"/>
              </w:rPr>
            </w:pPr>
            <w:r>
              <w:rPr>
                <w:rFonts w:ascii="Courier New" w:cs="Courier New" w:eastAsia="Courier New" w:hAnsi="Courier New"/>
                <w:sz w:val="15"/>
                <w:szCs w:val="15"/>
                <w:color w:val="auto"/>
              </w:rPr>
              <w:t>Ps.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138</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Seniority premiums</w:t>
            </w:r>
          </w:p>
        </w:tc>
        <w:tc>
          <w:tcPr>
            <w:tcW w:w="21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w:t>
            </w:r>
          </w:p>
        </w:tc>
        <w:tc>
          <w:tcPr>
            <w:tcW w:w="7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w:t>
            </w:r>
          </w:p>
        </w:tc>
        <w:tc>
          <w:tcPr>
            <w:tcW w:w="7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Postretirement medical services</w:t>
            </w:r>
          </w:p>
        </w:tc>
        <w:tc>
          <w:tcPr>
            <w:tcW w:w="21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w:t>
            </w:r>
          </w:p>
        </w:tc>
        <w:tc>
          <w:tcPr>
            <w:tcW w:w="7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w:t>
            </w:r>
          </w:p>
        </w:tc>
        <w:tc>
          <w:tcPr>
            <w:tcW w:w="7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5780"/>
        <w:spacing w:after="0"/>
        <w:tabs>
          <w:tab w:leader="none" w:pos="6720" w:val="left"/>
          <w:tab w:leader="none" w:pos="7340" w:val="left"/>
          <w:tab w:leader="none" w:pos="8300" w:val="left"/>
          <w:tab w:leader="none" w:pos="8920" w:val="left"/>
          <w:tab w:leader="none" w:pos="9880" w:val="left"/>
        </w:tabs>
        <w:rPr>
          <w:sz w:val="20"/>
          <w:szCs w:val="20"/>
          <w:color w:val="auto"/>
        </w:rPr>
      </w:pPr>
      <w:r>
        <w:rPr>
          <w:rFonts w:ascii="Courier New" w:cs="Courier New" w:eastAsia="Courier New" w:hAnsi="Courier New"/>
          <w:sz w:val="15"/>
          <w:szCs w:val="15"/>
          <w:color w:val="auto"/>
        </w:rPr>
        <w:t>Ps.</w:t>
      </w:r>
      <w:r>
        <w:rPr>
          <w:sz w:val="20"/>
          <w:szCs w:val="20"/>
          <w:color w:val="auto"/>
        </w:rPr>
        <w:tab/>
      </w:r>
      <w:r>
        <w:rPr>
          <w:rFonts w:ascii="Courier New" w:cs="Courier New" w:eastAsia="Courier New" w:hAnsi="Courier New"/>
          <w:sz w:val="15"/>
          <w:szCs w:val="15"/>
          <w:color w:val="auto"/>
        </w:rPr>
        <w:t>186</w:t>
      </w:r>
      <w:r>
        <w:rPr>
          <w:sz w:val="20"/>
          <w:szCs w:val="20"/>
          <w:color w:val="auto"/>
        </w:rPr>
        <w:tab/>
      </w:r>
      <w:r>
        <w:rPr>
          <w:rFonts w:ascii="Courier New" w:cs="Courier New" w:eastAsia="Courier New" w:hAnsi="Courier New"/>
          <w:sz w:val="15"/>
          <w:szCs w:val="15"/>
          <w:color w:val="auto"/>
        </w:rPr>
        <w:t>Ps.</w:t>
      </w:r>
      <w:r>
        <w:rPr>
          <w:sz w:val="20"/>
          <w:szCs w:val="20"/>
          <w:color w:val="auto"/>
        </w:rPr>
        <w:tab/>
      </w:r>
      <w:r>
        <w:rPr>
          <w:rFonts w:ascii="Courier New" w:cs="Courier New" w:eastAsia="Courier New" w:hAnsi="Courier New"/>
          <w:sz w:val="15"/>
          <w:szCs w:val="15"/>
          <w:color w:val="auto"/>
        </w:rPr>
        <w:t>160</w:t>
      </w:r>
      <w:r>
        <w:rPr>
          <w:sz w:val="20"/>
          <w:szCs w:val="20"/>
          <w:color w:val="auto"/>
        </w:rPr>
        <w:tab/>
      </w:r>
      <w:r>
        <w:rPr>
          <w:rFonts w:ascii="Courier New" w:cs="Courier New" w:eastAsia="Courier New" w:hAnsi="Courier New"/>
          <w:sz w:val="15"/>
          <w:szCs w:val="15"/>
          <w:color w:val="auto"/>
        </w:rPr>
        <w:t>Ps.</w:t>
      </w:r>
      <w:r>
        <w:rPr>
          <w:sz w:val="20"/>
          <w:szCs w:val="20"/>
          <w:color w:val="auto"/>
        </w:rPr>
        <w:tab/>
      </w:r>
      <w:r>
        <w:rPr>
          <w:rFonts w:ascii="Courier New" w:cs="Courier New" w:eastAsia="Courier New" w:hAnsi="Courier New"/>
          <w:sz w:val="14"/>
          <w:szCs w:val="14"/>
          <w:color w:val="auto"/>
        </w:rPr>
        <w:t>170</w:t>
      </w:r>
    </w:p>
    <w:p>
      <w:pPr>
        <w:spacing w:after="0" w:line="5" w:lineRule="exact"/>
        <w:rPr>
          <w:sz w:val="20"/>
          <w:szCs w:val="20"/>
          <w:color w:val="auto"/>
        </w:rPr>
      </w:pPr>
    </w:p>
    <w:p>
      <w:pPr>
        <w:ind w:left="180" w:hanging="170"/>
        <w:spacing w:after="0"/>
        <w:tabs>
          <w:tab w:leader="none" w:pos="180"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75" w:lineRule="exact"/>
        <w:rPr>
          <w:rFonts w:ascii="Courier New" w:cs="Courier New" w:eastAsia="Courier New" w:hAnsi="Courier New"/>
          <w:sz w:val="14"/>
          <w:szCs w:val="14"/>
          <w:color w:val="auto"/>
        </w:rPr>
      </w:pPr>
    </w:p>
    <w:p>
      <w:pPr>
        <w:ind w:left="33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F-19</w:t>
      </w:r>
    </w:p>
    <w:p>
      <w:pPr>
        <w:sectPr>
          <w:pgSz w:w="11900" w:h="16838" w:orient="portrait"/>
          <w:cols w:equalWidth="0" w:num="1">
            <w:col w:w="10420"/>
          </w:cols>
          <w:pgMar w:left="220" w:top="1440" w:right="1259" w:bottom="1440" w:gutter="0" w:footer="0" w:header="0"/>
        </w:sectPr>
      </w:pPr>
    </w:p>
    <w:bookmarkStart w:id="182" w:name="page183"/>
    <w:bookmarkEnd w:id="182"/>
    <w:p>
      <w:pPr>
        <w:jc w:val="both"/>
        <w:ind w:right="3239"/>
        <w:spacing w:after="0" w:line="235" w:lineRule="auto"/>
        <w:rPr>
          <w:sz w:val="20"/>
          <w:szCs w:val="20"/>
          <w:color w:val="auto"/>
        </w:rPr>
      </w:pPr>
      <w:r>
        <w:rPr>
          <w:rFonts w:ascii="Courier New" w:cs="Courier New" w:eastAsia="Courier New" w:hAnsi="Courier New"/>
          <w:sz w:val="15"/>
          <w:szCs w:val="15"/>
          <w:color w:val="auto"/>
        </w:rPr>
        <w:t>The accumulated actuarial gains and losses were generated by the differences in the assumptions used for the actuarial calculations at the beginning of the year versus the real behavior of those variables at the end of the year.</w:t>
      </w:r>
    </w:p>
    <w:p>
      <w:pPr>
        <w:spacing w:after="0" w:line="174"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At December 31, 2002 and 2001 the projected benefit obligation in some subsidiaries was less than the accumulated benefit obligation reduced by the amount of the plan assets at fair value, resulting in an additional liability, which is recorded as an intangible asset included in other assets (see Note 10).</w:t>
      </w:r>
    </w:p>
    <w:p>
      <w:pPr>
        <w:spacing w:after="0" w:line="164"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The trust assets consist of fixed income and variable funds, valued at market. The contribution to the pension plan and postretirement medical services funds by certain subsidiaries amounted to Ps. 65 and Ps. 52 at December 31, 2002 and 2001, respectively.</w:t>
      </w:r>
    </w:p>
    <w:p>
      <w:pPr>
        <w:spacing w:after="0" w:line="175" w:lineRule="exact"/>
        <w:rPr>
          <w:sz w:val="20"/>
          <w:szCs w:val="20"/>
          <w:color w:val="auto"/>
        </w:rPr>
      </w:pPr>
    </w:p>
    <w:p>
      <w:pPr>
        <w:ind w:right="3399"/>
        <w:spacing w:after="0" w:line="258" w:lineRule="auto"/>
        <w:rPr>
          <w:sz w:val="20"/>
          <w:szCs w:val="20"/>
          <w:color w:val="auto"/>
        </w:rPr>
      </w:pPr>
      <w:r>
        <w:rPr>
          <w:rFonts w:ascii="Courier New" w:cs="Courier New" w:eastAsia="Courier New" w:hAnsi="Courier New"/>
          <w:sz w:val="14"/>
          <w:szCs w:val="14"/>
          <w:color w:val="auto"/>
        </w:rPr>
        <w:t>The integral result of financing includes the interest cost related to labor liabilities, net of the return on plan assets. This amounted to Ps. 60, Ps. 48 and Ps. 48 for the years ended December 31, 2002, 2001 and 2000, respectively.</w:t>
      </w:r>
    </w:p>
    <w:p>
      <w:pPr>
        <w:spacing w:after="0" w:line="323"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Note 15.</w:t>
      </w:r>
      <w:r>
        <w:rPr>
          <w:sz w:val="20"/>
          <w:szCs w:val="20"/>
          <w:color w:val="auto"/>
        </w:rPr>
        <w:tab/>
      </w:r>
      <w:r>
        <w:rPr>
          <w:rFonts w:ascii="Courier New" w:cs="Courier New" w:eastAsia="Courier New" w:hAnsi="Courier New"/>
          <w:sz w:val="14"/>
          <w:szCs w:val="14"/>
          <w:color w:val="auto"/>
        </w:rPr>
        <w:t>Bonus Program.</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Certain subsidiaries of the Company have implemented a bonus program for the benefit of certain executive officers of such subsidiaries. Under the terms of this program approved in April 1997, the executive officers were to be entitled on the fifth anniversary of the program to a cash payment of a special bonus based on the officer's salary and the amount of the increase in real terms in the market value of FEMSA shares during the preceding five years, provided that no payments would be made unless the market value of FEMSA shares has at least doubled in real terms by such fifth anniversary. In March 2002, the Company amended certain terms of the program and extended the program by one year. As a result, the program will not expire until March 2003. For the executives of Coca-Cola FEMSA, the bonus program is based in equally on the market value of FEMSA shares and on the market value of Coca-Cola FEMSA shares.</w:t>
      </w:r>
    </w:p>
    <w:p>
      <w:pPr>
        <w:spacing w:after="0" w:line="16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Company hedged its potential obligation under the bonus program by investing in cash-settled options, and such purchased options were deposited in a trust. The cost of the purchased options has been recorded in other assets and was amortized over the original five-year term of the options. As of December 31, 2002, the amount has been completely amortized, and as of December 31, 2001 the unamortized cost amounted to Ps. 19 (see Note 10). A portion of the options expired in October 2002 and were exercised, recognizing a gain of Ps. 1, in the results of the year. The remaining outstanding options expire in September 2003.</w:t>
      </w:r>
    </w:p>
    <w:p>
      <w:pPr>
        <w:spacing w:after="0" w:line="16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purchased options are "marked to market", and any income derived therefrom is recorded only to the extent that such income exceeds the potential compensation as a function of the special bonuses that would be due based on the stock price at the end of each reporting year. As of the date of these financial statements, no income has been recorded.</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Additionally, in 1999 the Company instituted a new compensation plan for certain key executives, which consists of granting them an annual bonus based on each executive's responsibilities within the organization and the executives' performance during the previous year, which is accrued over a period of five years beginning in 1999. The annual bonus is recorded in the results of operations of the year.</w:t>
      </w:r>
    </w:p>
    <w:p>
      <w:pPr>
        <w:spacing w:after="0" w:line="17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For each key executive, on an annual basis, the net after-tax amount will be irrevocably transferred in kind to a trust, which through the instructions of a technical committee can:</w:t>
      </w:r>
    </w:p>
    <w:p>
      <w:pPr>
        <w:spacing w:after="0" w:line="174" w:lineRule="exact"/>
        <w:rPr>
          <w:sz w:val="20"/>
          <w:szCs w:val="20"/>
          <w:color w:val="auto"/>
        </w:rPr>
      </w:pPr>
    </w:p>
    <w:p>
      <w:pPr>
        <w:ind w:left="180" w:hanging="170"/>
        <w:spacing w:after="0"/>
        <w:tabs>
          <w:tab w:leader="none" w:pos="180"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Acquire stock of FEMSA or any of its subsidiaries that are listed on the</w:t>
      </w:r>
    </w:p>
    <w:p>
      <w:pPr>
        <w:spacing w:after="0" w:line="9" w:lineRule="exact"/>
        <w:rPr>
          <w:rFonts w:ascii="Courier New" w:cs="Courier New" w:eastAsia="Courier New" w:hAnsi="Courier New"/>
          <w:sz w:val="14"/>
          <w:szCs w:val="14"/>
          <w:color w:val="auto"/>
        </w:rPr>
      </w:pPr>
    </w:p>
    <w:p>
      <w:pPr>
        <w:ind w:left="440" w:right="3579"/>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Mexican stock exchange or certificates of deposit that represent shares listed in the NYSE, and/or</w:t>
      </w:r>
    </w:p>
    <w:p>
      <w:pPr>
        <w:ind w:left="180" w:hanging="170"/>
        <w:spacing w:after="0" w:line="237" w:lineRule="auto"/>
        <w:tabs>
          <w:tab w:leader="none" w:pos="180"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Acquire purchase options of the stock mentioned above.</w:t>
      </w:r>
    </w:p>
    <w:p>
      <w:pPr>
        <w:spacing w:after="0" w:line="173" w:lineRule="exact"/>
        <w:rPr>
          <w:sz w:val="20"/>
          <w:szCs w:val="20"/>
          <w:color w:val="auto"/>
        </w:rPr>
      </w:pPr>
    </w:p>
    <w:p>
      <w:pPr>
        <w:ind w:right="3839"/>
        <w:spacing w:after="0" w:line="261" w:lineRule="auto"/>
        <w:rPr>
          <w:sz w:val="20"/>
          <w:szCs w:val="20"/>
          <w:color w:val="auto"/>
        </w:rPr>
      </w:pPr>
      <w:r>
        <w:rPr>
          <w:rFonts w:ascii="Courier New" w:cs="Courier New" w:eastAsia="Courier New" w:hAnsi="Courier New"/>
          <w:sz w:val="14"/>
          <w:szCs w:val="14"/>
          <w:color w:val="auto"/>
        </w:rPr>
        <w:t>The executives will have access to the assigned stock or options in 20% increments in each of the five years following the granting of the bonus.</w:t>
      </w:r>
    </w:p>
    <w:p>
      <w:pPr>
        <w:spacing w:after="0" w:line="32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F-20</w:t>
      </w:r>
    </w:p>
    <w:p>
      <w:pPr>
        <w:sectPr>
          <w:pgSz w:w="11900" w:h="16838" w:orient="portrait"/>
          <w:cols w:equalWidth="0" w:num="1">
            <w:col w:w="10239"/>
          </w:cols>
          <w:pgMar w:left="220" w:top="792" w:right="1440" w:bottom="1440" w:gutter="0" w:footer="0" w:header="0"/>
        </w:sectPr>
      </w:pPr>
    </w:p>
    <w:bookmarkStart w:id="183" w:name="page184"/>
    <w:bookmarkEnd w:id="183"/>
    <w:p>
      <w:pPr>
        <w:spacing w:after="0"/>
        <w:tabs>
          <w:tab w:leader="none" w:pos="960" w:val="left"/>
        </w:tabs>
        <w:rPr>
          <w:sz w:val="20"/>
          <w:szCs w:val="20"/>
          <w:color w:val="auto"/>
        </w:rPr>
      </w:pPr>
      <w:r>
        <w:rPr>
          <w:rFonts w:ascii="Courier New" w:cs="Courier New" w:eastAsia="Courier New" w:hAnsi="Courier New"/>
          <w:sz w:val="15"/>
          <w:szCs w:val="15"/>
          <w:color w:val="auto"/>
        </w:rPr>
        <w:t>Note 16.</w:t>
      </w:r>
      <w:r>
        <w:rPr>
          <w:sz w:val="20"/>
          <w:szCs w:val="20"/>
          <w:color w:val="auto"/>
        </w:rPr>
        <w:tab/>
      </w:r>
      <w:r>
        <w:rPr>
          <w:rFonts w:ascii="Courier New" w:cs="Courier New" w:eastAsia="Courier New" w:hAnsi="Courier New"/>
          <w:sz w:val="14"/>
          <w:szCs w:val="14"/>
          <w:color w:val="auto"/>
        </w:rPr>
        <w:t>Bank Loans and Notes Payable.</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Current bank loans and notes payable outstanding at December 31, 2002 and 2001, principally consist of revolving loans denominated in US dollars with a weighted average annual interest rate of 4.8% and 5.0%, respectively.</w:t>
      </w:r>
    </w:p>
    <w:p>
      <w:pPr>
        <w:spacing w:after="0" w:line="174" w:lineRule="exact"/>
        <w:rPr>
          <w:sz w:val="20"/>
          <w:szCs w:val="20"/>
          <w:color w:val="auto"/>
        </w:rPr>
      </w:pPr>
    </w:p>
    <w:p>
      <w:pPr>
        <w:ind w:right="4279"/>
        <w:spacing w:after="0" w:line="234" w:lineRule="auto"/>
        <w:rPr>
          <w:sz w:val="20"/>
          <w:szCs w:val="20"/>
          <w:color w:val="auto"/>
        </w:rPr>
      </w:pPr>
      <w:r>
        <w:rPr>
          <w:rFonts w:ascii="Courier New" w:cs="Courier New" w:eastAsia="Courier New" w:hAnsi="Courier New"/>
          <w:sz w:val="15"/>
          <w:szCs w:val="15"/>
          <w:color w:val="auto"/>
        </w:rPr>
        <w:t>Long-term bank loans and notes payable of the Company are as follows (denominated in US dollars,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tabs>
          <w:tab w:leader="none" w:pos="4980" w:val="left"/>
          <w:tab w:leader="none" w:pos="7680" w:val="left"/>
          <w:tab w:leader="none" w:pos="9340" w:val="left"/>
        </w:tabs>
        <w:rPr>
          <w:sz w:val="20"/>
          <w:szCs w:val="20"/>
          <w:color w:val="auto"/>
        </w:rPr>
      </w:pPr>
      <w:r>
        <w:rPr>
          <w:rFonts w:ascii="Courier New" w:cs="Courier New" w:eastAsia="Courier New" w:hAnsi="Courier New"/>
          <w:sz w:val="15"/>
          <w:szCs w:val="15"/>
          <w:color w:val="auto"/>
        </w:rPr>
        <w:t>Bank</w:t>
      </w:r>
      <w:r>
        <w:rPr>
          <w:sz w:val="20"/>
          <w:szCs w:val="20"/>
          <w:color w:val="auto"/>
        </w:rPr>
        <w:tab/>
      </w:r>
      <w:r>
        <w:rPr>
          <w:rFonts w:ascii="Courier New" w:cs="Courier New" w:eastAsia="Courier New" w:hAnsi="Courier New"/>
          <w:sz w:val="15"/>
          <w:szCs w:val="15"/>
          <w:color w:val="auto"/>
        </w:rPr>
        <w:t>Interest Rate (1)</w:t>
      </w:r>
      <w:r>
        <w:rPr>
          <w:sz w:val="20"/>
          <w:szCs w:val="20"/>
          <w:color w:val="auto"/>
        </w:rPr>
        <w:tab/>
      </w:r>
      <w:r>
        <w:rPr>
          <w:rFonts w:ascii="Courier New" w:cs="Courier New" w:eastAsia="Courier New" w:hAnsi="Courier New"/>
          <w:sz w:val="15"/>
          <w:szCs w:val="15"/>
          <w:color w:val="auto"/>
        </w:rPr>
        <w:t>2002</w:t>
      </w:r>
      <w:r>
        <w:rPr>
          <w:sz w:val="20"/>
          <w:szCs w:val="20"/>
          <w:color w:val="auto"/>
        </w:rPr>
        <w:tab/>
      </w:r>
      <w:r>
        <w:rPr>
          <w:rFonts w:ascii="Courier New" w:cs="Courier New" w:eastAsia="Courier New" w:hAnsi="Courier New"/>
          <w:sz w:val="15"/>
          <w:szCs w:val="15"/>
          <w:color w:val="auto"/>
        </w:rPr>
        <w:t>2001</w:t>
      </w:r>
    </w:p>
    <w:p>
      <w:pPr>
        <w:spacing w:after="0" w:line="5" w:lineRule="exact"/>
        <w:rPr>
          <w:sz w:val="20"/>
          <w:szCs w:val="20"/>
          <w:color w:val="auto"/>
        </w:rPr>
      </w:pPr>
    </w:p>
    <w:p>
      <w:pPr>
        <w:ind w:left="180" w:hanging="170"/>
        <w:spacing w:after="0"/>
        <w:tabs>
          <w:tab w:leader="none" w:pos="180"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FEMSA Cerveza:</w:t>
      </w:r>
    </w:p>
    <w:tbl>
      <w:tblPr>
        <w:tblLayout w:type="fixed"/>
        <w:tblInd w:w="180" w:type="dxa"/>
        <w:tblCellMar>
          <w:top w:w="0" w:type="dxa"/>
          <w:left w:w="0" w:type="dxa"/>
          <w:bottom w:w="0" w:type="dxa"/>
          <w:right w:w="0" w:type="dxa"/>
        </w:tblCellMar>
      </w:tblPr>
      <w:tr>
        <w:trPr>
          <w:trHeight w:val="169"/>
        </w:trPr>
        <w:tc>
          <w:tcPr>
            <w:tcW w:w="3900" w:type="dxa"/>
            <w:vAlign w:val="bottom"/>
          </w:tcPr>
          <w:p>
            <w:pPr>
              <w:spacing w:after="0" w:line="169" w:lineRule="exact"/>
              <w:rPr>
                <w:sz w:val="20"/>
                <w:szCs w:val="20"/>
                <w:color w:val="auto"/>
              </w:rPr>
            </w:pPr>
            <w:r>
              <w:rPr>
                <w:rFonts w:ascii="Courier New" w:cs="Courier New" w:eastAsia="Courier New" w:hAnsi="Courier New"/>
                <w:sz w:val="15"/>
                <w:szCs w:val="15"/>
                <w:color w:val="auto"/>
              </w:rPr>
              <w:t>Banamex, S.A.</w:t>
            </w:r>
          </w:p>
        </w:tc>
        <w:tc>
          <w:tcPr>
            <w:tcW w:w="210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8.80%</w:t>
            </w:r>
          </w:p>
        </w:tc>
        <w:tc>
          <w:tcPr>
            <w:tcW w:w="440" w:type="dxa"/>
            <w:vAlign w:val="bottom"/>
          </w:tcPr>
          <w:p>
            <w:pPr>
              <w:jc w:val="right"/>
              <w:ind w:right="67"/>
              <w:spacing w:after="0" w:line="169" w:lineRule="exact"/>
              <w:rPr>
                <w:sz w:val="20"/>
                <w:szCs w:val="20"/>
                <w:color w:val="auto"/>
              </w:rPr>
            </w:pPr>
            <w:r>
              <w:rPr>
                <w:rFonts w:ascii="Courier New" w:cs="Courier New" w:eastAsia="Courier New" w:hAnsi="Courier New"/>
                <w:sz w:val="15"/>
                <w:szCs w:val="15"/>
                <w:color w:val="auto"/>
              </w:rPr>
              <w:t>(3)</w:t>
            </w:r>
          </w:p>
        </w:tc>
        <w:tc>
          <w:tcPr>
            <w:tcW w:w="700" w:type="dxa"/>
            <w:vAlign w:val="bottom"/>
          </w:tcPr>
          <w:p>
            <w:pPr>
              <w:ind w:left="120"/>
              <w:spacing w:after="0" w:line="169" w:lineRule="exact"/>
              <w:rPr>
                <w:sz w:val="20"/>
                <w:szCs w:val="20"/>
                <w:color w:val="auto"/>
              </w:rPr>
            </w:pPr>
            <w:r>
              <w:rPr>
                <w:rFonts w:ascii="Courier New" w:cs="Courier New" w:eastAsia="Courier New" w:hAnsi="Courier New"/>
                <w:sz w:val="15"/>
                <w:szCs w:val="15"/>
                <w:color w:val="auto"/>
              </w:rPr>
              <w:t>Ps.</w:t>
            </w:r>
          </w:p>
        </w:tc>
        <w:tc>
          <w:tcPr>
            <w:tcW w:w="920" w:type="dxa"/>
            <w:vAlign w:val="bottom"/>
          </w:tcPr>
          <w:p>
            <w:pPr>
              <w:jc w:val="right"/>
              <w:ind w:right="107"/>
              <w:spacing w:after="0" w:line="169" w:lineRule="exact"/>
              <w:rPr>
                <w:sz w:val="20"/>
                <w:szCs w:val="20"/>
                <w:color w:val="auto"/>
              </w:rPr>
            </w:pPr>
            <w:r>
              <w:rPr>
                <w:rFonts w:ascii="Courier New" w:cs="Courier New" w:eastAsia="Courier New" w:hAnsi="Courier New"/>
                <w:sz w:val="15"/>
                <w:szCs w:val="15"/>
                <w:color w:val="auto"/>
              </w:rPr>
              <w:t>2,500</w:t>
            </w:r>
          </w:p>
        </w:tc>
        <w:tc>
          <w:tcPr>
            <w:tcW w:w="740" w:type="dxa"/>
            <w:vAlign w:val="bottom"/>
          </w:tcPr>
          <w:p>
            <w:pPr>
              <w:ind w:left="160"/>
              <w:spacing w:after="0" w:line="169" w:lineRule="exact"/>
              <w:rPr>
                <w:sz w:val="20"/>
                <w:szCs w:val="20"/>
                <w:color w:val="auto"/>
              </w:rPr>
            </w:pPr>
            <w:r>
              <w:rPr>
                <w:rFonts w:ascii="Courier New" w:cs="Courier New" w:eastAsia="Courier New" w:hAnsi="Courier New"/>
                <w:sz w:val="15"/>
                <w:szCs w:val="15"/>
                <w:color w:val="auto"/>
              </w:rPr>
              <w:t>Ps.</w:t>
            </w:r>
          </w:p>
        </w:tc>
        <w:tc>
          <w:tcPr>
            <w:tcW w:w="74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Private placement</w:t>
            </w:r>
          </w:p>
        </w:tc>
        <w:tc>
          <w:tcPr>
            <w:tcW w:w="2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8.89%</w:t>
            </w: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1,987</w:t>
            </w:r>
          </w:p>
        </w:tc>
        <w:tc>
          <w:tcPr>
            <w:tcW w:w="74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1,844</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Scotiabank Inverlat, S.A.</w:t>
            </w:r>
          </w:p>
        </w:tc>
        <w:tc>
          <w:tcPr>
            <w:tcW w:w="2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7.63%</w:t>
            </w:r>
          </w:p>
        </w:tc>
        <w:tc>
          <w:tcPr>
            <w:tcW w:w="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w:t>
            </w:r>
          </w:p>
        </w:tc>
        <w:tc>
          <w:tcPr>
            <w:tcW w:w="70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640</w:t>
            </w:r>
          </w:p>
        </w:tc>
        <w:tc>
          <w:tcPr>
            <w:tcW w:w="74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846</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Bayerische Vereinsbank, AG</w:t>
            </w:r>
          </w:p>
        </w:tc>
        <w:tc>
          <w:tcPr>
            <w:tcW w:w="2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2.46%</w:t>
            </w: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422</w:t>
            </w:r>
          </w:p>
        </w:tc>
        <w:tc>
          <w:tcPr>
            <w:tcW w:w="74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262</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Comerica Bank</w:t>
            </w:r>
          </w:p>
        </w:tc>
        <w:tc>
          <w:tcPr>
            <w:tcW w:w="2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4.94%</w:t>
            </w: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261</w:t>
            </w:r>
          </w:p>
        </w:tc>
        <w:tc>
          <w:tcPr>
            <w:tcW w:w="74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243</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Various</w:t>
            </w:r>
          </w:p>
        </w:tc>
        <w:tc>
          <w:tcPr>
            <w:tcW w:w="2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2.81%</w:t>
            </w: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74</w:t>
            </w:r>
          </w:p>
        </w:tc>
        <w:tc>
          <w:tcPr>
            <w:tcW w:w="74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w:t>
            </w:r>
          </w:p>
        </w:tc>
      </w:tr>
    </w:tbl>
    <w:p>
      <w:pPr>
        <w:spacing w:after="0" w:line="5" w:lineRule="exact"/>
        <w:rPr>
          <w:sz w:val="20"/>
          <w:szCs w:val="20"/>
          <w:color w:val="auto"/>
        </w:rPr>
      </w:pPr>
    </w:p>
    <w:p>
      <w:pPr>
        <w:ind w:left="180" w:hanging="170"/>
        <w:spacing w:after="0"/>
        <w:tabs>
          <w:tab w:leader="none" w:pos="180"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76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5,884</w:t>
      </w:r>
      <w:r>
        <w:rPr>
          <w:rFonts w:ascii="Courier New" w:cs="Courier New" w:eastAsia="Courier New" w:hAnsi="Courier New"/>
          <w:sz w:val="14"/>
          <w:szCs w:val="14"/>
          <w:color w:val="auto"/>
        </w:rPr>
        <w:t>3,224</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40" w:type="dxa"/>
            <w:vAlign w:val="bottom"/>
          </w:tcPr>
          <w:p>
            <w:pPr>
              <w:jc w:val="right"/>
              <w:spacing w:after="0"/>
              <w:rPr>
                <w:sz w:val="20"/>
                <w:szCs w:val="20"/>
                <w:color w:val="auto"/>
              </w:rPr>
            </w:pPr>
            <w:r>
              <w:rPr>
                <w:rFonts w:ascii="Courier New" w:cs="Courier New" w:eastAsia="Courier New" w:hAnsi="Courier New"/>
                <w:sz w:val="15"/>
                <w:szCs w:val="15"/>
                <w:color w:val="auto"/>
                <w:w w:val="96"/>
              </w:rPr>
              <w:t>Coca-Cola</w:t>
            </w:r>
          </w:p>
        </w:tc>
        <w:tc>
          <w:tcPr>
            <w:tcW w:w="2840" w:type="dxa"/>
            <w:vAlign w:val="bottom"/>
          </w:tcPr>
          <w:p>
            <w:pPr>
              <w:ind w:left="40"/>
              <w:spacing w:after="0"/>
              <w:rPr>
                <w:sz w:val="20"/>
                <w:szCs w:val="20"/>
                <w:color w:val="auto"/>
              </w:rPr>
            </w:pPr>
            <w:r>
              <w:rPr>
                <w:rFonts w:ascii="Courier New" w:cs="Courier New" w:eastAsia="Courier New" w:hAnsi="Courier New"/>
                <w:sz w:val="15"/>
                <w:szCs w:val="15"/>
                <w:color w:val="auto"/>
              </w:rPr>
              <w:t>FEMSA:</w:t>
            </w:r>
          </w:p>
        </w:tc>
        <w:tc>
          <w:tcPr>
            <w:tcW w:w="2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6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Yankee bond</w:t>
            </w:r>
          </w:p>
        </w:tc>
        <w:tc>
          <w:tcPr>
            <w:tcW w:w="2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8.95%</w:t>
            </w:r>
          </w:p>
        </w:tc>
        <w:tc>
          <w:tcPr>
            <w:tcW w:w="8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w:t>
            </w:r>
          </w:p>
        </w:tc>
        <w:tc>
          <w:tcPr>
            <w:tcW w:w="16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2,092</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1,941</w:t>
            </w:r>
          </w:p>
        </w:tc>
      </w:tr>
      <w:tr>
        <w:trPr>
          <w:trHeight w:val="168"/>
        </w:trPr>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Private</w:t>
            </w:r>
          </w:p>
        </w:tc>
        <w:tc>
          <w:tcPr>
            <w:tcW w:w="2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placement</w:t>
            </w:r>
          </w:p>
        </w:tc>
        <w:tc>
          <w:tcPr>
            <w:tcW w:w="2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9.40%</w:t>
            </w:r>
          </w:p>
        </w:tc>
        <w:tc>
          <w:tcPr>
            <w:tcW w:w="8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w:t>
            </w:r>
          </w:p>
        </w:tc>
        <w:tc>
          <w:tcPr>
            <w:tcW w:w="16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1,046</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970</w:t>
            </w:r>
          </w:p>
        </w:tc>
      </w:tr>
      <w:tr>
        <w:trPr>
          <w:trHeight w:val="168"/>
        </w:trPr>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Various</w:t>
            </w:r>
          </w:p>
        </w:tc>
        <w:tc>
          <w:tcPr>
            <w:tcW w:w="2840" w:type="dxa"/>
            <w:vAlign w:val="bottom"/>
          </w:tcPr>
          <w:p>
            <w:pPr>
              <w:spacing w:after="0"/>
              <w:rPr>
                <w:sz w:val="14"/>
                <w:szCs w:val="14"/>
                <w:color w:val="auto"/>
              </w:rPr>
            </w:pPr>
          </w:p>
        </w:tc>
        <w:tc>
          <w:tcPr>
            <w:tcW w:w="2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9.65%</w:t>
            </w:r>
          </w:p>
        </w:tc>
        <w:tc>
          <w:tcPr>
            <w:tcW w:w="880" w:type="dxa"/>
            <w:vAlign w:val="bottom"/>
          </w:tcPr>
          <w:p>
            <w:pPr>
              <w:spacing w:after="0"/>
              <w:rPr>
                <w:sz w:val="14"/>
                <w:szCs w:val="14"/>
                <w:color w:val="auto"/>
              </w:rPr>
            </w:pPr>
          </w:p>
        </w:tc>
        <w:tc>
          <w:tcPr>
            <w:tcW w:w="16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41</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3,179</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2,963</w:t>
            </w:r>
          </w:p>
        </w:tc>
      </w:tr>
      <w:tr>
        <w:trPr>
          <w:trHeight w:val="336"/>
        </w:trPr>
        <w:tc>
          <w:tcPr>
            <w:tcW w:w="1360" w:type="dxa"/>
            <w:vAlign w:val="bottom"/>
          </w:tcPr>
          <w:p>
            <w:pPr>
              <w:spacing w:after="0"/>
              <w:rPr>
                <w:sz w:val="20"/>
                <w:szCs w:val="20"/>
                <w:color w:val="auto"/>
              </w:rPr>
            </w:pPr>
            <w:r>
              <w:rPr>
                <w:rFonts w:ascii="Courier New" w:cs="Courier New" w:eastAsia="Courier New" w:hAnsi="Courier New"/>
                <w:sz w:val="15"/>
                <w:szCs w:val="15"/>
                <w:color w:val="auto"/>
                <w:w w:val="99"/>
              </w:rPr>
              <w:t>FEMSA Empaques:</w:t>
            </w:r>
          </w:p>
        </w:tc>
        <w:tc>
          <w:tcPr>
            <w:tcW w:w="8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22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BBVA Bancomer, S.A.</w:t>
            </w:r>
          </w:p>
        </w:tc>
        <w:tc>
          <w:tcPr>
            <w:tcW w:w="2100" w:type="dxa"/>
            <w:vAlign w:val="bottom"/>
          </w:tcPr>
          <w:p>
            <w:pPr>
              <w:spacing w:after="0"/>
              <w:rPr>
                <w:sz w:val="14"/>
                <w:szCs w:val="14"/>
                <w:color w:val="auto"/>
              </w:rPr>
            </w:pPr>
          </w:p>
        </w:tc>
        <w:tc>
          <w:tcPr>
            <w:tcW w:w="1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2.39%</w:t>
            </w:r>
          </w:p>
        </w:tc>
        <w:tc>
          <w:tcPr>
            <w:tcW w:w="880" w:type="dxa"/>
            <w:vAlign w:val="bottom"/>
          </w:tcPr>
          <w:p>
            <w:pPr>
              <w:spacing w:after="0"/>
              <w:rPr>
                <w:sz w:val="14"/>
                <w:szCs w:val="14"/>
                <w:color w:val="auto"/>
              </w:rPr>
            </w:pPr>
          </w:p>
        </w:tc>
        <w:tc>
          <w:tcPr>
            <w:tcW w:w="16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628</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Bayerische Vereinsbank,</w:t>
            </w:r>
          </w:p>
        </w:tc>
        <w:tc>
          <w:tcPr>
            <w:tcW w:w="2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AG</w:t>
            </w:r>
          </w:p>
        </w:tc>
        <w:tc>
          <w:tcPr>
            <w:tcW w:w="1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7.32%</w:t>
            </w:r>
          </w:p>
        </w:tc>
        <w:tc>
          <w:tcPr>
            <w:tcW w:w="8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w:t>
            </w:r>
          </w:p>
        </w:tc>
        <w:tc>
          <w:tcPr>
            <w:tcW w:w="16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42</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w:t>
            </w:r>
          </w:p>
        </w:tc>
      </w:tr>
      <w:tr>
        <w:trPr>
          <w:trHeight w:val="168"/>
        </w:trPr>
        <w:tc>
          <w:tcPr>
            <w:tcW w:w="22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Bayerische Vereinsbank,</w:t>
            </w:r>
          </w:p>
        </w:tc>
        <w:tc>
          <w:tcPr>
            <w:tcW w:w="2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AG</w:t>
            </w:r>
          </w:p>
        </w:tc>
        <w:tc>
          <w:tcPr>
            <w:tcW w:w="1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2.62%</w:t>
            </w:r>
          </w:p>
        </w:tc>
        <w:tc>
          <w:tcPr>
            <w:tcW w:w="880" w:type="dxa"/>
            <w:vAlign w:val="bottom"/>
          </w:tcPr>
          <w:p>
            <w:pPr>
              <w:spacing w:after="0"/>
              <w:rPr>
                <w:sz w:val="14"/>
                <w:szCs w:val="14"/>
                <w:color w:val="auto"/>
              </w:rPr>
            </w:pPr>
          </w:p>
        </w:tc>
        <w:tc>
          <w:tcPr>
            <w:tcW w:w="16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21</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w:t>
            </w:r>
          </w:p>
        </w:tc>
      </w:tr>
      <w:tr>
        <w:trPr>
          <w:trHeight w:val="168"/>
        </w:trPr>
        <w:tc>
          <w:tcPr>
            <w:tcW w:w="1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Landesbank SH</w:t>
            </w:r>
          </w:p>
        </w:tc>
        <w:tc>
          <w:tcPr>
            <w:tcW w:w="29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Girozentrale, Kill</w:t>
            </w:r>
          </w:p>
        </w:tc>
        <w:tc>
          <w:tcPr>
            <w:tcW w:w="1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4.32%</w:t>
            </w:r>
          </w:p>
        </w:tc>
        <w:tc>
          <w:tcPr>
            <w:tcW w:w="880" w:type="dxa"/>
            <w:vAlign w:val="bottom"/>
          </w:tcPr>
          <w:p>
            <w:pPr>
              <w:spacing w:after="0"/>
              <w:rPr>
                <w:sz w:val="14"/>
                <w:szCs w:val="14"/>
                <w:color w:val="auto"/>
              </w:rPr>
            </w:pPr>
          </w:p>
        </w:tc>
        <w:tc>
          <w:tcPr>
            <w:tcW w:w="16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12</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w:t>
            </w:r>
          </w:p>
        </w:tc>
      </w:tr>
      <w:tr>
        <w:trPr>
          <w:trHeight w:val="168"/>
        </w:trPr>
        <w:tc>
          <w:tcPr>
            <w:tcW w:w="1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Royal Bank of</w:t>
            </w:r>
          </w:p>
        </w:tc>
        <w:tc>
          <w:tcPr>
            <w:tcW w:w="29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Canada, New York</w:t>
            </w:r>
          </w:p>
        </w:tc>
        <w:tc>
          <w:tcPr>
            <w:tcW w:w="1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5.22%</w:t>
            </w:r>
          </w:p>
        </w:tc>
        <w:tc>
          <w:tcPr>
            <w:tcW w:w="880" w:type="dxa"/>
            <w:vAlign w:val="bottom"/>
          </w:tcPr>
          <w:p>
            <w:pPr>
              <w:spacing w:after="0"/>
              <w:rPr>
                <w:sz w:val="14"/>
                <w:szCs w:val="14"/>
                <w:color w:val="auto"/>
              </w:rPr>
            </w:pPr>
          </w:p>
        </w:tc>
        <w:tc>
          <w:tcPr>
            <w:tcW w:w="16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291</w:t>
            </w:r>
          </w:p>
        </w:tc>
      </w:tr>
      <w:tr>
        <w:trPr>
          <w:trHeight w:val="168"/>
        </w:trPr>
        <w:tc>
          <w:tcPr>
            <w:tcW w:w="22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Rabobank Nederland, New</w:t>
            </w:r>
          </w:p>
        </w:tc>
        <w:tc>
          <w:tcPr>
            <w:tcW w:w="2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York</w:t>
            </w:r>
          </w:p>
        </w:tc>
        <w:tc>
          <w:tcPr>
            <w:tcW w:w="1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7.41%</w:t>
            </w:r>
          </w:p>
        </w:tc>
        <w:tc>
          <w:tcPr>
            <w:tcW w:w="880" w:type="dxa"/>
            <w:vAlign w:val="bottom"/>
          </w:tcPr>
          <w:p>
            <w:pPr>
              <w:spacing w:after="0"/>
              <w:rPr>
                <w:sz w:val="14"/>
                <w:szCs w:val="14"/>
                <w:color w:val="auto"/>
              </w:rPr>
            </w:pPr>
          </w:p>
        </w:tc>
        <w:tc>
          <w:tcPr>
            <w:tcW w:w="16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8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703</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440</w:t>
            </w:r>
          </w:p>
        </w:tc>
      </w:tr>
      <w:tr>
        <w:trPr>
          <w:trHeight w:val="336"/>
        </w:trPr>
        <w:tc>
          <w:tcPr>
            <w:tcW w:w="3780" w:type="dxa"/>
            <w:vAlign w:val="bottom"/>
          </w:tcPr>
          <w:p>
            <w:pPr>
              <w:spacing w:after="0"/>
              <w:rPr>
                <w:sz w:val="20"/>
                <w:szCs w:val="20"/>
                <w:color w:val="auto"/>
              </w:rPr>
            </w:pPr>
            <w:r>
              <w:rPr>
                <w:rFonts w:ascii="Courier New" w:cs="Courier New" w:eastAsia="Courier New" w:hAnsi="Courier New"/>
                <w:sz w:val="15"/>
                <w:szCs w:val="15"/>
                <w:color w:val="auto"/>
              </w:rPr>
              <w:t>FEMSA Comercio:</w:t>
            </w:r>
          </w:p>
        </w:tc>
        <w:tc>
          <w:tcPr>
            <w:tcW w:w="3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3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BBVA Bancomer, S.A.</w:t>
            </w:r>
          </w:p>
        </w:tc>
        <w:tc>
          <w:tcPr>
            <w:tcW w:w="318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2.69%</w:t>
            </w:r>
          </w:p>
        </w:tc>
        <w:tc>
          <w:tcPr>
            <w:tcW w:w="18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837</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776</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60" w:type="dxa"/>
            <w:vAlign w:val="bottom"/>
          </w:tcPr>
          <w:p>
            <w:pPr>
              <w:jc w:val="right"/>
              <w:ind w:right="2087"/>
              <w:spacing w:after="0"/>
              <w:rPr>
                <w:sz w:val="20"/>
                <w:szCs w:val="20"/>
                <w:color w:val="auto"/>
              </w:rPr>
            </w:pPr>
            <w:r>
              <w:rPr>
                <w:rFonts w:ascii="Courier New" w:cs="Courier New" w:eastAsia="Courier New" w:hAnsi="Courier New"/>
                <w:sz w:val="15"/>
                <w:szCs w:val="15"/>
                <w:color w:val="auto"/>
                <w:w w:val="95"/>
              </w:rPr>
              <w:t>FEMSA Logistica:</w:t>
            </w:r>
          </w:p>
        </w:tc>
        <w:tc>
          <w:tcPr>
            <w:tcW w:w="34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560" w:type="dxa"/>
            <w:vAlign w:val="bottom"/>
          </w:tcPr>
          <w:p>
            <w:pPr>
              <w:jc w:val="right"/>
              <w:ind w:right="2087"/>
              <w:spacing w:after="0" w:line="168" w:lineRule="exact"/>
              <w:rPr>
                <w:sz w:val="20"/>
                <w:szCs w:val="20"/>
                <w:color w:val="auto"/>
              </w:rPr>
            </w:pPr>
            <w:r>
              <w:rPr>
                <w:rFonts w:ascii="Courier New" w:cs="Courier New" w:eastAsia="Courier New" w:hAnsi="Courier New"/>
                <w:sz w:val="15"/>
                <w:szCs w:val="15"/>
                <w:color w:val="auto"/>
              </w:rPr>
              <w:t>Citibank, N.A.</w:t>
            </w:r>
          </w:p>
        </w:tc>
        <w:tc>
          <w:tcPr>
            <w:tcW w:w="344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4.56%</w:t>
            </w:r>
          </w:p>
        </w:tc>
        <w:tc>
          <w:tcPr>
            <w:tcW w:w="18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76</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w:t>
            </w:r>
          </w:p>
        </w:tc>
      </w:tr>
    </w:tbl>
    <w:p>
      <w:pPr>
        <w:spacing w:after="0" w:line="5" w:lineRule="exact"/>
        <w:rPr>
          <w:sz w:val="20"/>
          <w:szCs w:val="20"/>
          <w:color w:val="auto"/>
        </w:rPr>
      </w:pPr>
    </w:p>
    <w:p>
      <w:pPr>
        <w:ind w:left="180" w:hanging="170"/>
        <w:spacing w:after="0"/>
        <w:tabs>
          <w:tab w:leader="none" w:pos="180"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75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10,679</w:t>
      </w:r>
      <w:r>
        <w:rPr>
          <w:rFonts w:ascii="Courier New" w:cs="Courier New" w:eastAsia="Courier New" w:hAnsi="Courier New"/>
          <w:sz w:val="14"/>
          <w:szCs w:val="14"/>
          <w:color w:val="auto"/>
        </w:rPr>
        <w:t>7,484</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20"/>
                <w:szCs w:val="20"/>
                <w:color w:val="auto"/>
              </w:rPr>
            </w:pPr>
            <w:r>
              <w:rPr>
                <w:rFonts w:ascii="Courier New" w:cs="Courier New" w:eastAsia="Courier New" w:hAnsi="Courier New"/>
                <w:sz w:val="15"/>
                <w:szCs w:val="15"/>
                <w:color w:val="auto"/>
              </w:rPr>
              <w:t>Current maturities of long-term debt</w:t>
            </w:r>
          </w:p>
        </w:tc>
        <w:tc>
          <w:tcPr>
            <w:tcW w:w="3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(876)</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(367)</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6740"/>
        <w:spacing w:after="0"/>
        <w:tabs>
          <w:tab w:leader="none" w:pos="7600" w:val="left"/>
          <w:tab w:leader="none" w:pos="8380" w:val="left"/>
          <w:tab w:leader="none" w:pos="9260" w:val="left"/>
        </w:tabs>
        <w:rPr>
          <w:sz w:val="20"/>
          <w:szCs w:val="20"/>
          <w:color w:val="auto"/>
        </w:rPr>
      </w:pPr>
      <w:r>
        <w:rPr>
          <w:rFonts w:ascii="Courier New" w:cs="Courier New" w:eastAsia="Courier New" w:hAnsi="Courier New"/>
          <w:sz w:val="15"/>
          <w:szCs w:val="15"/>
          <w:color w:val="auto"/>
        </w:rPr>
        <w:t>Ps.</w:t>
      </w:r>
      <w:r>
        <w:rPr>
          <w:sz w:val="20"/>
          <w:szCs w:val="20"/>
          <w:color w:val="auto"/>
        </w:rPr>
        <w:tab/>
      </w:r>
      <w:r>
        <w:rPr>
          <w:rFonts w:ascii="Courier New" w:cs="Courier New" w:eastAsia="Courier New" w:hAnsi="Courier New"/>
          <w:sz w:val="15"/>
          <w:szCs w:val="15"/>
          <w:color w:val="auto"/>
        </w:rPr>
        <w:t>9,803</w:t>
      </w:r>
      <w:r>
        <w:rPr>
          <w:sz w:val="20"/>
          <w:szCs w:val="20"/>
          <w:color w:val="auto"/>
        </w:rPr>
        <w:tab/>
      </w:r>
      <w:r>
        <w:rPr>
          <w:rFonts w:ascii="Courier New" w:cs="Courier New" w:eastAsia="Courier New" w:hAnsi="Courier New"/>
          <w:sz w:val="15"/>
          <w:szCs w:val="15"/>
          <w:color w:val="auto"/>
        </w:rPr>
        <w:t>Ps.</w:t>
      </w:r>
      <w:r>
        <w:rPr>
          <w:sz w:val="20"/>
          <w:szCs w:val="20"/>
          <w:color w:val="auto"/>
        </w:rPr>
        <w:tab/>
      </w:r>
      <w:r>
        <w:rPr>
          <w:rFonts w:ascii="Courier New" w:cs="Courier New" w:eastAsia="Courier New" w:hAnsi="Courier New"/>
          <w:sz w:val="14"/>
          <w:szCs w:val="14"/>
          <w:color w:val="auto"/>
        </w:rPr>
        <w:t>7,117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Weighted average variable interest rate of the year</w:t>
      </w:r>
    </w:p>
    <w:p>
      <w:pPr>
        <w:spacing w:after="0" w:line="237" w:lineRule="auto"/>
        <w:rPr>
          <w:sz w:val="20"/>
          <w:szCs w:val="20"/>
          <w:color w:val="auto"/>
        </w:rPr>
      </w:pPr>
      <w:r>
        <w:rPr>
          <w:rFonts w:ascii="Courier New" w:cs="Courier New" w:eastAsia="Courier New" w:hAnsi="Courier New"/>
          <w:sz w:val="15"/>
          <w:szCs w:val="15"/>
          <w:color w:val="auto"/>
        </w:rPr>
        <w:t>(2) Fixed interest rate</w:t>
      </w:r>
    </w:p>
    <w:p>
      <w:pPr>
        <w:spacing w:after="0" w:line="238" w:lineRule="auto"/>
        <w:rPr>
          <w:sz w:val="20"/>
          <w:szCs w:val="20"/>
          <w:color w:val="auto"/>
        </w:rPr>
      </w:pPr>
      <w:r>
        <w:rPr>
          <w:rFonts w:ascii="Courier New" w:cs="Courier New" w:eastAsia="Courier New" w:hAnsi="Courier New"/>
          <w:sz w:val="15"/>
          <w:szCs w:val="15"/>
          <w:color w:val="auto"/>
        </w:rPr>
        <w:t>(3) Denominated in Mexican pesos</w:t>
      </w:r>
    </w:p>
    <w:p>
      <w:pPr>
        <w:spacing w:after="0" w:line="200" w:lineRule="exact"/>
        <w:rPr>
          <w:sz w:val="20"/>
          <w:szCs w:val="20"/>
          <w:color w:val="auto"/>
        </w:rPr>
      </w:pPr>
    </w:p>
    <w:p>
      <w:pPr>
        <w:spacing w:after="0" w:line="30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F-21</w:t>
      </w:r>
    </w:p>
    <w:p>
      <w:pPr>
        <w:sectPr>
          <w:pgSz w:w="11900" w:h="16838" w:orient="portrait"/>
          <w:cols w:equalWidth="0" w:num="1">
            <w:col w:w="10239"/>
          </w:cols>
          <w:pgMar w:left="220" w:top="1122" w:right="1440" w:bottom="1440" w:gutter="0" w:footer="0" w:header="0"/>
        </w:sectPr>
      </w:pPr>
    </w:p>
    <w:bookmarkStart w:id="184" w:name="page185"/>
    <w:bookmarkEnd w:id="184"/>
    <w:p>
      <w:pPr>
        <w:spacing w:after="0"/>
        <w:rPr>
          <w:sz w:val="20"/>
          <w:szCs w:val="20"/>
          <w:color w:val="auto"/>
        </w:rPr>
      </w:pPr>
      <w:r>
        <w:rPr>
          <w:rFonts w:ascii="Courier New" w:cs="Courier New" w:eastAsia="Courier New" w:hAnsi="Courier New"/>
          <w:sz w:val="15"/>
          <w:szCs w:val="15"/>
          <w:color w:val="auto"/>
        </w:rPr>
        <w:t>Maturities of long-term bank loans as of December 31, 2002 are as follows: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Current maturities of long-term debt</w:t>
            </w:r>
          </w:p>
        </w:tc>
        <w:tc>
          <w:tcPr>
            <w:tcW w:w="1780" w:type="dxa"/>
            <w:vAlign w:val="bottom"/>
          </w:tcPr>
          <w:p>
            <w:pPr>
              <w:ind w:left="1300"/>
              <w:spacing w:after="0"/>
              <w:rPr>
                <w:sz w:val="20"/>
                <w:szCs w:val="20"/>
                <w:color w:val="auto"/>
              </w:rPr>
            </w:pPr>
            <w:r>
              <w:rPr>
                <w:rFonts w:ascii="Courier New" w:cs="Courier New" w:eastAsia="Courier New" w:hAnsi="Courier New"/>
                <w:sz w:val="15"/>
                <w:szCs w:val="15"/>
                <w:color w:val="auto"/>
              </w:rPr>
              <w:t>Ps.</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876</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2004</w:t>
            </w:r>
          </w:p>
        </w:tc>
        <w:tc>
          <w:tcPr>
            <w:tcW w:w="178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3,544</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2005</w:t>
            </w:r>
          </w:p>
        </w:tc>
        <w:tc>
          <w:tcPr>
            <w:tcW w:w="178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1,362</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2006</w:t>
            </w:r>
          </w:p>
        </w:tc>
        <w:tc>
          <w:tcPr>
            <w:tcW w:w="178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3,515</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2007</w:t>
            </w:r>
          </w:p>
        </w:tc>
        <w:tc>
          <w:tcPr>
            <w:tcW w:w="178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1,320</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2008</w:t>
            </w:r>
          </w:p>
        </w:tc>
        <w:tc>
          <w:tcPr>
            <w:tcW w:w="178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2009</w:t>
            </w:r>
          </w:p>
        </w:tc>
        <w:tc>
          <w:tcPr>
            <w:tcW w:w="178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w:t>
            </w:r>
          </w:p>
        </w:tc>
      </w:tr>
    </w:tbl>
    <w:p>
      <w:pPr>
        <w:spacing w:after="0" w:line="5" w:lineRule="exact"/>
        <w:rPr>
          <w:sz w:val="20"/>
          <w:szCs w:val="20"/>
          <w:color w:val="auto"/>
        </w:rPr>
      </w:pPr>
    </w:p>
    <w:p>
      <w:pPr>
        <w:ind w:left="180" w:hanging="170"/>
        <w:spacing w:after="0"/>
        <w:tabs>
          <w:tab w:leader="none" w:pos="180"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578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Ps.</w:t>
      </w:r>
      <w:r>
        <w:rPr>
          <w:rFonts w:ascii="Courier New" w:cs="Courier New" w:eastAsia="Courier New" w:hAnsi="Courier New"/>
          <w:sz w:val="14"/>
          <w:szCs w:val="14"/>
          <w:color w:val="auto"/>
        </w:rPr>
        <w:t>10,679</w:t>
      </w:r>
    </w:p>
    <w:p>
      <w:pPr>
        <w:spacing w:after="0" w:line="5"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Each subholding has bank loans from different financial institutions, with different restrictions and covenants. As of December 31, 2002, the companies were in compliance with all restrictions and covenants established in their loan agreements.</w:t>
      </w:r>
    </w:p>
    <w:p>
      <w:pPr>
        <w:spacing w:after="0" w:line="200" w:lineRule="exact"/>
        <w:rPr>
          <w:sz w:val="20"/>
          <w:szCs w:val="20"/>
          <w:color w:val="auto"/>
        </w:rPr>
      </w:pPr>
    </w:p>
    <w:p>
      <w:pPr>
        <w:spacing w:after="0" w:line="305"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Note 17.</w:t>
      </w:r>
      <w:r>
        <w:rPr>
          <w:sz w:val="20"/>
          <w:szCs w:val="20"/>
          <w:color w:val="auto"/>
        </w:rPr>
        <w:tab/>
      </w:r>
      <w:r>
        <w:rPr>
          <w:rFonts w:ascii="Courier New" w:cs="Courier New" w:eastAsia="Courier New" w:hAnsi="Courier New"/>
          <w:sz w:val="14"/>
          <w:szCs w:val="14"/>
          <w:color w:val="auto"/>
        </w:rPr>
        <w:t>Fair Value of Financial Instruments.</w:t>
      </w:r>
    </w:p>
    <w:p>
      <w:pPr>
        <w:spacing w:after="0" w:line="166" w:lineRule="exact"/>
        <w:rPr>
          <w:sz w:val="20"/>
          <w:szCs w:val="20"/>
          <w:color w:val="auto"/>
        </w:rPr>
      </w:pPr>
    </w:p>
    <w:p>
      <w:pPr>
        <w:ind w:left="280" w:hanging="270"/>
        <w:spacing w:after="0"/>
        <w:tabs>
          <w:tab w:leader="none" w:pos="280"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Debt:</w:t>
      </w:r>
    </w:p>
    <w:p>
      <w:pPr>
        <w:spacing w:after="0" w:line="172" w:lineRule="exact"/>
        <w:rPr>
          <w:rFonts w:ascii="Courier New" w:cs="Courier New" w:eastAsia="Courier New" w:hAnsi="Courier New"/>
          <w:sz w:val="15"/>
          <w:szCs w:val="15"/>
          <w:color w:val="auto"/>
        </w:rPr>
      </w:pPr>
    </w:p>
    <w:p>
      <w:pPr>
        <w:ind w:left="280" w:right="323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fair value of long-term bank loans and syndicated loans is based on the discounted value of contractual cash flows. The discount rate is estimated using rates currently offered for debt of similar amounts and maturities. The fair value of long-term debt is based on quoted market prices.</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5080"/>
        <w:spacing w:after="0"/>
        <w:tabs>
          <w:tab w:leader="none" w:pos="6540" w:val="left"/>
        </w:tabs>
        <w:rPr>
          <w:sz w:val="20"/>
          <w:szCs w:val="20"/>
          <w:color w:val="auto"/>
        </w:rPr>
      </w:pPr>
      <w:r>
        <w:rPr>
          <w:rFonts w:ascii="Courier New" w:cs="Courier New" w:eastAsia="Courier New" w:hAnsi="Courier New"/>
          <w:sz w:val="15"/>
          <w:szCs w:val="15"/>
          <w:color w:val="auto"/>
        </w:rPr>
        <w:t>2002</w:t>
      </w:r>
      <w:r>
        <w:rPr>
          <w:sz w:val="20"/>
          <w:szCs w:val="20"/>
          <w:color w:val="auto"/>
        </w:rPr>
        <w:tab/>
      </w:r>
      <w:r>
        <w:rPr>
          <w:rFonts w:ascii="Courier New" w:cs="Courier New" w:eastAsia="Courier New" w:hAnsi="Courier New"/>
          <w:sz w:val="15"/>
          <w:szCs w:val="15"/>
          <w:color w:val="auto"/>
        </w:rPr>
        <w:t>2001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Carrying value</w:t>
            </w:r>
          </w:p>
        </w:tc>
        <w:tc>
          <w:tcPr>
            <w:tcW w:w="1980" w:type="dxa"/>
            <w:vAlign w:val="bottom"/>
          </w:tcPr>
          <w:p>
            <w:pPr>
              <w:ind w:left="1540"/>
              <w:spacing w:after="0"/>
              <w:rPr>
                <w:sz w:val="20"/>
                <w:szCs w:val="20"/>
                <w:color w:val="auto"/>
              </w:rPr>
            </w:pPr>
            <w:r>
              <w:rPr>
                <w:rFonts w:ascii="Courier New" w:cs="Courier New" w:eastAsia="Courier New" w:hAnsi="Courier New"/>
                <w:sz w:val="15"/>
                <w:szCs w:val="15"/>
                <w:color w:val="auto"/>
              </w:rPr>
              <w:t>Ps.</w:t>
            </w: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9,803</w:t>
            </w:r>
          </w:p>
        </w:tc>
        <w:tc>
          <w:tcPr>
            <w:tcW w:w="660" w:type="dxa"/>
            <w:vAlign w:val="bottom"/>
          </w:tcPr>
          <w:p>
            <w:pPr>
              <w:ind w:left="180"/>
              <w:spacing w:after="0"/>
              <w:rPr>
                <w:sz w:val="20"/>
                <w:szCs w:val="20"/>
                <w:color w:val="auto"/>
              </w:rPr>
            </w:pPr>
            <w:r>
              <w:rPr>
                <w:rFonts w:ascii="Courier New" w:cs="Courier New" w:eastAsia="Courier New" w:hAnsi="Courier New"/>
                <w:sz w:val="15"/>
                <w:szCs w:val="15"/>
                <w:color w:val="auto"/>
              </w:rPr>
              <w:t>Ps.</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7,117</w:t>
            </w:r>
          </w:p>
        </w:tc>
      </w:tr>
      <w:tr>
        <w:trPr>
          <w:trHeight w:val="336"/>
        </w:trPr>
        <w:tc>
          <w:tcPr>
            <w:tcW w:w="2760" w:type="dxa"/>
            <w:vAlign w:val="bottom"/>
          </w:tcPr>
          <w:p>
            <w:pPr>
              <w:spacing w:after="0"/>
              <w:rPr>
                <w:sz w:val="20"/>
                <w:szCs w:val="20"/>
                <w:color w:val="auto"/>
              </w:rPr>
            </w:pPr>
            <w:r>
              <w:rPr>
                <w:rFonts w:ascii="Courier New" w:cs="Courier New" w:eastAsia="Courier New" w:hAnsi="Courier New"/>
                <w:sz w:val="15"/>
                <w:szCs w:val="15"/>
                <w:color w:val="auto"/>
              </w:rPr>
              <w:t>Fair value</w:t>
            </w:r>
          </w:p>
        </w:tc>
        <w:tc>
          <w:tcPr>
            <w:tcW w:w="1980" w:type="dxa"/>
            <w:vAlign w:val="bottom"/>
          </w:tcPr>
          <w:p>
            <w:pPr>
              <w:spacing w:after="0"/>
              <w:rPr>
                <w:sz w:val="24"/>
                <w:szCs w:val="24"/>
                <w:color w:val="auto"/>
              </w:rPr>
            </w:pP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10,333</w:t>
            </w:r>
          </w:p>
        </w:tc>
        <w:tc>
          <w:tcPr>
            <w:tcW w:w="6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7,492</w:t>
            </w:r>
          </w:p>
        </w:tc>
      </w:tr>
    </w:tbl>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0" w:lineRule="exact"/>
        <w:rPr>
          <w:sz w:val="20"/>
          <w:szCs w:val="20"/>
          <w:color w:val="auto"/>
        </w:rPr>
      </w:pPr>
    </w:p>
    <w:p>
      <w:pPr>
        <w:ind w:left="280" w:hanging="270"/>
        <w:spacing w:after="0"/>
        <w:tabs>
          <w:tab w:leader="none" w:pos="280"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Cash-Settled Options:</w:t>
      </w:r>
    </w:p>
    <w:p>
      <w:pPr>
        <w:spacing w:after="0" w:line="4" w:lineRule="exact"/>
        <w:rPr>
          <w:rFonts w:ascii="Courier New" w:cs="Courier New" w:eastAsia="Courier New" w:hAnsi="Courier New"/>
          <w:sz w:val="15"/>
          <w:szCs w:val="15"/>
          <w:color w:val="auto"/>
        </w:rPr>
      </w:pPr>
    </w:p>
    <w:p>
      <w:pPr>
        <w:ind w:left="280" w:right="331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terms of and accounting for the cash-settled options for the purchase of shares of FEMSA are described in Note 15. The fair value is estimated based on quoted market prices to terminate the contracts at the reporting date.</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5080"/>
        <w:spacing w:after="0"/>
        <w:tabs>
          <w:tab w:leader="none" w:pos="6540" w:val="left"/>
        </w:tabs>
        <w:rPr>
          <w:sz w:val="20"/>
          <w:szCs w:val="20"/>
          <w:color w:val="auto"/>
        </w:rPr>
      </w:pPr>
      <w:r>
        <w:rPr>
          <w:rFonts w:ascii="Courier New" w:cs="Courier New" w:eastAsia="Courier New" w:hAnsi="Courier New"/>
          <w:sz w:val="15"/>
          <w:szCs w:val="15"/>
          <w:color w:val="auto"/>
        </w:rPr>
        <w:t>2002</w:t>
      </w:r>
      <w:r>
        <w:rPr>
          <w:sz w:val="20"/>
          <w:szCs w:val="20"/>
          <w:color w:val="auto"/>
        </w:rPr>
        <w:tab/>
      </w:r>
      <w:r>
        <w:rPr>
          <w:rFonts w:ascii="Courier New" w:cs="Courier New" w:eastAsia="Courier New" w:hAnsi="Courier New"/>
          <w:sz w:val="15"/>
          <w:szCs w:val="15"/>
          <w:color w:val="auto"/>
        </w:rPr>
        <w:t>2001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00" w:type="dxa"/>
            <w:vAlign w:val="bottom"/>
          </w:tcPr>
          <w:p>
            <w:pPr>
              <w:spacing w:after="0"/>
              <w:rPr>
                <w:sz w:val="20"/>
                <w:szCs w:val="20"/>
                <w:color w:val="auto"/>
              </w:rPr>
            </w:pPr>
            <w:r>
              <w:rPr>
                <w:rFonts w:ascii="Courier New" w:cs="Courier New" w:eastAsia="Courier New" w:hAnsi="Courier New"/>
                <w:sz w:val="15"/>
                <w:szCs w:val="15"/>
                <w:color w:val="auto"/>
              </w:rPr>
              <w:t>Notional amount</w:t>
            </w:r>
          </w:p>
        </w:tc>
        <w:tc>
          <w:tcPr>
            <w:tcW w:w="2060" w:type="dxa"/>
            <w:vAlign w:val="bottom"/>
          </w:tcPr>
          <w:p>
            <w:pPr>
              <w:ind w:left="1500"/>
              <w:spacing w:after="0"/>
              <w:rPr>
                <w:sz w:val="20"/>
                <w:szCs w:val="20"/>
                <w:color w:val="auto"/>
              </w:rPr>
            </w:pPr>
            <w:r>
              <w:rPr>
                <w:rFonts w:ascii="Courier New" w:cs="Courier New" w:eastAsia="Courier New" w:hAnsi="Courier New"/>
                <w:sz w:val="15"/>
                <w:szCs w:val="15"/>
                <w:color w:val="auto"/>
              </w:rPr>
              <w:t>Ps.</w:t>
            </w: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224</w:t>
            </w:r>
          </w:p>
        </w:tc>
        <w:tc>
          <w:tcPr>
            <w:tcW w:w="760" w:type="dxa"/>
            <w:vAlign w:val="bottom"/>
          </w:tcPr>
          <w:p>
            <w:pPr>
              <w:ind w:left="180"/>
              <w:spacing w:after="0"/>
              <w:rPr>
                <w:sz w:val="20"/>
                <w:szCs w:val="20"/>
                <w:color w:val="auto"/>
              </w:rPr>
            </w:pPr>
            <w:r>
              <w:rPr>
                <w:rFonts w:ascii="Courier New" w:cs="Courier New" w:eastAsia="Courier New" w:hAnsi="Courier New"/>
                <w:sz w:val="15"/>
                <w:szCs w:val="15"/>
                <w:color w:val="auto"/>
              </w:rPr>
              <w:t>Ps.</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370</w:t>
            </w:r>
          </w:p>
        </w:tc>
      </w:tr>
      <w:tr>
        <w:trPr>
          <w:trHeight w:val="336"/>
        </w:trPr>
        <w:tc>
          <w:tcPr>
            <w:tcW w:w="2800" w:type="dxa"/>
            <w:vAlign w:val="bottom"/>
          </w:tcPr>
          <w:p>
            <w:pPr>
              <w:spacing w:after="0"/>
              <w:rPr>
                <w:sz w:val="20"/>
                <w:szCs w:val="20"/>
                <w:color w:val="auto"/>
              </w:rPr>
            </w:pPr>
            <w:r>
              <w:rPr>
                <w:rFonts w:ascii="Courier New" w:cs="Courier New" w:eastAsia="Courier New" w:hAnsi="Courier New"/>
                <w:sz w:val="15"/>
                <w:szCs w:val="15"/>
                <w:color w:val="auto"/>
              </w:rPr>
              <w:t>Carrying value</w:t>
            </w:r>
          </w:p>
        </w:tc>
        <w:tc>
          <w:tcPr>
            <w:tcW w:w="2060" w:type="dxa"/>
            <w:vAlign w:val="bottom"/>
          </w:tcPr>
          <w:p>
            <w:pPr>
              <w:spacing w:after="0"/>
              <w:rPr>
                <w:sz w:val="24"/>
                <w:szCs w:val="24"/>
                <w:color w:val="auto"/>
              </w:rPr>
            </w:pP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336"/>
        </w:trPr>
        <w:tc>
          <w:tcPr>
            <w:tcW w:w="2800" w:type="dxa"/>
            <w:vAlign w:val="bottom"/>
          </w:tcPr>
          <w:p>
            <w:pPr>
              <w:spacing w:after="0"/>
              <w:rPr>
                <w:sz w:val="20"/>
                <w:szCs w:val="20"/>
                <w:color w:val="auto"/>
              </w:rPr>
            </w:pPr>
            <w:r>
              <w:rPr>
                <w:rFonts w:ascii="Courier New" w:cs="Courier New" w:eastAsia="Courier New" w:hAnsi="Courier New"/>
                <w:sz w:val="15"/>
                <w:szCs w:val="15"/>
                <w:color w:val="auto"/>
              </w:rPr>
              <w:t>Fair value</w:t>
            </w:r>
          </w:p>
        </w:tc>
        <w:tc>
          <w:tcPr>
            <w:tcW w:w="2060" w:type="dxa"/>
            <w:vAlign w:val="bottom"/>
          </w:tcPr>
          <w:p>
            <w:pPr>
              <w:spacing w:after="0"/>
              <w:rPr>
                <w:sz w:val="24"/>
                <w:szCs w:val="24"/>
                <w:color w:val="auto"/>
              </w:rPr>
            </w:pP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48</w:t>
            </w:r>
          </w:p>
        </w:tc>
        <w:tc>
          <w:tcPr>
            <w:tcW w:w="7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bl>
    <w:p>
      <w:pPr>
        <w:spacing w:after="0" w:line="5" w:lineRule="exact"/>
        <w:rPr>
          <w:sz w:val="20"/>
          <w:szCs w:val="20"/>
          <w:color w:val="auto"/>
        </w:rPr>
      </w:pPr>
    </w:p>
    <w:p>
      <w:pPr>
        <w:ind w:left="180" w:hanging="170"/>
        <w:spacing w:after="0"/>
        <w:tabs>
          <w:tab w:leader="none" w:pos="180"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 Interest Rate Swaps:</w:t>
      </w:r>
    </w:p>
    <w:p>
      <w:pPr>
        <w:spacing w:after="0" w:line="173" w:lineRule="exact"/>
        <w:rPr>
          <w:sz w:val="20"/>
          <w:szCs w:val="20"/>
          <w:color w:val="auto"/>
        </w:rPr>
      </w:pPr>
    </w:p>
    <w:p>
      <w:pPr>
        <w:ind w:left="280" w:right="3319"/>
        <w:spacing w:after="0" w:line="255" w:lineRule="auto"/>
        <w:rPr>
          <w:sz w:val="20"/>
          <w:szCs w:val="20"/>
          <w:color w:val="auto"/>
        </w:rPr>
      </w:pPr>
      <w:r>
        <w:rPr>
          <w:rFonts w:ascii="Courier New" w:cs="Courier New" w:eastAsia="Courier New" w:hAnsi="Courier New"/>
          <w:sz w:val="14"/>
          <w:szCs w:val="14"/>
          <w:color w:val="auto"/>
        </w:rPr>
        <w:t>The Company uses interest rate swaps to manage the interest rate risk associated with its borrowings, pursuant to which it pays amounts based on a fixed rate and receives amounts based on a floating rate. Additionally, the Company sold some put options as a complement to the swap agreements, for which a premium was received. The net effect of the year is recorded in the financing expenses and amounted to Ps. 37 in 2002.</w:t>
      </w:r>
    </w:p>
    <w:p>
      <w:pPr>
        <w:spacing w:after="0" w:line="166" w:lineRule="exact"/>
        <w:rPr>
          <w:sz w:val="20"/>
          <w:szCs w:val="20"/>
          <w:color w:val="auto"/>
        </w:rPr>
      </w:pPr>
    </w:p>
    <w:p>
      <w:pPr>
        <w:ind w:left="280" w:right="3499"/>
        <w:spacing w:after="0" w:line="234" w:lineRule="auto"/>
        <w:rPr>
          <w:sz w:val="20"/>
          <w:szCs w:val="20"/>
          <w:color w:val="auto"/>
        </w:rPr>
      </w:pPr>
      <w:r>
        <w:rPr>
          <w:rFonts w:ascii="Courier New" w:cs="Courier New" w:eastAsia="Courier New" w:hAnsi="Courier New"/>
          <w:sz w:val="15"/>
          <w:szCs w:val="15"/>
          <w:color w:val="auto"/>
        </w:rPr>
        <w:t>The fair value is estimated based on quoted market prices to terminate the contracts at the reporting date.</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F-22</w:t>
      </w:r>
    </w:p>
    <w:p>
      <w:pPr>
        <w:sectPr>
          <w:pgSz w:w="11900" w:h="16838" w:orient="portrait"/>
          <w:cols w:equalWidth="0" w:num="1">
            <w:col w:w="10239"/>
          </w:cols>
          <w:pgMar w:left="220" w:top="954" w:right="1440" w:bottom="1440" w:gutter="0" w:footer="0" w:header="0"/>
        </w:sectPr>
      </w:pPr>
    </w:p>
    <w:bookmarkStart w:id="185" w:name="page186"/>
    <w:bookmarkEnd w:id="185"/>
    <w:p>
      <w:pPr>
        <w:ind w:left="280"/>
        <w:spacing w:after="0"/>
        <w:rPr>
          <w:sz w:val="20"/>
          <w:szCs w:val="20"/>
          <w:color w:val="auto"/>
        </w:rPr>
      </w:pPr>
      <w:r>
        <w:rPr>
          <w:rFonts w:ascii="Courier New" w:cs="Courier New" w:eastAsia="Courier New" w:hAnsi="Courier New"/>
          <w:sz w:val="15"/>
          <w:szCs w:val="15"/>
          <w:color w:val="auto"/>
        </w:rPr>
        <w:t>At December 31, 2002, the Company has the following outstanding agreements: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0" w:lineRule="exact"/>
        <w:rPr>
          <w:sz w:val="20"/>
          <w:szCs w:val="20"/>
          <w:color w:val="auto"/>
        </w:rPr>
      </w:pPr>
    </w:p>
    <w:p>
      <w:pPr>
        <w:ind w:right="3399"/>
        <w:spacing w:after="0"/>
        <w:rPr>
          <w:sz w:val="20"/>
          <w:szCs w:val="20"/>
          <w:color w:val="auto"/>
        </w:rPr>
      </w:pPr>
      <w:r>
        <w:rPr>
          <w:rFonts w:ascii="Courier New" w:cs="Courier New" w:eastAsia="Courier New" w:hAnsi="Courier New"/>
          <w:sz w:val="15"/>
          <w:szCs w:val="15"/>
          <w:color w:val="auto"/>
        </w:rPr>
        <w:t>Maturity Notional Fair Date Amount Value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20" w:type="dxa"/>
            <w:vAlign w:val="bottom"/>
          </w:tcPr>
          <w:p>
            <w:pPr>
              <w:spacing w:after="0"/>
              <w:rPr>
                <w:sz w:val="20"/>
                <w:szCs w:val="20"/>
                <w:color w:val="auto"/>
              </w:rPr>
            </w:pPr>
            <w:r>
              <w:rPr>
                <w:rFonts w:ascii="Courier New" w:cs="Courier New" w:eastAsia="Courier New" w:hAnsi="Courier New"/>
                <w:sz w:val="15"/>
                <w:szCs w:val="15"/>
                <w:color w:val="auto"/>
              </w:rPr>
              <w:t>September 2004</w:t>
            </w:r>
          </w:p>
        </w:tc>
        <w:tc>
          <w:tcPr>
            <w:tcW w:w="284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Ps. 261</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Ps. (10)</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July 2006</w:t>
            </w:r>
          </w:p>
        </w:tc>
        <w:tc>
          <w:tcPr>
            <w:tcW w:w="28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628</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August 2006</w:t>
            </w:r>
          </w:p>
        </w:tc>
        <w:tc>
          <w:tcPr>
            <w:tcW w:w="28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837</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2007</w:t>
            </w:r>
          </w:p>
        </w:tc>
        <w:tc>
          <w:tcPr>
            <w:tcW w:w="28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500</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p>
      <w:pPr>
        <w:ind w:left="280" w:hanging="270"/>
        <w:spacing w:after="0"/>
        <w:tabs>
          <w:tab w:leader="none" w:pos="280"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Forward Agreements to Purchase Euros:</w:t>
      </w:r>
    </w:p>
    <w:p>
      <w:pPr>
        <w:spacing w:after="0" w:line="4" w:lineRule="exact"/>
        <w:rPr>
          <w:rFonts w:ascii="Courier New" w:cs="Courier New" w:eastAsia="Courier New" w:hAnsi="Courier New"/>
          <w:sz w:val="15"/>
          <w:szCs w:val="15"/>
          <w:color w:val="auto"/>
        </w:rPr>
      </w:pPr>
    </w:p>
    <w:p>
      <w:pPr>
        <w:ind w:left="28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At December 31, 2002, the Company has two forward agreements for the purchase of euros in a notional amount of $7, for the purpose of hedging the exchange risk between the dollar and the euro for the purchase of equipment. The fair value is estimated based on quoted market exchange rate to terminate the contracts at the reporting date, which as of December 31,2002, represents a gain of Ps. 4.</w:t>
      </w:r>
    </w:p>
    <w:p>
      <w:pPr>
        <w:spacing w:after="0" w:line="168" w:lineRule="exact"/>
        <w:rPr>
          <w:rFonts w:ascii="Courier New" w:cs="Courier New" w:eastAsia="Courier New" w:hAnsi="Courier New"/>
          <w:sz w:val="15"/>
          <w:szCs w:val="15"/>
          <w:color w:val="auto"/>
        </w:rPr>
      </w:pPr>
    </w:p>
    <w:p>
      <w:pPr>
        <w:ind w:left="280" w:hanging="270"/>
        <w:spacing w:after="0"/>
        <w:tabs>
          <w:tab w:leader="none" w:pos="280"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Commodity Price Contracts:</w:t>
      </w:r>
    </w:p>
    <w:p>
      <w:pPr>
        <w:spacing w:after="0" w:line="4" w:lineRule="exact"/>
        <w:rPr>
          <w:rFonts w:ascii="Courier New" w:cs="Courier New" w:eastAsia="Courier New" w:hAnsi="Courier New"/>
          <w:sz w:val="15"/>
          <w:szCs w:val="15"/>
          <w:color w:val="auto"/>
        </w:rPr>
      </w:pPr>
    </w:p>
    <w:p>
      <w:pPr>
        <w:ind w:left="28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On January 1, 2001, the Company entered into agreements with Petroleos Mexicanos ("PEMEX"), maturing December 2003, which establish the right to purchase natural gas at a fixed price for three years. However, as a result of the decrease in international natural gas prices, the Company entered into a swap agreement maturing December 2003.</w:t>
      </w:r>
    </w:p>
    <w:p>
      <w:pPr>
        <w:spacing w:after="0" w:line="173" w:lineRule="exact"/>
        <w:rPr>
          <w:rFonts w:ascii="Courier New" w:cs="Courier New" w:eastAsia="Courier New" w:hAnsi="Courier New"/>
          <w:sz w:val="15"/>
          <w:szCs w:val="15"/>
          <w:color w:val="auto"/>
        </w:rPr>
      </w:pPr>
    </w:p>
    <w:p>
      <w:pPr>
        <w:ind w:left="280" w:right="3579"/>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Additionally, during 2002 the Company has entered into various derivative contracts maturing in 2003 and 2004 to hedge the cost of aluminum.</w:t>
      </w:r>
    </w:p>
    <w:p>
      <w:pPr>
        <w:spacing w:after="0" w:line="159" w:lineRule="exact"/>
        <w:rPr>
          <w:rFonts w:ascii="Courier New" w:cs="Courier New" w:eastAsia="Courier New" w:hAnsi="Courier New"/>
          <w:sz w:val="15"/>
          <w:szCs w:val="15"/>
          <w:color w:val="auto"/>
        </w:rPr>
      </w:pPr>
    </w:p>
    <w:p>
      <w:pPr>
        <w:ind w:left="28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result of the commodity price contracts was a gain of Ps. 17 in 2002, which is recorded in the results of operations of the year. The fair value is estimated based on quoted market prices to terminate the contracts at the reporting date.</w:t>
      </w:r>
    </w:p>
    <w:p>
      <w:pPr>
        <w:spacing w:after="0" w:line="168" w:lineRule="exact"/>
        <w:rPr>
          <w:rFonts w:ascii="Courier New" w:cs="Courier New" w:eastAsia="Courier New" w:hAnsi="Courier New"/>
          <w:sz w:val="15"/>
          <w:szCs w:val="15"/>
          <w:color w:val="auto"/>
        </w:rPr>
      </w:pPr>
    </w:p>
    <w:p>
      <w:pPr>
        <w:ind w:left="2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outstanding contracts and their terms are as follows: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0" w:lineRule="exact"/>
        <w:rPr>
          <w:sz w:val="20"/>
          <w:szCs w:val="20"/>
          <w:color w:val="auto"/>
        </w:rPr>
      </w:pPr>
    </w:p>
    <w:p>
      <w:pPr>
        <w:ind w:right="3399"/>
        <w:spacing w:after="0"/>
        <w:rPr>
          <w:sz w:val="20"/>
          <w:szCs w:val="20"/>
          <w:color w:val="auto"/>
        </w:rPr>
      </w:pPr>
      <w:r>
        <w:rPr>
          <w:rFonts w:ascii="Courier New" w:cs="Courier New" w:eastAsia="Courier New" w:hAnsi="Courier New"/>
          <w:sz w:val="15"/>
          <w:szCs w:val="15"/>
          <w:color w:val="auto"/>
        </w:rPr>
        <w:t>Maturity Contract Notional Fair Date Type Amount Value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2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94"/>
              </w:rPr>
              <w:t>2003</w:t>
            </w:r>
          </w:p>
        </w:tc>
        <w:tc>
          <w:tcPr>
            <w:tcW w:w="2700" w:type="dxa"/>
            <w:vAlign w:val="bottom"/>
          </w:tcPr>
          <w:p>
            <w:pPr>
              <w:ind w:left="660"/>
              <w:spacing w:after="0"/>
              <w:rPr>
                <w:sz w:val="20"/>
                <w:szCs w:val="20"/>
                <w:color w:val="auto"/>
              </w:rPr>
            </w:pPr>
            <w:r>
              <w:rPr>
                <w:rFonts w:ascii="Courier New" w:cs="Courier New" w:eastAsia="Courier New" w:hAnsi="Courier New"/>
                <w:sz w:val="15"/>
                <w:szCs w:val="15"/>
                <w:color w:val="auto"/>
              </w:rPr>
              <w:t>Put options</w:t>
            </w:r>
          </w:p>
        </w:tc>
        <w:tc>
          <w:tcPr>
            <w:tcW w:w="214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Ps.  76</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Ps.  (3)</w:t>
            </w:r>
          </w:p>
        </w:tc>
      </w:tr>
      <w:tr>
        <w:trPr>
          <w:trHeight w:val="168"/>
        </w:trPr>
        <w:tc>
          <w:tcPr>
            <w:tcW w:w="1020" w:type="dxa"/>
            <w:vAlign w:val="bottom"/>
          </w:tcPr>
          <w:p>
            <w:pPr>
              <w:spacing w:after="0"/>
              <w:rPr>
                <w:sz w:val="14"/>
                <w:szCs w:val="14"/>
                <w:color w:val="auto"/>
              </w:rPr>
            </w:pPr>
          </w:p>
        </w:tc>
        <w:tc>
          <w:tcPr>
            <w:tcW w:w="270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Seagulls</w:t>
            </w:r>
          </w:p>
        </w:tc>
        <w:tc>
          <w:tcPr>
            <w:tcW w:w="21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180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1020" w:type="dxa"/>
            <w:vAlign w:val="bottom"/>
          </w:tcPr>
          <w:p>
            <w:pPr>
              <w:spacing w:after="0"/>
              <w:rPr>
                <w:sz w:val="14"/>
                <w:szCs w:val="14"/>
                <w:color w:val="auto"/>
              </w:rPr>
            </w:pPr>
          </w:p>
        </w:tc>
        <w:tc>
          <w:tcPr>
            <w:tcW w:w="270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Swaps</w:t>
            </w:r>
          </w:p>
        </w:tc>
        <w:tc>
          <w:tcPr>
            <w:tcW w:w="21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424</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w:t>
            </w:r>
          </w:p>
        </w:tc>
      </w:tr>
      <w:tr>
        <w:trPr>
          <w:trHeight w:val="168"/>
        </w:trPr>
        <w:tc>
          <w:tcPr>
            <w:tcW w:w="1020" w:type="dxa"/>
            <w:vAlign w:val="bottom"/>
          </w:tcPr>
          <w:p>
            <w:pPr>
              <w:spacing w:after="0"/>
              <w:rPr>
                <w:sz w:val="14"/>
                <w:szCs w:val="14"/>
                <w:color w:val="auto"/>
              </w:rPr>
            </w:pPr>
          </w:p>
        </w:tc>
        <w:tc>
          <w:tcPr>
            <w:tcW w:w="270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Collar</w:t>
            </w:r>
          </w:p>
        </w:tc>
        <w:tc>
          <w:tcPr>
            <w:tcW w:w="21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151</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w:t>
            </w:r>
          </w:p>
        </w:tc>
      </w:tr>
    </w:tbl>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2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94"/>
              </w:rPr>
              <w:t>2004</w:t>
            </w:r>
          </w:p>
        </w:tc>
        <w:tc>
          <w:tcPr>
            <w:tcW w:w="2800" w:type="dxa"/>
            <w:vAlign w:val="bottom"/>
          </w:tcPr>
          <w:p>
            <w:pPr>
              <w:ind w:left="660"/>
              <w:spacing w:after="0"/>
              <w:rPr>
                <w:sz w:val="20"/>
                <w:szCs w:val="20"/>
                <w:color w:val="auto"/>
              </w:rPr>
            </w:pPr>
            <w:r>
              <w:rPr>
                <w:rFonts w:ascii="Courier New" w:cs="Courier New" w:eastAsia="Courier New" w:hAnsi="Courier New"/>
                <w:sz w:val="15"/>
                <w:szCs w:val="15"/>
                <w:color w:val="auto"/>
              </w:rPr>
              <w:t>Swaptions</w:t>
            </w:r>
          </w:p>
        </w:tc>
        <w:tc>
          <w:tcPr>
            <w:tcW w:w="22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360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r>
        <w:trPr>
          <w:trHeight w:val="168"/>
        </w:trPr>
        <w:tc>
          <w:tcPr>
            <w:tcW w:w="1020" w:type="dxa"/>
            <w:vAlign w:val="bottom"/>
          </w:tcPr>
          <w:p>
            <w:pPr>
              <w:spacing w:after="0"/>
              <w:rPr>
                <w:sz w:val="14"/>
                <w:szCs w:val="14"/>
                <w:color w:val="auto"/>
              </w:rPr>
            </w:pPr>
          </w:p>
        </w:tc>
        <w:tc>
          <w:tcPr>
            <w:tcW w:w="280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Swaps</w:t>
            </w:r>
          </w:p>
        </w:tc>
        <w:tc>
          <w:tcPr>
            <w:tcW w:w="22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154</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r>
    </w:tbl>
    <w:p>
      <w:pPr>
        <w:spacing w:after="0" w:line="5" w:lineRule="exact"/>
        <w:rPr>
          <w:sz w:val="20"/>
          <w:szCs w:val="20"/>
          <w:color w:val="auto"/>
        </w:rPr>
      </w:pPr>
    </w:p>
    <w:p>
      <w:pPr>
        <w:ind w:left="180" w:hanging="170"/>
        <w:spacing w:after="0"/>
        <w:tabs>
          <w:tab w:leader="none" w:pos="180"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9" w:lineRule="exact"/>
        <w:rPr>
          <w:rFonts w:ascii="Courier New" w:cs="Courier New" w:eastAsia="Courier New" w:hAnsi="Courier New"/>
          <w:sz w:val="14"/>
          <w:szCs w:val="14"/>
          <w:color w:val="auto"/>
        </w:rPr>
      </w:pPr>
    </w:p>
    <w:p>
      <w:pPr>
        <w:ind w:left="33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F-23</w:t>
      </w:r>
    </w:p>
    <w:p>
      <w:pPr>
        <w:sectPr>
          <w:pgSz w:w="11900" w:h="16838" w:orient="portrait"/>
          <w:cols w:equalWidth="0" w:num="1">
            <w:col w:w="10239"/>
          </w:cols>
          <w:pgMar w:left="220" w:top="953" w:right="1440" w:bottom="1440" w:gutter="0" w:footer="0" w:header="0"/>
        </w:sectPr>
      </w:pPr>
    </w:p>
    <w:bookmarkStart w:id="186" w:name="page187"/>
    <w:bookmarkEnd w:id="186"/>
    <w:p>
      <w:pPr>
        <w:spacing w:after="0"/>
        <w:tabs>
          <w:tab w:leader="none" w:pos="960" w:val="left"/>
        </w:tabs>
        <w:rPr>
          <w:sz w:val="20"/>
          <w:szCs w:val="20"/>
          <w:color w:val="auto"/>
        </w:rPr>
      </w:pPr>
      <w:r>
        <w:rPr>
          <w:rFonts w:ascii="Courier New" w:cs="Courier New" w:eastAsia="Courier New" w:hAnsi="Courier New"/>
          <w:sz w:val="15"/>
          <w:szCs w:val="15"/>
          <w:color w:val="auto"/>
        </w:rPr>
        <w:t>Note 18.</w:t>
      </w:r>
      <w:r>
        <w:rPr>
          <w:sz w:val="20"/>
          <w:szCs w:val="20"/>
          <w:color w:val="auto"/>
        </w:rPr>
        <w:tab/>
      </w:r>
      <w:r>
        <w:rPr>
          <w:rFonts w:ascii="Courier New" w:cs="Courier New" w:eastAsia="Courier New" w:hAnsi="Courier New"/>
          <w:sz w:val="14"/>
          <w:szCs w:val="14"/>
          <w:color w:val="auto"/>
        </w:rPr>
        <w:t>Minority Interest in Consolidated Subsidiaries.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5080"/>
        <w:spacing w:after="0"/>
        <w:tabs>
          <w:tab w:leader="none" w:pos="6540" w:val="left"/>
        </w:tabs>
        <w:rPr>
          <w:sz w:val="20"/>
          <w:szCs w:val="20"/>
          <w:color w:val="auto"/>
        </w:rPr>
      </w:pPr>
      <w:r>
        <w:rPr>
          <w:rFonts w:ascii="Courier New" w:cs="Courier New" w:eastAsia="Courier New" w:hAnsi="Courier New"/>
          <w:sz w:val="15"/>
          <w:szCs w:val="15"/>
          <w:color w:val="auto"/>
        </w:rPr>
        <w:t>2002</w:t>
      </w:r>
      <w:r>
        <w:rPr>
          <w:sz w:val="20"/>
          <w:szCs w:val="20"/>
          <w:color w:val="auto"/>
        </w:rPr>
        <w:tab/>
      </w:r>
      <w:r>
        <w:rPr>
          <w:rFonts w:ascii="Courier New" w:cs="Courier New" w:eastAsia="Courier New" w:hAnsi="Courier New"/>
          <w:sz w:val="15"/>
          <w:szCs w:val="15"/>
          <w:color w:val="auto"/>
        </w:rPr>
        <w:t>2001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FEMSA Cerveza</w:t>
            </w:r>
          </w:p>
        </w:tc>
        <w:tc>
          <w:tcPr>
            <w:tcW w:w="28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Ps. 5,250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Ps. 4,922</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Coca-Cola FEMSA</w:t>
            </w:r>
          </w:p>
        </w:tc>
        <w:tc>
          <w:tcPr>
            <w:tcW w:w="28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4,472</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3,833</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Logistica-CCM</w:t>
            </w:r>
          </w:p>
        </w:tc>
        <w:tc>
          <w:tcPr>
            <w:tcW w:w="28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76</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4640"/>
        <w:spacing w:after="0"/>
        <w:tabs>
          <w:tab w:leader="none" w:pos="6120" w:val="left"/>
        </w:tabs>
        <w:rPr>
          <w:sz w:val="20"/>
          <w:szCs w:val="20"/>
          <w:color w:val="auto"/>
        </w:rPr>
      </w:pPr>
      <w:r>
        <w:rPr>
          <w:rFonts w:ascii="Courier New" w:cs="Courier New" w:eastAsia="Courier New" w:hAnsi="Courier New"/>
          <w:sz w:val="15"/>
          <w:szCs w:val="15"/>
          <w:color w:val="auto"/>
        </w:rPr>
        <w:t>Ps. 9,798</w:t>
      </w:r>
      <w:r>
        <w:rPr>
          <w:sz w:val="20"/>
          <w:szCs w:val="20"/>
          <w:color w:val="auto"/>
        </w:rPr>
        <w:tab/>
      </w:r>
      <w:r>
        <w:rPr>
          <w:rFonts w:ascii="Courier New" w:cs="Courier New" w:eastAsia="Courier New" w:hAnsi="Courier New"/>
          <w:sz w:val="14"/>
          <w:szCs w:val="14"/>
          <w:color w:val="auto"/>
        </w:rPr>
        <w:t>Ps. 8,832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0"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Note 19.</w:t>
      </w:r>
      <w:r>
        <w:rPr>
          <w:sz w:val="20"/>
          <w:szCs w:val="20"/>
          <w:color w:val="auto"/>
        </w:rPr>
        <w:tab/>
      </w:r>
      <w:r>
        <w:rPr>
          <w:rFonts w:ascii="Courier New" w:cs="Courier New" w:eastAsia="Courier New" w:hAnsi="Courier New"/>
          <w:sz w:val="14"/>
          <w:szCs w:val="14"/>
          <w:color w:val="auto"/>
        </w:rPr>
        <w:t>Stockholders' Equity.</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As of December 31, 2002, the capital stock of FEMSA was comprised of 5,297,310,450 common shares, without par value and with no foreign ownership restrictions. Fixed capital amounts to Ps. 300 (nominal value) and the variable capital may not exceed 10 times the minimum fixed capital stock.</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characteristics of the common shares are as follows:</w:t>
      </w:r>
    </w:p>
    <w:p>
      <w:pPr>
        <w:spacing w:after="0" w:line="173" w:lineRule="exact"/>
        <w:rPr>
          <w:sz w:val="20"/>
          <w:szCs w:val="20"/>
          <w:color w:val="auto"/>
        </w:rPr>
      </w:pPr>
    </w:p>
    <w:p>
      <w:pPr>
        <w:ind w:left="440" w:right="3319" w:hanging="430"/>
        <w:spacing w:after="0" w:line="234" w:lineRule="auto"/>
        <w:tabs>
          <w:tab w:leader="none" w:pos="178"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Series "B" shares, with unlimited voting rights, which at all times must represent a minimum of 51% of total capital stock.</w:t>
      </w:r>
    </w:p>
    <w:p>
      <w:pPr>
        <w:spacing w:after="0" w:line="5" w:lineRule="exact"/>
        <w:rPr>
          <w:rFonts w:ascii="Courier New" w:cs="Courier New" w:eastAsia="Courier New" w:hAnsi="Courier New"/>
          <w:sz w:val="15"/>
          <w:szCs w:val="15"/>
          <w:color w:val="auto"/>
        </w:rPr>
      </w:pPr>
    </w:p>
    <w:p>
      <w:pPr>
        <w:ind w:left="440" w:right="3319" w:hanging="430"/>
        <w:spacing w:after="0" w:line="234" w:lineRule="auto"/>
        <w:tabs>
          <w:tab w:leader="none" w:pos="178"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Series "L" shares, with limited voting rights, which may represent up to 25% of total capital stock.</w:t>
      </w:r>
    </w:p>
    <w:p>
      <w:pPr>
        <w:spacing w:after="0" w:line="5" w:lineRule="exact"/>
        <w:rPr>
          <w:rFonts w:ascii="Courier New" w:cs="Courier New" w:eastAsia="Courier New" w:hAnsi="Courier New"/>
          <w:sz w:val="15"/>
          <w:szCs w:val="15"/>
          <w:color w:val="auto"/>
        </w:rPr>
      </w:pPr>
    </w:p>
    <w:p>
      <w:pPr>
        <w:ind w:left="440" w:right="3579" w:hanging="430"/>
        <w:spacing w:after="0" w:line="235" w:lineRule="auto"/>
        <w:tabs>
          <w:tab w:leader="none" w:pos="178"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Series "D" shares, with limited voting rights, which individually or jointly with series "L" shares may represent up to 49% of total capital stock.</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Series "D" shares are comprised as follows:</w:t>
      </w:r>
    </w:p>
    <w:p>
      <w:pPr>
        <w:spacing w:after="0" w:line="166" w:lineRule="exact"/>
        <w:rPr>
          <w:sz w:val="20"/>
          <w:szCs w:val="20"/>
          <w:color w:val="auto"/>
        </w:rPr>
      </w:pPr>
    </w:p>
    <w:p>
      <w:pPr>
        <w:ind w:left="180" w:hanging="170"/>
        <w:spacing w:after="0"/>
        <w:tabs>
          <w:tab w:leader="none" w:pos="180"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Subseries "D-L" shares may represent up to 25% of the series "D" shares.</w:t>
      </w:r>
    </w:p>
    <w:p>
      <w:pPr>
        <w:spacing w:after="0" w:line="4" w:lineRule="exact"/>
        <w:rPr>
          <w:rFonts w:ascii="Courier New" w:cs="Courier New" w:eastAsia="Courier New" w:hAnsi="Courier New"/>
          <w:sz w:val="15"/>
          <w:szCs w:val="15"/>
          <w:color w:val="auto"/>
        </w:rPr>
      </w:pPr>
    </w:p>
    <w:p>
      <w:pPr>
        <w:ind w:left="440" w:right="3059" w:hanging="430"/>
        <w:spacing w:after="0" w:line="234" w:lineRule="auto"/>
        <w:tabs>
          <w:tab w:leader="none" w:pos="178"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Subseries "D-B" shares may comprise the remainder of outstanding series "D" shares.</w:t>
      </w:r>
    </w:p>
    <w:p>
      <w:pPr>
        <w:spacing w:after="0" w:line="5" w:lineRule="exact"/>
        <w:rPr>
          <w:rFonts w:ascii="Courier New" w:cs="Courier New" w:eastAsia="Courier New" w:hAnsi="Courier New"/>
          <w:sz w:val="15"/>
          <w:szCs w:val="15"/>
          <w:color w:val="auto"/>
        </w:rPr>
      </w:pPr>
    </w:p>
    <w:p>
      <w:pPr>
        <w:ind w:left="440" w:right="3239" w:hanging="430"/>
        <w:spacing w:after="0" w:line="261" w:lineRule="auto"/>
        <w:tabs>
          <w:tab w:leader="none" w:pos="178"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The non-cumulative premium dividend to be paid to series "D" stockholders will be 125% of any dividend paid to series "B" stockholders.</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Series "B" and "D" shares are linked together in related units as follows:</w:t>
      </w:r>
    </w:p>
    <w:p>
      <w:pPr>
        <w:spacing w:after="0" w:line="5" w:lineRule="exact"/>
        <w:rPr>
          <w:sz w:val="20"/>
          <w:szCs w:val="20"/>
          <w:color w:val="auto"/>
        </w:rPr>
      </w:pPr>
    </w:p>
    <w:p>
      <w:pPr>
        <w:ind w:left="440" w:right="3499" w:hanging="430"/>
        <w:spacing w:after="0" w:line="234" w:lineRule="auto"/>
        <w:tabs>
          <w:tab w:leader="none" w:pos="178"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"B units" each of which represents five series "B" shares and which is traded on the BMV.</w:t>
      </w:r>
    </w:p>
    <w:p>
      <w:pPr>
        <w:spacing w:after="0" w:line="5" w:lineRule="exact"/>
        <w:rPr>
          <w:rFonts w:ascii="Courier New" w:cs="Courier New" w:eastAsia="Courier New" w:hAnsi="Courier New"/>
          <w:sz w:val="15"/>
          <w:szCs w:val="15"/>
          <w:color w:val="auto"/>
        </w:rPr>
      </w:pPr>
    </w:p>
    <w:p>
      <w:pPr>
        <w:ind w:left="440" w:right="3399" w:hanging="430"/>
        <w:spacing w:after="0" w:line="235" w:lineRule="auto"/>
        <w:tabs>
          <w:tab w:leader="none" w:pos="178"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"BD units" each of which represents one series "B" share, two subseries "D-B" shares and two subseries "D-L" shares, and which is traded both on the BMV and the NYSE.</w:t>
      </w:r>
    </w:p>
    <w:p>
      <w:pPr>
        <w:spacing w:after="0" w:line="5" w:lineRule="exact"/>
        <w:rPr>
          <w:rFonts w:ascii="Courier New" w:cs="Courier New" w:eastAsia="Courier New" w:hAnsi="Courier New"/>
          <w:sz w:val="15"/>
          <w:szCs w:val="15"/>
          <w:color w:val="auto"/>
        </w:rPr>
      </w:pPr>
    </w:p>
    <w:p>
      <w:pPr>
        <w:ind w:left="440" w:right="3239" w:hanging="430"/>
        <w:spacing w:after="0" w:line="235" w:lineRule="auto"/>
        <w:tabs>
          <w:tab w:leader="none" w:pos="178"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related units will cease to be linked together on May 2008, after a period of 10 years from the date of the first issue. Subseries "D-B" shares will be converted into series "B" shares, and subseries "D-L" shares will be converted into series "L" shares.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of December 31, 2002, FEMSA's capital stock is comprised as follows: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3080"/>
        <w:spacing w:after="0"/>
        <w:tabs>
          <w:tab w:leader="none" w:pos="4460" w:val="left"/>
          <w:tab w:leader="none" w:pos="6120" w:val="left"/>
        </w:tabs>
        <w:rPr>
          <w:sz w:val="20"/>
          <w:szCs w:val="20"/>
          <w:color w:val="auto"/>
        </w:rPr>
      </w:pPr>
      <w:r>
        <w:rPr>
          <w:rFonts w:ascii="Courier New" w:cs="Courier New" w:eastAsia="Courier New" w:hAnsi="Courier New"/>
          <w:sz w:val="15"/>
          <w:szCs w:val="15"/>
          <w:color w:val="auto"/>
        </w:rPr>
        <w:t>"B" Units</w:t>
      </w:r>
      <w:r>
        <w:rPr>
          <w:sz w:val="20"/>
          <w:szCs w:val="20"/>
          <w:color w:val="auto"/>
        </w:rPr>
        <w:tab/>
      </w:r>
      <w:r>
        <w:rPr>
          <w:rFonts w:ascii="Courier New" w:cs="Courier New" w:eastAsia="Courier New" w:hAnsi="Courier New"/>
          <w:sz w:val="15"/>
          <w:szCs w:val="15"/>
          <w:color w:val="auto"/>
        </w:rPr>
        <w:t>"BD" Units</w:t>
      </w:r>
      <w:r>
        <w:rPr>
          <w:sz w:val="20"/>
          <w:szCs w:val="20"/>
          <w:color w:val="auto"/>
        </w:rPr>
        <w:tab/>
      </w:r>
      <w:r>
        <w:rPr>
          <w:rFonts w:ascii="Courier New" w:cs="Courier New" w:eastAsia="Courier New" w:hAnsi="Courier New"/>
          <w:sz w:val="14"/>
          <w:szCs w:val="14"/>
          <w:color w:val="auto"/>
        </w:rPr>
        <w:t>Total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20" w:type="dxa"/>
            <w:vAlign w:val="bottom"/>
          </w:tcPr>
          <w:p>
            <w:pPr>
              <w:spacing w:after="0"/>
              <w:rPr>
                <w:sz w:val="20"/>
                <w:szCs w:val="20"/>
                <w:color w:val="auto"/>
              </w:rPr>
            </w:pPr>
            <w:r>
              <w:rPr>
                <w:rFonts w:ascii="Courier New" w:cs="Courier New" w:eastAsia="Courier New" w:hAnsi="Courier New"/>
                <w:sz w:val="15"/>
                <w:szCs w:val="15"/>
                <w:color w:val="auto"/>
              </w:rPr>
              <w:t>Units</w:t>
            </w:r>
          </w:p>
        </w:tc>
        <w:tc>
          <w:tcPr>
            <w:tcW w:w="2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419,569,500</w:t>
            </w:r>
          </w:p>
        </w:tc>
        <w:tc>
          <w:tcPr>
            <w:tcW w:w="14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639,892,590</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1,059,462,090</w:t>
            </w:r>
          </w:p>
        </w:tc>
      </w:tr>
    </w:tbl>
    <w:p>
      <w:pPr>
        <w:spacing w:after="0" w:line="5" w:lineRule="exact"/>
        <w:rPr>
          <w:sz w:val="20"/>
          <w:szCs w:val="20"/>
          <w:color w:val="auto"/>
        </w:rPr>
      </w:pPr>
    </w:p>
    <w:p>
      <w:pPr>
        <w:ind w:left="180" w:hanging="170"/>
        <w:spacing w:after="0"/>
        <w:tabs>
          <w:tab w:leader="none" w:pos="180"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Shares:</w:t>
      </w:r>
    </w:p>
    <w:tbl>
      <w:tblPr>
        <w:tblLayout w:type="fixed"/>
        <w:tblInd w:w="180" w:type="dxa"/>
        <w:tblCellMar>
          <w:top w:w="0" w:type="dxa"/>
          <w:left w:w="0" w:type="dxa"/>
          <w:bottom w:w="0" w:type="dxa"/>
          <w:right w:w="0" w:type="dxa"/>
        </w:tblCellMar>
      </w:tblPr>
      <w:tr>
        <w:trPr>
          <w:trHeight w:val="169"/>
        </w:trPr>
        <w:tc>
          <w:tcPr>
            <w:tcW w:w="2060" w:type="dxa"/>
            <w:vAlign w:val="bottom"/>
          </w:tcPr>
          <w:p>
            <w:pPr>
              <w:spacing w:after="0" w:line="169" w:lineRule="exact"/>
              <w:rPr>
                <w:sz w:val="20"/>
                <w:szCs w:val="20"/>
                <w:color w:val="auto"/>
              </w:rPr>
            </w:pPr>
            <w:r>
              <w:rPr>
                <w:rFonts w:ascii="Courier New" w:cs="Courier New" w:eastAsia="Courier New" w:hAnsi="Courier New"/>
                <w:sz w:val="15"/>
                <w:szCs w:val="15"/>
                <w:color w:val="auto"/>
              </w:rPr>
              <w:t>Series "B"</w:t>
            </w:r>
          </w:p>
        </w:tc>
        <w:tc>
          <w:tcPr>
            <w:tcW w:w="1880" w:type="dxa"/>
            <w:vAlign w:val="bottom"/>
          </w:tcPr>
          <w:p>
            <w:pPr>
              <w:jc w:val="right"/>
              <w:ind w:right="107"/>
              <w:spacing w:after="0" w:line="169" w:lineRule="exact"/>
              <w:rPr>
                <w:sz w:val="20"/>
                <w:szCs w:val="20"/>
                <w:color w:val="auto"/>
              </w:rPr>
            </w:pPr>
            <w:r>
              <w:rPr>
                <w:rFonts w:ascii="Courier New" w:cs="Courier New" w:eastAsia="Courier New" w:hAnsi="Courier New"/>
                <w:sz w:val="15"/>
                <w:szCs w:val="15"/>
                <w:color w:val="auto"/>
              </w:rPr>
              <w:t>2,097,847,500</w:t>
            </w:r>
          </w:p>
        </w:tc>
        <w:tc>
          <w:tcPr>
            <w:tcW w:w="1480" w:type="dxa"/>
            <w:vAlign w:val="bottom"/>
          </w:tcPr>
          <w:p>
            <w:pPr>
              <w:jc w:val="right"/>
              <w:ind w:right="87"/>
              <w:spacing w:after="0" w:line="169" w:lineRule="exact"/>
              <w:rPr>
                <w:sz w:val="20"/>
                <w:szCs w:val="20"/>
                <w:color w:val="auto"/>
              </w:rPr>
            </w:pPr>
            <w:r>
              <w:rPr>
                <w:rFonts w:ascii="Courier New" w:cs="Courier New" w:eastAsia="Courier New" w:hAnsi="Courier New"/>
                <w:sz w:val="15"/>
                <w:szCs w:val="15"/>
                <w:color w:val="auto"/>
              </w:rPr>
              <w:t>639,892,590</w:t>
            </w:r>
          </w:p>
        </w:tc>
        <w:tc>
          <w:tcPr>
            <w:tcW w:w="132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2,737,740,090</w:t>
            </w:r>
          </w:p>
        </w:tc>
      </w:tr>
      <w:tr>
        <w:trPr>
          <w:trHeight w:val="336"/>
        </w:trPr>
        <w:tc>
          <w:tcPr>
            <w:tcW w:w="2060" w:type="dxa"/>
            <w:vAlign w:val="bottom"/>
          </w:tcPr>
          <w:p>
            <w:pPr>
              <w:spacing w:after="0"/>
              <w:rPr>
                <w:sz w:val="20"/>
                <w:szCs w:val="20"/>
                <w:color w:val="auto"/>
              </w:rPr>
            </w:pPr>
            <w:r>
              <w:rPr>
                <w:rFonts w:ascii="Courier New" w:cs="Courier New" w:eastAsia="Courier New" w:hAnsi="Courier New"/>
                <w:sz w:val="15"/>
                <w:szCs w:val="15"/>
                <w:color w:val="auto"/>
              </w:rPr>
              <w:t>Series "D"</w:t>
            </w:r>
          </w:p>
        </w:tc>
        <w:tc>
          <w:tcPr>
            <w:tcW w:w="1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2,559,570,360</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2,559,570,360</w:t>
            </w:r>
          </w:p>
        </w:tc>
      </w:tr>
      <w:tr>
        <w:trPr>
          <w:trHeight w:val="168"/>
        </w:trPr>
        <w:tc>
          <w:tcPr>
            <w:tcW w:w="2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Subseries "D-B"</w:t>
            </w:r>
          </w:p>
        </w:tc>
        <w:tc>
          <w:tcPr>
            <w:tcW w:w="1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1,279,785,180</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1,279,785,180</w:t>
            </w:r>
          </w:p>
        </w:tc>
      </w:tr>
      <w:tr>
        <w:trPr>
          <w:trHeight w:val="168"/>
        </w:trPr>
        <w:tc>
          <w:tcPr>
            <w:tcW w:w="2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Subseries "D-L"</w:t>
            </w:r>
          </w:p>
        </w:tc>
        <w:tc>
          <w:tcPr>
            <w:tcW w:w="1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1,279,785,180</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1,279,785,180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40" w:type="dxa"/>
            <w:vAlign w:val="bottom"/>
          </w:tcPr>
          <w:p>
            <w:pPr>
              <w:spacing w:after="0"/>
              <w:rPr>
                <w:sz w:val="20"/>
                <w:szCs w:val="20"/>
                <w:color w:val="auto"/>
              </w:rPr>
            </w:pPr>
            <w:r>
              <w:rPr>
                <w:rFonts w:ascii="Courier New" w:cs="Courier New" w:eastAsia="Courier New" w:hAnsi="Courier New"/>
                <w:sz w:val="15"/>
                <w:szCs w:val="15"/>
                <w:color w:val="auto"/>
              </w:rPr>
              <w:t>Total Shares</w:t>
            </w:r>
          </w:p>
        </w:tc>
        <w:tc>
          <w:tcPr>
            <w:tcW w:w="2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2,097,847,500</w:t>
            </w:r>
          </w:p>
        </w:tc>
        <w:tc>
          <w:tcPr>
            <w:tcW w:w="14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3,199,462,950</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5,297,310,450</w:t>
            </w:r>
          </w:p>
        </w:tc>
      </w:tr>
    </w:tbl>
    <w:p>
      <w:pPr>
        <w:spacing w:after="0" w:line="5" w:lineRule="exact"/>
        <w:rPr>
          <w:sz w:val="20"/>
          <w:szCs w:val="20"/>
          <w:color w:val="auto"/>
        </w:rPr>
      </w:pPr>
    </w:p>
    <w:p>
      <w:pPr>
        <w:ind w:left="180" w:hanging="170"/>
        <w:spacing w:after="0"/>
        <w:tabs>
          <w:tab w:leader="none" w:pos="180"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rFonts w:ascii="Courier New" w:cs="Courier New" w:eastAsia="Courier New" w:hAnsi="Courier New"/>
          <w:sz w:val="14"/>
          <w:szCs w:val="14"/>
          <w:color w:val="auto"/>
        </w:rPr>
      </w:pPr>
    </w:p>
    <w:p>
      <w:pPr>
        <w:ind w:left="33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F-24</w:t>
      </w:r>
    </w:p>
    <w:p>
      <w:pPr>
        <w:sectPr>
          <w:pgSz w:w="11900" w:h="16838" w:orient="portrait"/>
          <w:cols w:equalWidth="0" w:num="1">
            <w:col w:w="10239"/>
          </w:cols>
          <w:pgMar w:left="220" w:top="1122" w:right="1440" w:bottom="1440" w:gutter="0" w:footer="0" w:header="0"/>
        </w:sectPr>
      </w:pPr>
    </w:p>
    <w:bookmarkStart w:id="187" w:name="page188"/>
    <w:bookmarkEnd w:id="187"/>
    <w:p>
      <w:pPr>
        <w:ind w:right="3760"/>
        <w:spacing w:after="0" w:line="234" w:lineRule="auto"/>
        <w:rPr>
          <w:sz w:val="20"/>
          <w:szCs w:val="20"/>
          <w:color w:val="auto"/>
        </w:rPr>
      </w:pPr>
      <w:r>
        <w:rPr>
          <w:rFonts w:ascii="Courier New" w:cs="Courier New" w:eastAsia="Courier New" w:hAnsi="Courier New"/>
          <w:sz w:val="15"/>
          <w:szCs w:val="15"/>
          <w:color w:val="auto"/>
        </w:rPr>
        <w:t>The restatement of stockholders' equity for inflation is allocated to each of the various stockholders' equity accounts, as follows: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jc w:val="both"/>
        <w:ind w:left="3940"/>
        <w:spacing w:after="0" w:line="237" w:lineRule="auto"/>
        <w:tabs>
          <w:tab w:leader="none" w:pos="6200" w:val="left"/>
        </w:tabs>
        <w:rPr>
          <w:sz w:val="20"/>
          <w:szCs w:val="20"/>
          <w:color w:val="auto"/>
        </w:rPr>
      </w:pPr>
      <w:r>
        <w:rPr>
          <w:rFonts w:ascii="Courier New" w:cs="Courier New" w:eastAsia="Courier New" w:hAnsi="Courier New"/>
          <w:sz w:val="15"/>
          <w:szCs w:val="15"/>
          <w:color w:val="auto"/>
        </w:rPr>
        <w:t>Historical</w:t>
      </w:r>
      <w:r>
        <w:rPr>
          <w:sz w:val="20"/>
          <w:szCs w:val="20"/>
          <w:color w:val="auto"/>
        </w:rPr>
        <w:tab/>
      </w:r>
      <w:r>
        <w:rPr>
          <w:rFonts w:ascii="Courier New" w:cs="Courier New" w:eastAsia="Courier New" w:hAnsi="Courier New"/>
          <w:sz w:val="15"/>
          <w:szCs w:val="15"/>
          <w:color w:val="auto"/>
        </w:rPr>
        <w:t>Restated</w:t>
      </w:r>
    </w:p>
    <w:p>
      <w:pPr>
        <w:jc w:val="right"/>
        <w:ind w:right="3580"/>
        <w:spacing w:after="0"/>
        <w:tabs>
          <w:tab w:leader="none" w:pos="5480" w:val="left"/>
          <w:tab w:leader="none" w:pos="4000" w:val="left"/>
        </w:tabs>
        <w:rPr>
          <w:sz w:val="20"/>
          <w:szCs w:val="20"/>
          <w:color w:val="auto"/>
        </w:rPr>
      </w:pPr>
      <w:r>
        <w:rPr>
          <w:rFonts w:ascii="Courier New" w:cs="Courier New" w:eastAsia="Courier New" w:hAnsi="Courier New"/>
          <w:sz w:val="15"/>
          <w:szCs w:val="15"/>
          <w:color w:val="auto"/>
        </w:rPr>
        <w:t>Cost</w:t>
        <w:tab/>
        <w:t>Restatement</w:t>
      </w:r>
      <w:r>
        <w:rPr>
          <w:sz w:val="20"/>
          <w:szCs w:val="20"/>
          <w:color w:val="auto"/>
        </w:rPr>
        <w:tab/>
      </w:r>
      <w:r>
        <w:rPr>
          <w:rFonts w:ascii="Courier New" w:cs="Courier New" w:eastAsia="Courier New" w:hAnsi="Courier New"/>
          <w:sz w:val="14"/>
          <w:szCs w:val="14"/>
          <w:color w:val="auto"/>
        </w:rPr>
        <w:t>Value</w:t>
      </w:r>
    </w:p>
    <w:p>
      <w:pPr>
        <w:spacing w:after="0" w:line="237" w:lineRule="auto"/>
        <w:rPr>
          <w:sz w:val="20"/>
          <w:szCs w:val="20"/>
          <w:color w:val="auto"/>
        </w:rPr>
      </w:pPr>
      <w:r>
        <w:rPr>
          <w:rFonts w:ascii="Courier New" w:cs="Courier New" w:eastAsia="Courier New" w:hAnsi="Courier New"/>
          <w:sz w:val="15"/>
          <w:szCs w:val="15"/>
          <w:color w:val="auto"/>
        </w:rPr>
        <w:t>- --------------------------------------------------------------------------------</w:t>
      </w:r>
    </w:p>
    <w:tbl>
      <w:tblPr>
        <w:tblLayout w:type="fixed"/>
        <w:tblInd w:w="0" w:type="dxa"/>
        <w:tblCellMar>
          <w:top w:w="0" w:type="dxa"/>
          <w:left w:w="0" w:type="dxa"/>
          <w:bottom w:w="0" w:type="dxa"/>
          <w:right w:w="0" w:type="dxa"/>
        </w:tblCellMar>
      </w:tblPr>
      <w:tr>
        <w:trPr>
          <w:trHeight w:val="169"/>
        </w:trPr>
        <w:tc>
          <w:tcPr>
            <w:tcW w:w="3500" w:type="dxa"/>
            <w:vAlign w:val="bottom"/>
          </w:tcPr>
          <w:p>
            <w:pPr>
              <w:spacing w:after="0" w:line="169" w:lineRule="exact"/>
              <w:rPr>
                <w:sz w:val="20"/>
                <w:szCs w:val="20"/>
                <w:color w:val="auto"/>
              </w:rPr>
            </w:pPr>
            <w:r>
              <w:rPr>
                <w:rFonts w:ascii="Courier New" w:cs="Courier New" w:eastAsia="Courier New" w:hAnsi="Courier New"/>
                <w:sz w:val="15"/>
                <w:szCs w:val="15"/>
                <w:color w:val="auto"/>
              </w:rPr>
              <w:t>Capital stock</w:t>
            </w:r>
          </w:p>
        </w:tc>
        <w:tc>
          <w:tcPr>
            <w:tcW w:w="1500" w:type="dxa"/>
            <w:vAlign w:val="bottom"/>
          </w:tcPr>
          <w:p>
            <w:pPr>
              <w:jc w:val="right"/>
              <w:ind w:right="107"/>
              <w:spacing w:after="0" w:line="169" w:lineRule="exact"/>
              <w:rPr>
                <w:sz w:val="20"/>
                <w:szCs w:val="20"/>
                <w:color w:val="auto"/>
              </w:rPr>
            </w:pPr>
            <w:r>
              <w:rPr>
                <w:rFonts w:ascii="Courier New" w:cs="Courier New" w:eastAsia="Courier New" w:hAnsi="Courier New"/>
                <w:sz w:val="15"/>
                <w:szCs w:val="15"/>
                <w:color w:val="auto"/>
              </w:rPr>
              <w:t>Ps. 2,649</w:t>
            </w:r>
          </w:p>
        </w:tc>
        <w:tc>
          <w:tcPr>
            <w:tcW w:w="1040" w:type="dxa"/>
            <w:vAlign w:val="bottom"/>
          </w:tcPr>
          <w:p>
            <w:pPr>
              <w:jc w:val="right"/>
              <w:ind w:right="7"/>
              <w:spacing w:after="0" w:line="169" w:lineRule="exact"/>
              <w:rPr>
                <w:sz w:val="20"/>
                <w:szCs w:val="20"/>
                <w:color w:val="auto"/>
              </w:rPr>
            </w:pPr>
            <w:r>
              <w:rPr>
                <w:rFonts w:ascii="Courier New" w:cs="Courier New" w:eastAsia="Courier New" w:hAnsi="Courier New"/>
                <w:sz w:val="15"/>
                <w:szCs w:val="15"/>
                <w:color w:val="auto"/>
              </w:rPr>
              <w:t>Ps. 1,432</w:t>
            </w:r>
          </w:p>
        </w:tc>
        <w:tc>
          <w:tcPr>
            <w:tcW w:w="88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Ps. 4,081</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1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5,909</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4,043</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9,952</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Retained earnings from prior years</w:t>
            </w:r>
          </w:p>
        </w:tc>
        <w:tc>
          <w:tcPr>
            <w:tcW w:w="1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11,797</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633</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12,430</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for the year</w:t>
            </w:r>
          </w:p>
        </w:tc>
        <w:tc>
          <w:tcPr>
            <w:tcW w:w="1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2,760</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77</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2,837</w:t>
            </w:r>
          </w:p>
        </w:tc>
      </w:tr>
    </w:tbl>
    <w:p>
      <w:pPr>
        <w:spacing w:after="0" w:line="237" w:lineRule="auto"/>
        <w:rPr>
          <w:sz w:val="20"/>
          <w:szCs w:val="20"/>
          <w:color w:val="auto"/>
        </w:rPr>
      </w:pPr>
      <w:r>
        <w:rPr>
          <w:rFonts w:ascii="Courier New" w:cs="Courier New" w:eastAsia="Courier New" w:hAnsi="Courier New"/>
          <w:sz w:val="15"/>
          <w:szCs w:val="15"/>
          <w:color w:val="auto"/>
        </w:rPr>
        <w:t>- --------------------------------------------------------------------------------</w:t>
      </w:r>
    </w:p>
    <w:p>
      <w:pPr>
        <w:spacing w:after="0" w:line="342" w:lineRule="exact"/>
        <w:rPr>
          <w:sz w:val="20"/>
          <w:szCs w:val="20"/>
          <w:color w:val="auto"/>
        </w:rPr>
      </w:pPr>
    </w:p>
    <w:p>
      <w:pPr>
        <w:ind w:right="3840"/>
        <w:spacing w:after="0" w:line="254" w:lineRule="auto"/>
        <w:rPr>
          <w:sz w:val="20"/>
          <w:szCs w:val="20"/>
          <w:color w:val="auto"/>
        </w:rPr>
      </w:pPr>
      <w:r>
        <w:rPr>
          <w:rFonts w:ascii="Courier New" w:cs="Courier New" w:eastAsia="Courier New" w:hAnsi="Courier New"/>
          <w:sz w:val="14"/>
          <w:szCs w:val="14"/>
          <w:color w:val="auto"/>
        </w:rPr>
        <w:t>At an ordinary stockholder meeting held on March 13, 2002, the stockholders approved a dividend of 0.1120 pesos (nominal value) per series "B" share and</w:t>
      </w:r>
    </w:p>
    <w:p>
      <w:pPr>
        <w:spacing w:after="0" w:line="231" w:lineRule="auto"/>
        <w:rPr>
          <w:sz w:val="20"/>
          <w:szCs w:val="20"/>
          <w:color w:val="auto"/>
        </w:rPr>
      </w:pPr>
      <w:r>
        <w:rPr>
          <w:rFonts w:ascii="Courier New" w:cs="Courier New" w:eastAsia="Courier New" w:hAnsi="Courier New"/>
          <w:sz w:val="15"/>
          <w:szCs w:val="15"/>
          <w:color w:val="auto"/>
        </w:rPr>
        <w:t>0.1400 pesos (nominal value) per series "D" share, which was paid in May 2002.</w:t>
      </w:r>
    </w:p>
    <w:p>
      <w:pPr>
        <w:spacing w:after="0" w:line="174" w:lineRule="exact"/>
        <w:rPr>
          <w:sz w:val="20"/>
          <w:szCs w:val="20"/>
          <w:color w:val="auto"/>
        </w:rPr>
      </w:pPr>
    </w:p>
    <w:p>
      <w:pPr>
        <w:ind w:right="3500"/>
        <w:spacing w:after="0" w:line="236" w:lineRule="auto"/>
        <w:rPr>
          <w:sz w:val="20"/>
          <w:szCs w:val="20"/>
          <w:color w:val="auto"/>
        </w:rPr>
      </w:pPr>
      <w:r>
        <w:rPr>
          <w:rFonts w:ascii="Courier New" w:cs="Courier New" w:eastAsia="Courier New" w:hAnsi="Courier New"/>
          <w:sz w:val="15"/>
          <w:szCs w:val="15"/>
          <w:color w:val="auto"/>
        </w:rPr>
        <w:t>The net income of each Mexican subsidiary is subject to the legal requirement that 5% thereof be transferred to a legal reserve until such reserve equals 20% of capital stock. This reserve may not be distributed to stockholders during the existence of the subsidiary, except as stock dividends. As of December 31, 2002, this reserve for FEMSA amounted to Ps. 326.</w:t>
      </w:r>
    </w:p>
    <w:p>
      <w:pPr>
        <w:spacing w:after="0" w:line="174" w:lineRule="exact"/>
        <w:rPr>
          <w:sz w:val="20"/>
          <w:szCs w:val="20"/>
          <w:color w:val="auto"/>
        </w:rPr>
      </w:pPr>
    </w:p>
    <w:p>
      <w:pPr>
        <w:ind w:right="3500"/>
        <w:spacing w:after="0" w:line="255" w:lineRule="auto"/>
        <w:rPr>
          <w:sz w:val="20"/>
          <w:szCs w:val="20"/>
          <w:color w:val="auto"/>
        </w:rPr>
      </w:pPr>
      <w:r>
        <w:rPr>
          <w:rFonts w:ascii="Courier New" w:cs="Courier New" w:eastAsia="Courier New" w:hAnsi="Courier New"/>
          <w:sz w:val="14"/>
          <w:szCs w:val="14"/>
          <w:color w:val="auto"/>
        </w:rPr>
        <w:t>Retained earnings and other reserves distributed as dividends, as well as the effects derived from capital reductions, are subject to income tax at the rate in effect, except for the restated stockholder contributions and distributions made from consolidated taxable income, denominated "Cuenta de Utilidad Fiscal Neta Consolidada" ("CUFIN"). From 1999 to 2001, the deferral of a portion (3% in 1999 and 5% in 2000 and 2001) of the income tax was allowed, until the distribution of such earnings as dividends. For this purpose a "Cuenta de Utilidad Fiscal Neta Consolidada Reinvertida" ("CUFINRE") was created, which like CUFIN represents previously taxed earnings. Beginning in 2002, the right to defer payment of this income tax was eliminated.</w:t>
      </w:r>
    </w:p>
    <w:p>
      <w:pPr>
        <w:spacing w:after="0" w:line="165" w:lineRule="exact"/>
        <w:rPr>
          <w:sz w:val="20"/>
          <w:szCs w:val="20"/>
          <w:color w:val="auto"/>
        </w:rPr>
      </w:pPr>
    </w:p>
    <w:p>
      <w:pPr>
        <w:ind w:right="3500"/>
        <w:spacing w:after="0" w:line="236" w:lineRule="auto"/>
        <w:rPr>
          <w:sz w:val="20"/>
          <w:szCs w:val="20"/>
          <w:color w:val="auto"/>
        </w:rPr>
      </w:pPr>
      <w:r>
        <w:rPr>
          <w:rFonts w:ascii="Courier New" w:cs="Courier New" w:eastAsia="Courier New" w:hAnsi="Courier New"/>
          <w:sz w:val="15"/>
          <w:szCs w:val="15"/>
          <w:color w:val="auto"/>
        </w:rPr>
        <w:t>Dividends paid in excess of CUFIN and CUFINRE will be subject to income taxes at a grossed-up rate based on the current statutory rate. Beginning in 2003, this tax may be credited against the income tax of the year in which the dividends are paid and in the following two years against the income tax and estimated tax payments.</w:t>
      </w:r>
    </w:p>
    <w:p>
      <w:pPr>
        <w:spacing w:after="0" w:line="174" w:lineRule="exact"/>
        <w:rPr>
          <w:sz w:val="20"/>
          <w:szCs w:val="20"/>
          <w:color w:val="auto"/>
        </w:rPr>
      </w:pPr>
    </w:p>
    <w:p>
      <w:pPr>
        <w:ind w:right="3500"/>
        <w:spacing w:after="0" w:line="261" w:lineRule="auto"/>
        <w:rPr>
          <w:sz w:val="20"/>
          <w:szCs w:val="20"/>
          <w:color w:val="auto"/>
        </w:rPr>
      </w:pPr>
      <w:r>
        <w:rPr>
          <w:rFonts w:ascii="Courier New" w:cs="Courier New" w:eastAsia="Courier New" w:hAnsi="Courier New"/>
          <w:sz w:val="14"/>
          <w:szCs w:val="14"/>
          <w:color w:val="auto"/>
        </w:rPr>
        <w:t>As of December 31, 2002, the balances of CUFIN and CUFINRE amounted to Ps. 9,512 and Ps. 2,985, respectively, and the deferred tax payments were Ps. 222.</w:t>
      </w:r>
    </w:p>
    <w:p>
      <w:pPr>
        <w:spacing w:after="0" w:line="160" w:lineRule="exact"/>
        <w:rPr>
          <w:sz w:val="20"/>
          <w:szCs w:val="20"/>
          <w:color w:val="auto"/>
        </w:rPr>
      </w:pPr>
    </w:p>
    <w:p>
      <w:pPr>
        <w:ind w:right="3940"/>
        <w:spacing w:after="0" w:line="261" w:lineRule="auto"/>
        <w:rPr>
          <w:sz w:val="20"/>
          <w:szCs w:val="20"/>
          <w:color w:val="auto"/>
        </w:rPr>
      </w:pPr>
      <w:r>
        <w:rPr>
          <w:rFonts w:ascii="Courier New" w:cs="Courier New" w:eastAsia="Courier New" w:hAnsi="Courier New"/>
          <w:sz w:val="14"/>
          <w:szCs w:val="14"/>
          <w:color w:val="auto"/>
        </w:rPr>
        <w:t>At an ordinary stockholder meeting held on March 13, 2002, the stockholders approved a maximum of Ps. 3,000 for a stock repurchase program.</w:t>
      </w:r>
    </w:p>
    <w:p>
      <w:pPr>
        <w:spacing w:after="0" w:line="160" w:lineRule="exact"/>
        <w:rPr>
          <w:sz w:val="20"/>
          <w:szCs w:val="20"/>
          <w:color w:val="auto"/>
        </w:rPr>
      </w:pPr>
    </w:p>
    <w:p>
      <w:pPr>
        <w:ind w:right="3500"/>
        <w:spacing w:after="0" w:line="236" w:lineRule="auto"/>
        <w:rPr>
          <w:sz w:val="20"/>
          <w:szCs w:val="20"/>
          <w:color w:val="auto"/>
        </w:rPr>
      </w:pPr>
      <w:r>
        <w:rPr>
          <w:rFonts w:ascii="Courier New" w:cs="Courier New" w:eastAsia="Courier New" w:hAnsi="Courier New"/>
          <w:sz w:val="15"/>
          <w:szCs w:val="15"/>
          <w:color w:val="auto"/>
        </w:rPr>
        <w:t>The Company implemented the stock repurchase program beginning in October 2000. The nominal value of the repurchased shares was recorded as a reduction of common stock, and the remainder was applied against the reserve for the acquisition of Company stock within retained earnings. The shares purchased were retired.</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4480"/>
        <w:spacing w:after="0"/>
        <w:tabs>
          <w:tab w:leader="none" w:pos="8220" w:val="left"/>
        </w:tabs>
        <w:rPr>
          <w:sz w:val="20"/>
          <w:szCs w:val="20"/>
          <w:color w:val="auto"/>
        </w:rPr>
      </w:pPr>
      <w:r>
        <w:rPr>
          <w:rFonts w:ascii="Courier New" w:cs="Courier New" w:eastAsia="Courier New" w:hAnsi="Courier New"/>
          <w:sz w:val="15"/>
          <w:szCs w:val="15"/>
          <w:color w:val="auto"/>
        </w:rPr>
        <w:t>Millions of</w:t>
      </w:r>
      <w:r>
        <w:rPr>
          <w:sz w:val="20"/>
          <w:szCs w:val="20"/>
          <w:color w:val="auto"/>
        </w:rPr>
        <w:tab/>
      </w:r>
      <w:r>
        <w:rPr>
          <w:rFonts w:ascii="Courier New" w:cs="Courier New" w:eastAsia="Courier New" w:hAnsi="Courier New"/>
          <w:sz w:val="14"/>
          <w:szCs w:val="14"/>
          <w:color w:val="auto"/>
        </w:rPr>
        <w:t>Retained</w:t>
      </w:r>
    </w:p>
    <w:p>
      <w:pPr>
        <w:ind w:left="4740"/>
        <w:spacing w:after="0"/>
        <w:tabs>
          <w:tab w:leader="none" w:pos="6200" w:val="left"/>
          <w:tab w:leader="none" w:pos="8220" w:val="left"/>
          <w:tab w:leader="none" w:pos="9780" w:val="left"/>
        </w:tabs>
        <w:rPr>
          <w:sz w:val="20"/>
          <w:szCs w:val="20"/>
          <w:color w:val="auto"/>
        </w:rPr>
      </w:pP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Capital Stock</w:t>
      </w:r>
      <w:r>
        <w:rPr>
          <w:sz w:val="20"/>
          <w:szCs w:val="20"/>
          <w:color w:val="auto"/>
        </w:rPr>
        <w:tab/>
      </w:r>
      <w:r>
        <w:rPr>
          <w:rFonts w:ascii="Courier New" w:cs="Courier New" w:eastAsia="Courier New" w:hAnsi="Courier New"/>
          <w:sz w:val="15"/>
          <w:szCs w:val="15"/>
          <w:color w:val="auto"/>
        </w:rPr>
        <w:t>Earnings</w:t>
      </w:r>
      <w:r>
        <w:rPr>
          <w:sz w:val="20"/>
          <w:szCs w:val="20"/>
          <w:color w:val="auto"/>
        </w:rPr>
        <w:tab/>
      </w:r>
      <w:r>
        <w:rPr>
          <w:rFonts w:ascii="Courier New" w:cs="Courier New" w:eastAsia="Courier New" w:hAnsi="Courier New"/>
          <w:sz w:val="14"/>
          <w:szCs w:val="14"/>
          <w:color w:val="auto"/>
        </w:rPr>
        <w:t>Total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00" w:type="dxa"/>
            <w:vAlign w:val="bottom"/>
          </w:tcPr>
          <w:p>
            <w:pPr>
              <w:spacing w:after="0"/>
              <w:rPr>
                <w:sz w:val="20"/>
                <w:szCs w:val="20"/>
                <w:color w:val="auto"/>
              </w:rPr>
            </w:pPr>
            <w:r>
              <w:rPr>
                <w:rFonts w:ascii="Courier New" w:cs="Courier New" w:eastAsia="Courier New" w:hAnsi="Courier New"/>
                <w:sz w:val="15"/>
                <w:szCs w:val="15"/>
                <w:color w:val="auto"/>
              </w:rPr>
              <w:t>As of December 31, 2000</w:t>
            </w:r>
          </w:p>
        </w:tc>
        <w:tc>
          <w:tcPr>
            <w:tcW w:w="166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33.7</w:t>
            </w:r>
          </w:p>
        </w:tc>
        <w:tc>
          <w:tcPr>
            <w:tcW w:w="1100" w:type="dxa"/>
            <w:vAlign w:val="bottom"/>
          </w:tcPr>
          <w:p>
            <w:pPr>
              <w:ind w:left="620"/>
              <w:spacing w:after="0"/>
              <w:rPr>
                <w:sz w:val="20"/>
                <w:szCs w:val="20"/>
                <w:color w:val="auto"/>
              </w:rPr>
            </w:pPr>
            <w:r>
              <w:rPr>
                <w:rFonts w:ascii="Courier New" w:cs="Courier New" w:eastAsia="Courier New" w:hAnsi="Courier New"/>
                <w:sz w:val="15"/>
                <w:szCs w:val="15"/>
                <w:color w:val="auto"/>
              </w:rPr>
              <w:t>Ps.</w:t>
            </w:r>
          </w:p>
        </w:tc>
        <w:tc>
          <w:tcPr>
            <w:tcW w:w="8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w:t>
            </w:r>
          </w:p>
        </w:tc>
        <w:tc>
          <w:tcPr>
            <w:tcW w:w="1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Ps.   237</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Ps.   256</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From January 4, 2001 to January 16, 2001</w:t>
            </w:r>
          </w:p>
        </w:tc>
        <w:tc>
          <w:tcPr>
            <w:tcW w:w="16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10.3</w:t>
            </w:r>
          </w:p>
        </w:tc>
        <w:tc>
          <w:tcPr>
            <w:tcW w:w="1100" w:type="dxa"/>
            <w:vAlign w:val="bottom"/>
          </w:tcPr>
          <w:p>
            <w:pPr>
              <w:spacing w:after="0"/>
              <w:rPr>
                <w:sz w:val="14"/>
                <w:szCs w:val="14"/>
                <w:color w:val="auto"/>
              </w:rPr>
            </w:pPr>
          </w:p>
        </w:tc>
        <w:tc>
          <w:tcPr>
            <w:tcW w:w="8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63</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tabs>
          <w:tab w:leader="none" w:pos="4880" w:val="left"/>
          <w:tab w:leader="none" w:pos="6460" w:val="left"/>
          <w:tab w:leader="none" w:pos="7160" w:val="left"/>
          <w:tab w:leader="none" w:pos="8120" w:val="left"/>
          <w:tab w:leader="none" w:pos="8640" w:val="left"/>
          <w:tab w:leader="none" w:pos="9440" w:val="left"/>
          <w:tab w:leader="none" w:pos="9960" w:val="left"/>
        </w:tabs>
        <w:rPr>
          <w:sz w:val="20"/>
          <w:szCs w:val="20"/>
          <w:color w:val="auto"/>
        </w:rPr>
      </w:pPr>
      <w:r>
        <w:rPr>
          <w:rFonts w:ascii="Courier New" w:cs="Courier New" w:eastAsia="Courier New" w:hAnsi="Courier New"/>
          <w:sz w:val="15"/>
          <w:szCs w:val="15"/>
          <w:color w:val="auto"/>
        </w:rPr>
        <w:t>Total</w:t>
      </w:r>
      <w:r>
        <w:rPr>
          <w:sz w:val="20"/>
          <w:szCs w:val="20"/>
          <w:color w:val="auto"/>
        </w:rPr>
        <w:tab/>
      </w:r>
      <w:r>
        <w:rPr>
          <w:rFonts w:ascii="Courier New" w:cs="Courier New" w:eastAsia="Courier New" w:hAnsi="Courier New"/>
          <w:sz w:val="15"/>
          <w:szCs w:val="15"/>
          <w:color w:val="auto"/>
        </w:rPr>
        <w:t>44.0</w:t>
      </w:r>
      <w:r>
        <w:rPr>
          <w:sz w:val="20"/>
          <w:szCs w:val="20"/>
          <w:color w:val="auto"/>
        </w:rPr>
        <w:tab/>
      </w:r>
      <w:r>
        <w:rPr>
          <w:rFonts w:ascii="Courier New" w:cs="Courier New" w:eastAsia="Courier New" w:hAnsi="Courier New"/>
          <w:sz w:val="15"/>
          <w:szCs w:val="15"/>
          <w:color w:val="auto"/>
        </w:rPr>
        <w:t>Ps.</w:t>
      </w:r>
      <w:r>
        <w:rPr>
          <w:sz w:val="20"/>
          <w:szCs w:val="20"/>
          <w:color w:val="auto"/>
        </w:rPr>
        <w:tab/>
      </w:r>
      <w:r>
        <w:rPr>
          <w:rFonts w:ascii="Courier New" w:cs="Courier New" w:eastAsia="Courier New" w:hAnsi="Courier New"/>
          <w:sz w:val="15"/>
          <w:szCs w:val="15"/>
          <w:color w:val="auto"/>
        </w:rPr>
        <w:t>24</w:t>
      </w:r>
      <w:r>
        <w:rPr>
          <w:sz w:val="20"/>
          <w:szCs w:val="20"/>
          <w:color w:val="auto"/>
        </w:rPr>
        <w:tab/>
      </w:r>
      <w:r>
        <w:rPr>
          <w:rFonts w:ascii="Courier New" w:cs="Courier New" w:eastAsia="Courier New" w:hAnsi="Courier New"/>
          <w:sz w:val="15"/>
          <w:szCs w:val="15"/>
          <w:color w:val="auto"/>
        </w:rPr>
        <w:t>Ps.</w:t>
        <w:tab/>
        <w:t>300</w:t>
      </w:r>
      <w:r>
        <w:rPr>
          <w:sz w:val="20"/>
          <w:szCs w:val="20"/>
          <w:color w:val="auto"/>
        </w:rPr>
        <w:tab/>
      </w:r>
      <w:r>
        <w:rPr>
          <w:rFonts w:ascii="Courier New" w:cs="Courier New" w:eastAsia="Courier New" w:hAnsi="Courier New"/>
          <w:sz w:val="15"/>
          <w:szCs w:val="15"/>
          <w:color w:val="auto"/>
        </w:rPr>
        <w:t>Ps.</w:t>
      </w:r>
      <w:r>
        <w:rPr>
          <w:sz w:val="20"/>
          <w:szCs w:val="20"/>
          <w:color w:val="auto"/>
        </w:rPr>
        <w:tab/>
      </w:r>
      <w:r>
        <w:rPr>
          <w:rFonts w:ascii="Courier New" w:cs="Courier New" w:eastAsia="Courier New" w:hAnsi="Courier New"/>
          <w:sz w:val="14"/>
          <w:szCs w:val="14"/>
          <w:color w:val="auto"/>
        </w:rPr>
        <w:t>324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6" w:lineRule="exact"/>
        <w:rPr>
          <w:sz w:val="20"/>
          <w:szCs w:val="20"/>
          <w:color w:val="auto"/>
        </w:rPr>
      </w:pPr>
    </w:p>
    <w:p>
      <w:pPr>
        <w:ind w:right="3660"/>
        <w:spacing w:after="0" w:line="236" w:lineRule="auto"/>
        <w:rPr>
          <w:sz w:val="20"/>
          <w:szCs w:val="20"/>
          <w:color w:val="auto"/>
        </w:rPr>
      </w:pPr>
      <w:r>
        <w:rPr>
          <w:rFonts w:ascii="Courier New" w:cs="Courier New" w:eastAsia="Courier New" w:hAnsi="Courier New"/>
          <w:sz w:val="15"/>
          <w:szCs w:val="15"/>
          <w:color w:val="auto"/>
        </w:rPr>
        <w:t>At an ordinary stockholder meeting of FEMSA Cerveza held on March 5, 2002, the stockholders approved a dividend of Ps. 481, which was paid in May 2002. The corresponding payment to the minority interest of Ps. 144 is presented as a reduction of minority interest in the statement of changes in stockholders' equity.</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F-25</w:t>
      </w:r>
    </w:p>
    <w:p>
      <w:pPr>
        <w:sectPr>
          <w:pgSz w:w="11900" w:h="16838" w:orient="portrait"/>
          <w:cols w:equalWidth="0" w:num="1">
            <w:col w:w="10500"/>
          </w:cols>
          <w:pgMar w:left="220" w:top="624" w:right="1179" w:bottom="1440" w:gutter="0" w:footer="0" w:header="0"/>
        </w:sectPr>
      </w:pPr>
    </w:p>
    <w:bookmarkStart w:id="188" w:name="page189"/>
    <w:bookmarkEnd w:id="188"/>
    <w:p>
      <w:pPr>
        <w:ind w:right="3580"/>
        <w:spacing w:after="0" w:line="236" w:lineRule="auto"/>
        <w:rPr>
          <w:sz w:val="20"/>
          <w:szCs w:val="20"/>
          <w:color w:val="auto"/>
        </w:rPr>
      </w:pPr>
      <w:r>
        <w:rPr>
          <w:rFonts w:ascii="Courier New" w:cs="Courier New" w:eastAsia="Courier New" w:hAnsi="Courier New"/>
          <w:sz w:val="15"/>
          <w:szCs w:val="15"/>
          <w:color w:val="auto"/>
        </w:rPr>
        <w:t>At an ordinary stockholder meeting of Logistica-CCM held on March 5, 2002, the stockholders approved a dividend of Ps. 52, which was paid in May 2002. The corresponding payment to the minority interest of Ps. 15 is presented as a reduction of minority interest in the statement of changes in stockholders' equity.</w:t>
      </w:r>
    </w:p>
    <w:p>
      <w:pPr>
        <w:spacing w:after="0" w:line="174" w:lineRule="exact"/>
        <w:rPr>
          <w:sz w:val="20"/>
          <w:szCs w:val="20"/>
          <w:color w:val="auto"/>
        </w:rPr>
      </w:pPr>
    </w:p>
    <w:p>
      <w:pPr>
        <w:ind w:right="3420"/>
        <w:spacing w:after="0" w:line="236" w:lineRule="auto"/>
        <w:rPr>
          <w:sz w:val="20"/>
          <w:szCs w:val="20"/>
          <w:color w:val="auto"/>
        </w:rPr>
      </w:pPr>
      <w:r>
        <w:rPr>
          <w:rFonts w:ascii="Courier New" w:cs="Courier New" w:eastAsia="Courier New" w:hAnsi="Courier New"/>
          <w:sz w:val="15"/>
          <w:szCs w:val="15"/>
          <w:color w:val="auto"/>
        </w:rPr>
        <w:t>At an ordinary stockholder meeting of Coca-Cola FEMSA held on March 12, 2002, the stockholders approved a dividend of Ps. 585, which was paid in May 2002. The corresponding payment to the minority interest of Ps. 287 is presented as a reduction of minority interest in the statement of changes in stockholders' equity.</w:t>
      </w:r>
    </w:p>
    <w:p>
      <w:pPr>
        <w:spacing w:after="0" w:line="335"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Note 20.</w:t>
      </w:r>
      <w:r>
        <w:rPr>
          <w:sz w:val="20"/>
          <w:szCs w:val="20"/>
          <w:color w:val="auto"/>
        </w:rPr>
        <w:tab/>
      </w:r>
      <w:r>
        <w:rPr>
          <w:rFonts w:ascii="Courier New" w:cs="Courier New" w:eastAsia="Courier New" w:hAnsi="Courier New"/>
          <w:sz w:val="14"/>
          <w:szCs w:val="14"/>
          <w:color w:val="auto"/>
        </w:rPr>
        <w:t>Net Majority Income per Share.</w:t>
      </w:r>
    </w:p>
    <w:p>
      <w:pPr>
        <w:spacing w:after="0" w:line="173" w:lineRule="exact"/>
        <w:rPr>
          <w:sz w:val="20"/>
          <w:szCs w:val="20"/>
          <w:color w:val="auto"/>
        </w:rPr>
      </w:pPr>
    </w:p>
    <w:p>
      <w:pPr>
        <w:ind w:right="3420"/>
        <w:spacing w:after="0" w:line="256" w:lineRule="auto"/>
        <w:rPr>
          <w:sz w:val="20"/>
          <w:szCs w:val="20"/>
          <w:color w:val="auto"/>
        </w:rPr>
      </w:pPr>
      <w:r>
        <w:rPr>
          <w:rFonts w:ascii="Courier New" w:cs="Courier New" w:eastAsia="Courier New" w:hAnsi="Courier New"/>
          <w:sz w:val="14"/>
          <w:szCs w:val="14"/>
          <w:color w:val="auto"/>
        </w:rPr>
        <w:t>This represents the net majority income corresponding to each share of the Company's capital stock, computed on the basis of the weighted average number of shares outstanding during the year. Additionally, the net income distribution according to the dividend rights of each share series is presented.</w:t>
      </w:r>
    </w:p>
    <w:p>
      <w:pPr>
        <w:spacing w:after="0" w:line="164" w:lineRule="exact"/>
        <w:rPr>
          <w:sz w:val="20"/>
          <w:szCs w:val="20"/>
          <w:color w:val="auto"/>
        </w:rPr>
      </w:pPr>
    </w:p>
    <w:p>
      <w:pPr>
        <w:ind w:right="3680"/>
        <w:spacing w:after="0" w:line="234" w:lineRule="auto"/>
        <w:rPr>
          <w:sz w:val="20"/>
          <w:szCs w:val="20"/>
          <w:color w:val="auto"/>
        </w:rPr>
      </w:pPr>
      <w:r>
        <w:rPr>
          <w:rFonts w:ascii="Courier New" w:cs="Courier New" w:eastAsia="Courier New" w:hAnsi="Courier New"/>
          <w:sz w:val="15"/>
          <w:szCs w:val="15"/>
          <w:color w:val="auto"/>
        </w:rPr>
        <w:t>The following presents the computed weighted average number of shares and the distribution of income per share series:</w:t>
      </w:r>
    </w:p>
    <w:p>
      <w:pPr>
        <w:spacing w:after="0" w:line="200" w:lineRule="exact"/>
        <w:rPr>
          <w:sz w:val="20"/>
          <w:szCs w:val="20"/>
          <w:color w:val="auto"/>
        </w:rPr>
      </w:pPr>
    </w:p>
    <w:p>
      <w:pPr>
        <w:spacing w:after="0" w:line="310" w:lineRule="exact"/>
        <w:rPr>
          <w:sz w:val="20"/>
          <w:szCs w:val="20"/>
          <w:color w:val="auto"/>
        </w:rPr>
      </w:pPr>
    </w:p>
    <w:p>
      <w:pPr>
        <w:ind w:left="180" w:hanging="170"/>
        <w:spacing w:after="0"/>
        <w:tabs>
          <w:tab w:leader="none" w:pos="180"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71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Millions of Shares</w:t>
      </w:r>
    </w:p>
    <w:p>
      <w:pPr>
        <w:ind w:left="5700"/>
        <w:spacing w:after="0" w:line="238" w:lineRule="auto"/>
        <w:rPr>
          <w:sz w:val="20"/>
          <w:szCs w:val="20"/>
          <w:color w:val="auto"/>
        </w:rPr>
      </w:pPr>
      <w:r>
        <w:rPr>
          <w:rFonts w:ascii="Courier New" w:cs="Courier New" w:eastAsia="Courier New" w:hAnsi="Courier New"/>
          <w:sz w:val="15"/>
          <w:szCs w:val="15"/>
          <w:color w:val="auto"/>
        </w:rPr>
        <w:t>----------------------------------------------------</w:t>
      </w:r>
    </w:p>
    <w:p>
      <w:pPr>
        <w:ind w:left="6140"/>
        <w:spacing w:after="0"/>
        <w:tabs>
          <w:tab w:leader="none" w:pos="8820" w:val="left"/>
        </w:tabs>
        <w:rPr>
          <w:sz w:val="20"/>
          <w:szCs w:val="20"/>
          <w:color w:val="auto"/>
        </w:rPr>
      </w:pPr>
      <w:r>
        <w:rPr>
          <w:rFonts w:ascii="Courier New" w:cs="Courier New" w:eastAsia="Courier New" w:hAnsi="Courier New"/>
          <w:sz w:val="15"/>
          <w:szCs w:val="15"/>
          <w:color w:val="auto"/>
        </w:rPr>
        <w:t>Series "B"</w:t>
      </w:r>
      <w:r>
        <w:rPr>
          <w:sz w:val="20"/>
          <w:szCs w:val="20"/>
          <w:color w:val="auto"/>
        </w:rPr>
        <w:tab/>
      </w:r>
      <w:r>
        <w:rPr>
          <w:rFonts w:ascii="Courier New" w:cs="Courier New" w:eastAsia="Courier New" w:hAnsi="Courier New"/>
          <w:sz w:val="14"/>
          <w:szCs w:val="14"/>
          <w:color w:val="auto"/>
        </w:rPr>
        <w:t>Series "D"</w:t>
      </w:r>
    </w:p>
    <w:p>
      <w:pPr>
        <w:ind w:left="5700"/>
        <w:spacing w:after="0" w:line="238" w:lineRule="auto"/>
        <w:tabs>
          <w:tab w:leader="none" w:pos="83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ind w:left="5780"/>
        <w:spacing w:after="0"/>
        <w:tabs>
          <w:tab w:leader="none" w:pos="6820" w:val="left"/>
          <w:tab w:leader="none" w:pos="8380" w:val="left"/>
          <w:tab w:leader="none" w:pos="9440" w:val="left"/>
        </w:tabs>
        <w:rPr>
          <w:sz w:val="20"/>
          <w:szCs w:val="20"/>
          <w:color w:val="auto"/>
        </w:rPr>
      </w:pP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Weighted</w:t>
      </w:r>
      <w:r>
        <w:rPr>
          <w:sz w:val="20"/>
          <w:szCs w:val="20"/>
          <w:color w:val="auto"/>
        </w:rPr>
        <w:tab/>
      </w: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4"/>
          <w:szCs w:val="14"/>
          <w:color w:val="auto"/>
        </w:rPr>
        <w:t>Weighted</w:t>
      </w:r>
    </w:p>
    <w:p>
      <w:pPr>
        <w:ind w:left="6920"/>
        <w:spacing w:after="0" w:line="238" w:lineRule="auto"/>
        <w:tabs>
          <w:tab w:leader="none" w:pos="9520" w:val="left"/>
        </w:tabs>
        <w:rPr>
          <w:sz w:val="20"/>
          <w:szCs w:val="20"/>
          <w:color w:val="auto"/>
        </w:rPr>
      </w:pPr>
      <w:r>
        <w:rPr>
          <w:rFonts w:ascii="Courier New" w:cs="Courier New" w:eastAsia="Courier New" w:hAnsi="Courier New"/>
          <w:sz w:val="15"/>
          <w:szCs w:val="15"/>
          <w:color w:val="auto"/>
        </w:rPr>
        <w:t>Average</w:t>
      </w:r>
      <w:r>
        <w:rPr>
          <w:sz w:val="20"/>
          <w:szCs w:val="20"/>
          <w:color w:val="auto"/>
        </w:rPr>
        <w:tab/>
      </w:r>
      <w:r>
        <w:rPr>
          <w:rFonts w:ascii="Courier New" w:cs="Courier New" w:eastAsia="Courier New" w:hAnsi="Courier New"/>
          <w:sz w:val="15"/>
          <w:szCs w:val="15"/>
          <w:color w:val="auto"/>
        </w:rPr>
        <w:t>Average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100" w:type="dxa"/>
        <w:tblCellMar>
          <w:top w:w="0" w:type="dxa"/>
          <w:left w:w="0" w:type="dxa"/>
          <w:bottom w:w="0" w:type="dxa"/>
          <w:right w:w="0" w:type="dxa"/>
        </w:tblCellMar>
      </w:tblPr>
      <w:tr>
        <w:trPr>
          <w:trHeight w:val="170"/>
        </w:trPr>
        <w:tc>
          <w:tcPr>
            <w:tcW w:w="3680" w:type="dxa"/>
            <w:vAlign w:val="bottom"/>
          </w:tcPr>
          <w:p>
            <w:pPr>
              <w:spacing w:after="0"/>
              <w:rPr>
                <w:sz w:val="20"/>
                <w:szCs w:val="20"/>
                <w:color w:val="auto"/>
              </w:rPr>
            </w:pPr>
            <w:r>
              <w:rPr>
                <w:rFonts w:ascii="Courier New" w:cs="Courier New" w:eastAsia="Courier New" w:hAnsi="Courier New"/>
                <w:sz w:val="15"/>
                <w:szCs w:val="15"/>
                <w:color w:val="auto"/>
              </w:rPr>
              <w:t>At December 31, 2000</w:t>
            </w:r>
          </w:p>
        </w:tc>
        <w:tc>
          <w:tcPr>
            <w:tcW w:w="2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2,739.80</w:t>
            </w:r>
          </w:p>
        </w:tc>
        <w:tc>
          <w:tcPr>
            <w:tcW w:w="13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2,745.80</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2,567.80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2,591.80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w w:val="96"/>
              </w:rPr>
              <w:t>From January 1</w:t>
            </w:r>
          </w:p>
        </w:tc>
        <w:tc>
          <w:tcPr>
            <w:tcW w:w="3460" w:type="dxa"/>
            <w:vAlign w:val="bottom"/>
          </w:tcPr>
          <w:p>
            <w:pPr>
              <w:ind w:left="40"/>
              <w:spacing w:after="0"/>
              <w:rPr>
                <w:sz w:val="20"/>
                <w:szCs w:val="20"/>
                <w:color w:val="auto"/>
              </w:rPr>
            </w:pPr>
            <w:r>
              <w:rPr>
                <w:rFonts w:ascii="Courier New" w:cs="Courier New" w:eastAsia="Courier New" w:hAnsi="Courier New"/>
                <w:sz w:val="15"/>
                <w:szCs w:val="15"/>
                <w:color w:val="auto"/>
              </w:rPr>
              <w:t>to December 31, 2001</w:t>
            </w:r>
          </w:p>
        </w:tc>
        <w:tc>
          <w:tcPr>
            <w:tcW w:w="1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2,739.80</w:t>
            </w:r>
          </w:p>
        </w:tc>
        <w:tc>
          <w:tcPr>
            <w:tcW w:w="13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2,739.80</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2,567.80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2,567.80</w:t>
            </w:r>
          </w:p>
        </w:tc>
      </w:tr>
      <w:tr>
        <w:trPr>
          <w:trHeight w:val="168"/>
        </w:trPr>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Repurchases of</w:t>
            </w:r>
          </w:p>
        </w:tc>
        <w:tc>
          <w:tcPr>
            <w:tcW w:w="3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the Company's shares between</w:t>
            </w:r>
          </w:p>
        </w:tc>
        <w:tc>
          <w:tcPr>
            <w:tcW w:w="18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January 4 and</w:t>
            </w:r>
          </w:p>
        </w:tc>
        <w:tc>
          <w:tcPr>
            <w:tcW w:w="3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January 16, 2001</w:t>
            </w:r>
          </w:p>
        </w:tc>
        <w:tc>
          <w:tcPr>
            <w:tcW w:w="1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(2.0)</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(8.2)</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100" w:type="dxa"/>
        <w:tblCellMar>
          <w:top w:w="0" w:type="dxa"/>
          <w:left w:w="0" w:type="dxa"/>
          <w:bottom w:w="0" w:type="dxa"/>
          <w:right w:w="0" w:type="dxa"/>
        </w:tblCellMar>
      </w:tblPr>
      <w:tr>
        <w:trPr>
          <w:trHeight w:val="170"/>
        </w:trPr>
        <w:tc>
          <w:tcPr>
            <w:tcW w:w="3680" w:type="dxa"/>
            <w:vAlign w:val="bottom"/>
          </w:tcPr>
          <w:p>
            <w:pPr>
              <w:spacing w:after="0"/>
              <w:rPr>
                <w:sz w:val="20"/>
                <w:szCs w:val="20"/>
                <w:color w:val="auto"/>
              </w:rPr>
            </w:pPr>
            <w:r>
              <w:rPr>
                <w:rFonts w:ascii="Courier New" w:cs="Courier New" w:eastAsia="Courier New" w:hAnsi="Courier New"/>
                <w:sz w:val="15"/>
                <w:szCs w:val="15"/>
                <w:color w:val="auto"/>
              </w:rPr>
              <w:t>At December 31, 2002</w:t>
            </w:r>
          </w:p>
        </w:tc>
        <w:tc>
          <w:tcPr>
            <w:tcW w:w="2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2,737.70</w:t>
            </w:r>
          </w:p>
        </w:tc>
        <w:tc>
          <w:tcPr>
            <w:tcW w:w="13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2,737.70</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2,559.60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2,559.60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40" w:type="dxa"/>
            <w:vAlign w:val="bottom"/>
          </w:tcPr>
          <w:p>
            <w:pPr>
              <w:spacing w:after="0"/>
              <w:rPr>
                <w:sz w:val="20"/>
                <w:szCs w:val="20"/>
                <w:color w:val="auto"/>
              </w:rPr>
            </w:pPr>
            <w:r>
              <w:rPr>
                <w:rFonts w:ascii="Courier New" w:cs="Courier New" w:eastAsia="Courier New" w:hAnsi="Courier New"/>
                <w:sz w:val="15"/>
                <w:szCs w:val="15"/>
                <w:color w:val="auto"/>
              </w:rPr>
              <w:t>Dividend rights</w:t>
            </w:r>
          </w:p>
        </w:tc>
        <w:tc>
          <w:tcPr>
            <w:tcW w:w="3500" w:type="dxa"/>
            <w:vAlign w:val="bottom"/>
          </w:tcPr>
          <w:p>
            <w:pPr>
              <w:jc w:val="right"/>
              <w:ind w:right="967"/>
              <w:spacing w:after="0"/>
              <w:rPr>
                <w:sz w:val="20"/>
                <w:szCs w:val="20"/>
                <w:color w:val="auto"/>
              </w:rPr>
            </w:pPr>
            <w:r>
              <w:rPr>
                <w:rFonts w:ascii="Courier New" w:cs="Courier New" w:eastAsia="Courier New" w:hAnsi="Courier New"/>
                <w:sz w:val="15"/>
                <w:szCs w:val="15"/>
                <w:color w:val="auto"/>
              </w:rPr>
              <w:t>1.00</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1.25</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Allocation of earnings:</w:t>
            </w:r>
          </w:p>
        </w:tc>
        <w:tc>
          <w:tcPr>
            <w:tcW w:w="350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8"/>
        </w:trPr>
        <w:tc>
          <w:tcPr>
            <w:tcW w:w="3940" w:type="dxa"/>
            <w:vAlign w:val="bottom"/>
          </w:tcPr>
          <w:p>
            <w:pPr>
              <w:jc w:val="right"/>
              <w:ind w:right="3327"/>
              <w:spacing w:after="0" w:line="168" w:lineRule="exact"/>
              <w:rPr>
                <w:sz w:val="20"/>
                <w:szCs w:val="20"/>
                <w:color w:val="auto"/>
              </w:rPr>
            </w:pPr>
            <w:r>
              <w:rPr>
                <w:rFonts w:ascii="Courier New" w:cs="Courier New" w:eastAsia="Courier New" w:hAnsi="Courier New"/>
                <w:sz w:val="15"/>
                <w:szCs w:val="15"/>
                <w:color w:val="auto"/>
              </w:rPr>
              <w:t>2000</w:t>
            </w:r>
          </w:p>
        </w:tc>
        <w:tc>
          <w:tcPr>
            <w:tcW w:w="350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45.85%</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54.15%</w:t>
            </w:r>
          </w:p>
        </w:tc>
      </w:tr>
      <w:tr>
        <w:trPr>
          <w:trHeight w:val="168"/>
        </w:trPr>
        <w:tc>
          <w:tcPr>
            <w:tcW w:w="39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2001 and 2002</w:t>
            </w:r>
          </w:p>
        </w:tc>
        <w:tc>
          <w:tcPr>
            <w:tcW w:w="350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46.11%</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53.89%</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0"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Note 21.</w:t>
      </w:r>
      <w:r>
        <w:rPr>
          <w:sz w:val="20"/>
          <w:szCs w:val="20"/>
          <w:color w:val="auto"/>
        </w:rPr>
        <w:tab/>
      </w:r>
      <w:r>
        <w:rPr>
          <w:rFonts w:ascii="Courier New" w:cs="Courier New" w:eastAsia="Courier New" w:hAnsi="Courier New"/>
          <w:sz w:val="14"/>
          <w:szCs w:val="14"/>
          <w:color w:val="auto"/>
        </w:rPr>
        <w:t>Tax System.</w:t>
      </w:r>
    </w:p>
    <w:p>
      <w:pPr>
        <w:spacing w:after="0" w:line="166" w:lineRule="exact"/>
        <w:rPr>
          <w:sz w:val="20"/>
          <w:szCs w:val="20"/>
          <w:color w:val="auto"/>
        </w:rPr>
      </w:pPr>
    </w:p>
    <w:p>
      <w:pPr>
        <w:ind w:left="440" w:hanging="430"/>
        <w:spacing w:after="0"/>
        <w:tabs>
          <w:tab w:leader="none" w:pos="440"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w:t>
      </w:r>
    </w:p>
    <w:p>
      <w:pPr>
        <w:spacing w:after="0" w:line="172" w:lineRule="exact"/>
        <w:rPr>
          <w:rFonts w:ascii="Courier New" w:cs="Courier New" w:eastAsia="Courier New" w:hAnsi="Courier New"/>
          <w:sz w:val="15"/>
          <w:szCs w:val="15"/>
          <w:color w:val="auto"/>
        </w:rPr>
      </w:pPr>
    </w:p>
    <w:p>
      <w:pPr>
        <w:ind w:left="440" w:right="3420"/>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Mexican income tax is computed on taxable income, which differs from accounting income principally due to the difference between purchases and cost of sales, the treatment of the integral result of financing, the cost of labor liabilities and depreciation. Taxable income is increased or reduced by the effects of inflation on certain monetary assets and liabilities through the tax inflationary component, which is similar to the gain or loss on monetary position.</w:t>
      </w:r>
    </w:p>
    <w:p>
      <w:pPr>
        <w:spacing w:after="0" w:line="175" w:lineRule="exact"/>
        <w:rPr>
          <w:rFonts w:ascii="Courier New" w:cs="Courier New" w:eastAsia="Courier New" w:hAnsi="Courier New"/>
          <w:sz w:val="15"/>
          <w:szCs w:val="15"/>
          <w:color w:val="auto"/>
        </w:rPr>
      </w:pPr>
    </w:p>
    <w:p>
      <w:pPr>
        <w:ind w:left="440" w:right="3500"/>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statutory income tax rate from 2000 through 2002 is 35%. Beginning 2003, the rate will be reduced one percentage point per year through 2005, when the rate will be 32%.</w:t>
      </w:r>
    </w:p>
    <w:p>
      <w:pPr>
        <w:spacing w:after="0" w:line="174" w:lineRule="exact"/>
        <w:rPr>
          <w:sz w:val="20"/>
          <w:szCs w:val="20"/>
          <w:color w:val="auto"/>
        </w:rPr>
      </w:pPr>
    </w:p>
    <w:p>
      <w:pPr>
        <w:jc w:val="both"/>
        <w:ind w:left="440" w:right="3500"/>
        <w:spacing w:after="0" w:line="235" w:lineRule="auto"/>
        <w:rPr>
          <w:sz w:val="20"/>
          <w:szCs w:val="20"/>
          <w:color w:val="auto"/>
        </w:rPr>
      </w:pPr>
      <w:r>
        <w:rPr>
          <w:rFonts w:ascii="Courier New" w:cs="Courier New" w:eastAsia="Courier New" w:hAnsi="Courier New"/>
          <w:sz w:val="15"/>
          <w:szCs w:val="15"/>
          <w:color w:val="auto"/>
        </w:rPr>
        <w:t>The taxable income of Argentina differs from accounting income principally due to differences in depreciation and provisions. The Argentine statutory income tax rate is 35%.</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F-26</w:t>
      </w:r>
    </w:p>
    <w:p>
      <w:pPr>
        <w:sectPr>
          <w:pgSz w:w="11900" w:h="16838" w:orient="portrait"/>
          <w:cols w:equalWidth="0" w:num="1">
            <w:col w:w="10420"/>
          </w:cols>
          <w:pgMar w:left="220" w:top="624" w:right="1259" w:bottom="1440" w:gutter="0" w:footer="0" w:header="0"/>
        </w:sectPr>
      </w:pPr>
    </w:p>
    <w:bookmarkStart w:id="189" w:name="page190"/>
    <w:bookmarkEnd w:id="189"/>
    <w:p>
      <w:pPr>
        <w:ind w:left="440" w:hanging="430"/>
        <w:spacing w:after="0"/>
        <w:tabs>
          <w:tab w:leader="none" w:pos="44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on Assets:</w:t>
      </w:r>
    </w:p>
    <w:p>
      <w:pPr>
        <w:spacing w:after="0" w:line="172" w:lineRule="exact"/>
        <w:rPr>
          <w:rFonts w:ascii="Courier New" w:cs="Courier New" w:eastAsia="Courier New" w:hAnsi="Courier New"/>
          <w:sz w:val="15"/>
          <w:szCs w:val="15"/>
          <w:color w:val="auto"/>
        </w:rPr>
      </w:pPr>
    </w:p>
    <w:p>
      <w:pPr>
        <w:ind w:left="44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Mexican tax on assets is computed at an annual rate of 1.8% based on the average of certain assets at tax restated value less certain liabilities. The tax on assets is paid only to the extent that it exceeds the income tax of the year. If in any year a tax on assets payment is required, this amount can be credited against the excess of income taxes over the tax on assets in each of the preceding three years. Additionally, this payment may be restated and credited against the excess of income taxes over asset taxes for the following 10 years.</w:t>
      </w:r>
    </w:p>
    <w:p>
      <w:pPr>
        <w:spacing w:after="0" w:line="177" w:lineRule="exact"/>
        <w:rPr>
          <w:rFonts w:ascii="Courier New" w:cs="Courier New" w:eastAsia="Courier New" w:hAnsi="Courier New"/>
          <w:sz w:val="15"/>
          <w:szCs w:val="15"/>
          <w:color w:val="auto"/>
        </w:rPr>
      </w:pPr>
    </w:p>
    <w:p>
      <w:pPr>
        <w:ind w:left="44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tax laws in Argentina established a Tax on Minimum Presumptive Income ("TMPI"), which, similar to the Mexican tax on assets, is paid only to the extent that it exceeds the income taxes of the year. Any required payment of TMPI is recoverable to the extent that the income taxes exceed the TMPI of the following four years.</w:t>
      </w:r>
    </w:p>
    <w:p>
      <w:pPr>
        <w:spacing w:after="0" w:line="167"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Profit Sharing:</w:t>
      </w:r>
    </w:p>
    <w:p>
      <w:pPr>
        <w:spacing w:after="0" w:line="172" w:lineRule="exact"/>
        <w:rPr>
          <w:rFonts w:ascii="Courier New" w:cs="Courier New" w:eastAsia="Courier New" w:hAnsi="Courier New"/>
          <w:sz w:val="15"/>
          <w:szCs w:val="15"/>
          <w:color w:val="auto"/>
        </w:rPr>
      </w:pPr>
    </w:p>
    <w:p>
      <w:pPr>
        <w:ind w:left="440" w:right="339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profit sharing is computed at the rate of 10% of the individual taxable income of each of the Mexican subsidiaries, except that depreciation of historical rather than restated values is used, foreign exchange gains and losses are not included until the asset is disposed of or the liability is due, and the other effects of inflation are also excluded.</w:t>
      </w:r>
    </w:p>
    <w:p>
      <w:pPr>
        <w:spacing w:after="0" w:line="174" w:lineRule="exact"/>
        <w:rPr>
          <w:rFonts w:ascii="Courier New" w:cs="Courier New" w:eastAsia="Courier New" w:hAnsi="Courier New"/>
          <w:sz w:val="15"/>
          <w:szCs w:val="15"/>
          <w:color w:val="auto"/>
        </w:rPr>
      </w:pPr>
    </w:p>
    <w:p>
      <w:pPr>
        <w:ind w:left="440" w:right="339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present tax law in Argentina does not consider any statutory employee profit sharing.</w:t>
      </w:r>
    </w:p>
    <w:p>
      <w:pPr>
        <w:spacing w:after="0" w:line="166"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Deferred Income Taxes and Employee Profit Sharing:</w:t>
      </w:r>
    </w:p>
    <w:p>
      <w:pPr>
        <w:spacing w:after="0" w:line="172" w:lineRule="exact"/>
        <w:rPr>
          <w:rFonts w:ascii="Courier New" w:cs="Courier New" w:eastAsia="Courier New" w:hAnsi="Courier New"/>
          <w:sz w:val="15"/>
          <w:szCs w:val="15"/>
          <w:color w:val="auto"/>
        </w:rPr>
      </w:pPr>
    </w:p>
    <w:p>
      <w:pPr>
        <w:ind w:left="440" w:right="331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Beginning 2000, revised Bulletin D-4 requires that deferred tax assets and liabilities be recorded for all temporary differences between the accounting and tax bases of assets and liabilities.</w:t>
      </w:r>
    </w:p>
    <w:p>
      <w:pPr>
        <w:spacing w:after="0" w:line="173" w:lineRule="exact"/>
        <w:rPr>
          <w:rFonts w:ascii="Courier New" w:cs="Courier New" w:eastAsia="Courier New" w:hAnsi="Courier New"/>
          <w:sz w:val="15"/>
          <w:szCs w:val="15"/>
          <w:color w:val="auto"/>
        </w:rPr>
      </w:pPr>
    </w:p>
    <w:p>
      <w:pPr>
        <w:ind w:left="44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initial effect of the application of this bulletin generated a deferred tax liability of Ps. 4,528 and a reduction of Ps. 3,280 and Ps. 1,248 in majority and minority stockholders' equity, respectively.</w:t>
      </w:r>
    </w:p>
    <w:p>
      <w:pPr>
        <w:spacing w:after="0" w:line="174" w:lineRule="exact"/>
        <w:rPr>
          <w:sz w:val="20"/>
          <w:szCs w:val="20"/>
          <w:color w:val="auto"/>
        </w:rPr>
      </w:pPr>
    </w:p>
    <w:p>
      <w:pPr>
        <w:ind w:left="440" w:right="3499"/>
        <w:spacing w:after="0" w:line="234" w:lineRule="auto"/>
        <w:rPr>
          <w:sz w:val="20"/>
          <w:szCs w:val="20"/>
          <w:color w:val="auto"/>
        </w:rPr>
      </w:pPr>
      <w:r>
        <w:rPr>
          <w:rFonts w:ascii="Courier New" w:cs="Courier New" w:eastAsia="Courier New" w:hAnsi="Courier New"/>
          <w:sz w:val="15"/>
          <w:szCs w:val="15"/>
          <w:color w:val="auto"/>
        </w:rPr>
        <w:t>The temporary differences that generated deferred income tax liabilities (assets) are as follows: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2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2002</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2001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Allowance for doubtful accounts</w:t>
            </w:r>
          </w:p>
        </w:tc>
        <w:tc>
          <w:tcPr>
            <w:tcW w:w="2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Ps.   (95)</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Ps.   (79)</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Inventories</w:t>
            </w:r>
          </w:p>
        </w:tc>
        <w:tc>
          <w:tcPr>
            <w:tcW w:w="2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1,448</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1,446</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Prepaid expenses</w:t>
            </w:r>
          </w:p>
        </w:tc>
        <w:tc>
          <w:tcPr>
            <w:tcW w:w="2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55</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Property, plant and equipment</w:t>
            </w:r>
          </w:p>
        </w:tc>
        <w:tc>
          <w:tcPr>
            <w:tcW w:w="2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3,404</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3,058</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Investments in shares</w:t>
            </w:r>
          </w:p>
        </w:tc>
        <w:tc>
          <w:tcPr>
            <w:tcW w:w="2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charges</w:t>
            </w:r>
          </w:p>
        </w:tc>
        <w:tc>
          <w:tcPr>
            <w:tcW w:w="2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(125)</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Pension plan</w:t>
            </w:r>
          </w:p>
        </w:tc>
        <w:tc>
          <w:tcPr>
            <w:tcW w:w="2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(199)</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(186)</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Seniority premiums</w:t>
            </w:r>
          </w:p>
        </w:tc>
        <w:tc>
          <w:tcPr>
            <w:tcW w:w="2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Medical services</w:t>
            </w:r>
          </w:p>
        </w:tc>
        <w:tc>
          <w:tcPr>
            <w:tcW w:w="2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(36)</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Recoverable tax on asset</w:t>
            </w:r>
          </w:p>
        </w:tc>
        <w:tc>
          <w:tcPr>
            <w:tcW w:w="2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(78)</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Tax loss carryforwards</w:t>
            </w:r>
          </w:p>
        </w:tc>
        <w:tc>
          <w:tcPr>
            <w:tcW w:w="2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(114)</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reserves</w:t>
            </w:r>
          </w:p>
        </w:tc>
        <w:tc>
          <w:tcPr>
            <w:tcW w:w="2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(248)</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5000"/>
        <w:spacing w:after="0"/>
        <w:tabs>
          <w:tab w:leader="none" w:pos="6120" w:val="left"/>
        </w:tabs>
        <w:rPr>
          <w:sz w:val="20"/>
          <w:szCs w:val="20"/>
          <w:color w:val="auto"/>
        </w:rPr>
      </w:pPr>
      <w:r>
        <w:rPr>
          <w:rFonts w:ascii="Courier New" w:cs="Courier New" w:eastAsia="Courier New" w:hAnsi="Courier New"/>
          <w:sz w:val="15"/>
          <w:szCs w:val="15"/>
          <w:color w:val="auto"/>
        </w:rPr>
        <w:t>Ps. 3,987</w:t>
      </w:r>
      <w:r>
        <w:rPr>
          <w:sz w:val="20"/>
          <w:szCs w:val="20"/>
          <w:color w:val="auto"/>
        </w:rPr>
        <w:tab/>
      </w:r>
      <w:r>
        <w:rPr>
          <w:rFonts w:ascii="Courier New" w:cs="Courier New" w:eastAsia="Courier New" w:hAnsi="Courier New"/>
          <w:sz w:val="14"/>
          <w:szCs w:val="14"/>
          <w:color w:val="auto"/>
        </w:rPr>
        <w:t>Ps. 3,943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8" w:lineRule="exact"/>
        <w:rPr>
          <w:sz w:val="20"/>
          <w:szCs w:val="20"/>
          <w:color w:val="auto"/>
        </w:rPr>
      </w:pPr>
    </w:p>
    <w:p>
      <w:pPr>
        <w:ind w:left="440" w:right="3239"/>
        <w:spacing w:after="0" w:line="235" w:lineRule="auto"/>
        <w:rPr>
          <w:sz w:val="20"/>
          <w:szCs w:val="20"/>
          <w:color w:val="auto"/>
        </w:rPr>
      </w:pPr>
      <w:r>
        <w:rPr>
          <w:rFonts w:ascii="Courier New" w:cs="Courier New" w:eastAsia="Courier New" w:hAnsi="Courier New"/>
          <w:sz w:val="15"/>
          <w:szCs w:val="15"/>
          <w:color w:val="auto"/>
        </w:rPr>
        <w:t>As mentioned in clause a) above, the statutory rate will be reduced from 35% to 32%, resulting in a reduction of the balance of deferred taxes as of December 31, 2002 and 2001, based on the expected dates of reversal of the temporary differences.</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F-27</w:t>
      </w:r>
    </w:p>
    <w:p>
      <w:pPr>
        <w:sectPr>
          <w:pgSz w:w="11900" w:h="16838" w:orient="portrait"/>
          <w:cols w:equalWidth="0" w:num="1">
            <w:col w:w="10239"/>
          </w:cols>
          <w:pgMar w:left="220" w:top="786" w:right="1440" w:bottom="1440" w:gutter="0" w:footer="0" w:header="0"/>
        </w:sectPr>
      </w:pPr>
    </w:p>
    <w:bookmarkStart w:id="190" w:name="page191"/>
    <w:bookmarkEnd w:id="190"/>
    <w:p>
      <w:pPr>
        <w:ind w:left="440" w:right="3239"/>
        <w:spacing w:after="0" w:line="234" w:lineRule="auto"/>
        <w:rPr>
          <w:sz w:val="20"/>
          <w:szCs w:val="20"/>
          <w:color w:val="auto"/>
        </w:rPr>
      </w:pPr>
      <w:r>
        <w:rPr>
          <w:rFonts w:ascii="Courier New" w:cs="Courier New" w:eastAsia="Courier New" w:hAnsi="Courier New"/>
          <w:sz w:val="15"/>
          <w:szCs w:val="15"/>
          <w:color w:val="auto"/>
        </w:rPr>
        <w:t>The changes in the balance of the deferred income taxes for the year are as follows: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5440"/>
        <w:spacing w:after="0"/>
        <w:tabs>
          <w:tab w:leader="none" w:pos="6540" w:val="left"/>
        </w:tabs>
        <w:rPr>
          <w:sz w:val="20"/>
          <w:szCs w:val="20"/>
          <w:color w:val="auto"/>
        </w:rPr>
      </w:pPr>
      <w:r>
        <w:rPr>
          <w:rFonts w:ascii="Courier New" w:cs="Courier New" w:eastAsia="Courier New" w:hAnsi="Courier New"/>
          <w:sz w:val="15"/>
          <w:szCs w:val="15"/>
          <w:color w:val="auto"/>
        </w:rPr>
        <w:t>2002</w:t>
      </w:r>
      <w:r>
        <w:rPr>
          <w:sz w:val="20"/>
          <w:szCs w:val="20"/>
          <w:color w:val="auto"/>
        </w:rPr>
        <w:tab/>
      </w:r>
      <w:r>
        <w:rPr>
          <w:rFonts w:ascii="Courier New" w:cs="Courier New" w:eastAsia="Courier New" w:hAnsi="Courier New"/>
          <w:sz w:val="15"/>
          <w:szCs w:val="15"/>
          <w:color w:val="auto"/>
        </w:rPr>
        <w:t>2001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00" w:type="dxa"/>
            <w:vAlign w:val="bottom"/>
            <w:gridSpan w:val="3"/>
          </w:tcPr>
          <w:p>
            <w:pPr>
              <w:spacing w:after="0"/>
              <w:rPr>
                <w:sz w:val="20"/>
                <w:szCs w:val="20"/>
                <w:color w:val="auto"/>
              </w:rPr>
            </w:pPr>
            <w:r>
              <w:rPr>
                <w:rFonts w:ascii="Courier New" w:cs="Courier New" w:eastAsia="Courier New" w:hAnsi="Courier New"/>
                <w:sz w:val="15"/>
                <w:szCs w:val="15"/>
                <w:color w:val="auto"/>
              </w:rPr>
              <w:t>Balance at beginning of the year</w:t>
            </w:r>
          </w:p>
        </w:tc>
        <w:tc>
          <w:tcPr>
            <w:tcW w:w="1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Ps. 3,943</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Ps. 4,263</w:t>
            </w:r>
          </w:p>
        </w:tc>
      </w:tr>
      <w:tr>
        <w:trPr>
          <w:trHeight w:val="168"/>
        </w:trPr>
        <w:tc>
          <w:tcPr>
            <w:tcW w:w="42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Gain on monetary position</w:t>
            </w:r>
          </w:p>
        </w:tc>
        <w:tc>
          <w:tcPr>
            <w:tcW w:w="1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Provision</w:t>
            </w:r>
          </w:p>
        </w:tc>
        <w:tc>
          <w:tcPr>
            <w:tcW w:w="3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for the year</w:t>
            </w:r>
          </w:p>
        </w:tc>
        <w:tc>
          <w:tcPr>
            <w:tcW w:w="1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147</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140</w:t>
            </w:r>
          </w:p>
        </w:tc>
      </w:t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Change</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w:t>
            </w:r>
          </w:p>
        </w:tc>
        <w:tc>
          <w:tcPr>
            <w:tcW w:w="3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the statutory income tax rate</w:t>
            </w:r>
          </w:p>
        </w:tc>
        <w:tc>
          <w:tcPr>
            <w:tcW w:w="1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(132)</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(252)</w:t>
            </w:r>
          </w:p>
        </w:tc>
      </w:t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Result</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w:t>
            </w:r>
          </w:p>
        </w:tc>
        <w:tc>
          <w:tcPr>
            <w:tcW w:w="3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holding non-monetary assets</w:t>
            </w:r>
          </w:p>
        </w:tc>
        <w:tc>
          <w:tcPr>
            <w:tcW w:w="1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rPr>
              <w:t>Balance at end of the year</w:t>
            </w:r>
          </w:p>
        </w:tc>
        <w:tc>
          <w:tcPr>
            <w:tcW w:w="2320" w:type="dxa"/>
            <w:vAlign w:val="bottom"/>
          </w:tcPr>
          <w:p>
            <w:pPr>
              <w:ind w:left="1360"/>
              <w:spacing w:after="0"/>
              <w:rPr>
                <w:sz w:val="20"/>
                <w:szCs w:val="20"/>
                <w:color w:val="auto"/>
              </w:rPr>
            </w:pPr>
            <w:r>
              <w:rPr>
                <w:rFonts w:ascii="Courier New" w:cs="Courier New" w:eastAsia="Courier New" w:hAnsi="Courier New"/>
                <w:sz w:val="15"/>
                <w:szCs w:val="15"/>
                <w:color w:val="auto"/>
              </w:rPr>
              <w:t>Ps. 3,987</w:t>
            </w:r>
          </w:p>
        </w:tc>
        <w:tc>
          <w:tcPr>
            <w:tcW w:w="960" w:type="dxa"/>
            <w:vAlign w:val="bottom"/>
          </w:tcPr>
          <w:p>
            <w:pPr>
              <w:ind w:left="180"/>
              <w:spacing w:after="0"/>
              <w:rPr>
                <w:sz w:val="20"/>
                <w:szCs w:val="20"/>
                <w:color w:val="auto"/>
              </w:rPr>
            </w:pPr>
            <w:r>
              <w:rPr>
                <w:rFonts w:ascii="Courier New" w:cs="Courier New" w:eastAsia="Courier New" w:hAnsi="Courier New"/>
                <w:sz w:val="15"/>
                <w:szCs w:val="15"/>
                <w:color w:val="auto"/>
                <w:w w:val="93"/>
              </w:rPr>
              <w:t>Ps. 3,943</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8" w:lineRule="exact"/>
        <w:rPr>
          <w:sz w:val="20"/>
          <w:szCs w:val="20"/>
          <w:color w:val="auto"/>
        </w:rPr>
      </w:pPr>
    </w:p>
    <w:p>
      <w:pPr>
        <w:ind w:left="440" w:right="3399"/>
        <w:spacing w:after="0" w:line="235" w:lineRule="auto"/>
        <w:rPr>
          <w:sz w:val="20"/>
          <w:szCs w:val="20"/>
          <w:color w:val="auto"/>
        </w:rPr>
      </w:pPr>
      <w:r>
        <w:rPr>
          <w:rFonts w:ascii="Courier New" w:cs="Courier New" w:eastAsia="Courier New" w:hAnsi="Courier New"/>
          <w:sz w:val="15"/>
          <w:szCs w:val="15"/>
          <w:color w:val="auto"/>
        </w:rPr>
        <w:t>At December 31, 2002, there are temporary differences between the accounting income for the year and the bases for employee profit sharing, therefore the Company considered a provision for deferred employee profit sharing of Ps. 8.</w:t>
      </w:r>
    </w:p>
    <w:p>
      <w:pPr>
        <w:spacing w:after="0" w:line="169" w:lineRule="exact"/>
        <w:rPr>
          <w:sz w:val="20"/>
          <w:szCs w:val="20"/>
          <w:color w:val="auto"/>
        </w:rPr>
      </w:pPr>
    </w:p>
    <w:p>
      <w:pPr>
        <w:ind w:left="440" w:hanging="430"/>
        <w:spacing w:after="0"/>
        <w:tabs>
          <w:tab w:leader="none" w:pos="440"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 Tax on Asset and Employee Profit Sharing Provisions: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4300"/>
        <w:spacing w:after="0"/>
        <w:tabs>
          <w:tab w:leader="none" w:pos="5420" w:val="left"/>
          <w:tab w:leader="none" w:pos="6540" w:val="left"/>
        </w:tabs>
        <w:rPr>
          <w:sz w:val="20"/>
          <w:szCs w:val="20"/>
          <w:color w:val="auto"/>
        </w:rPr>
      </w:pPr>
      <w:r>
        <w:rPr>
          <w:rFonts w:ascii="Courier New" w:cs="Courier New" w:eastAsia="Courier New" w:hAnsi="Courier New"/>
          <w:sz w:val="15"/>
          <w:szCs w:val="15"/>
          <w:color w:val="auto"/>
        </w:rPr>
        <w:t>2002</w:t>
      </w:r>
      <w:r>
        <w:rPr>
          <w:sz w:val="20"/>
          <w:szCs w:val="20"/>
          <w:color w:val="auto"/>
        </w:rPr>
        <w:tab/>
      </w:r>
      <w:r>
        <w:rPr>
          <w:rFonts w:ascii="Courier New" w:cs="Courier New" w:eastAsia="Courier New" w:hAnsi="Courier New"/>
          <w:sz w:val="15"/>
          <w:szCs w:val="15"/>
          <w:color w:val="auto"/>
        </w:rPr>
        <w:t>2001</w:t>
      </w:r>
      <w:r>
        <w:rPr>
          <w:sz w:val="20"/>
          <w:szCs w:val="20"/>
          <w:color w:val="auto"/>
        </w:rPr>
        <w:tab/>
      </w:r>
      <w:r>
        <w:rPr>
          <w:rFonts w:ascii="Courier New" w:cs="Courier New" w:eastAsia="Courier New" w:hAnsi="Courier New"/>
          <w:sz w:val="15"/>
          <w:szCs w:val="15"/>
          <w:color w:val="auto"/>
        </w:rPr>
        <w:t>2000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40" w:type="dxa"/>
            <w:vAlign w:val="bottom"/>
            <w:gridSpan w:val="2"/>
          </w:tcPr>
          <w:p>
            <w:pPr>
              <w:spacing w:after="0"/>
              <w:rPr>
                <w:sz w:val="20"/>
                <w:szCs w:val="20"/>
                <w:color w:val="auto"/>
              </w:rPr>
            </w:pPr>
            <w:r>
              <w:rPr>
                <w:rFonts w:ascii="Courier New" w:cs="Courier New" w:eastAsia="Courier New" w:hAnsi="Courier New"/>
                <w:sz w:val="15"/>
                <w:szCs w:val="15"/>
                <w:color w:val="auto"/>
              </w:rPr>
              <w:t>Current income taxes</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Ps. 3,273</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Ps. 2,736</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Ps. 2,075</w:t>
            </w:r>
          </w:p>
        </w:tc>
      </w:t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Tax on</w:t>
            </w:r>
          </w:p>
        </w:tc>
        <w:tc>
          <w:tcPr>
            <w:tcW w:w="3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assets</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w:t>
            </w:r>
          </w:p>
        </w:tc>
      </w:tr>
      <w:tr>
        <w:trPr>
          <w:trHeight w:val="168"/>
        </w:trPr>
        <w:tc>
          <w:tcPr>
            <w:tcW w:w="36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147</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166</w:t>
            </w:r>
          </w:p>
        </w:tc>
      </w:t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Change</w:t>
            </w:r>
          </w:p>
        </w:tc>
        <w:tc>
          <w:tcPr>
            <w:tcW w:w="3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 the statutory income tax rate</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(132)</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(252)</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ind w:left="180" w:hanging="170"/>
        <w:spacing w:after="0"/>
        <w:tabs>
          <w:tab w:leader="none" w:pos="180"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420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3,3222,653</w:t>
      </w:r>
      <w:r>
        <w:rPr>
          <w:rFonts w:ascii="Courier New" w:cs="Courier New" w:eastAsia="Courier New" w:hAnsi="Courier New"/>
          <w:sz w:val="14"/>
          <w:szCs w:val="14"/>
          <w:color w:val="auto"/>
        </w:rPr>
        <w:t>2,262</w:t>
      </w:r>
    </w:p>
    <w:tbl>
      <w:tblPr>
        <w:tblLayout w:type="fixed"/>
        <w:tblInd w:w="0" w:type="dxa"/>
        <w:tblCellMar>
          <w:top w:w="0" w:type="dxa"/>
          <w:left w:w="0" w:type="dxa"/>
          <w:bottom w:w="0" w:type="dxa"/>
          <w:right w:w="0" w:type="dxa"/>
        </w:tblCellMar>
      </w:tblPr>
      <w:tr>
        <w:trPr>
          <w:trHeight w:val="169"/>
        </w:trPr>
        <w:tc>
          <w:tcPr>
            <w:tcW w:w="760" w:type="dxa"/>
            <w:vAlign w:val="bottom"/>
          </w:tcPr>
          <w:p>
            <w:pPr>
              <w:spacing w:after="0" w:line="169" w:lineRule="exact"/>
              <w:rPr>
                <w:sz w:val="20"/>
                <w:szCs w:val="20"/>
                <w:color w:val="auto"/>
              </w:rPr>
            </w:pPr>
            <w:r>
              <w:rPr>
                <w:rFonts w:ascii="Courier New" w:cs="Courier New" w:eastAsia="Courier New" w:hAnsi="Courier New"/>
                <w:sz w:val="15"/>
                <w:szCs w:val="15"/>
                <w:color w:val="auto"/>
              </w:rPr>
              <w:t>Employee</w:t>
            </w:r>
          </w:p>
        </w:tc>
        <w:tc>
          <w:tcPr>
            <w:tcW w:w="2840" w:type="dxa"/>
            <w:vAlign w:val="bottom"/>
          </w:tcPr>
          <w:p>
            <w:pPr>
              <w:ind w:left="40"/>
              <w:spacing w:after="0" w:line="169" w:lineRule="exact"/>
              <w:rPr>
                <w:sz w:val="20"/>
                <w:szCs w:val="20"/>
                <w:color w:val="auto"/>
              </w:rPr>
            </w:pPr>
            <w:r>
              <w:rPr>
                <w:rFonts w:ascii="Courier New" w:cs="Courier New" w:eastAsia="Courier New" w:hAnsi="Courier New"/>
                <w:sz w:val="15"/>
                <w:szCs w:val="15"/>
                <w:color w:val="auto"/>
              </w:rPr>
              <w:t>profit sharing</w:t>
            </w:r>
          </w:p>
        </w:tc>
        <w:tc>
          <w:tcPr>
            <w:tcW w:w="1520" w:type="dxa"/>
            <w:vAlign w:val="bottom"/>
          </w:tcPr>
          <w:p>
            <w:pPr>
              <w:jc w:val="right"/>
              <w:ind w:right="407"/>
              <w:spacing w:after="0" w:line="169" w:lineRule="exact"/>
              <w:rPr>
                <w:sz w:val="20"/>
                <w:szCs w:val="20"/>
                <w:color w:val="auto"/>
              </w:rPr>
            </w:pPr>
            <w:r>
              <w:rPr>
                <w:rFonts w:ascii="Courier New" w:cs="Courier New" w:eastAsia="Courier New" w:hAnsi="Courier New"/>
                <w:sz w:val="15"/>
                <w:szCs w:val="15"/>
                <w:color w:val="auto"/>
              </w:rPr>
              <w:t>310</w:t>
            </w:r>
          </w:p>
        </w:tc>
        <w:tc>
          <w:tcPr>
            <w:tcW w:w="1100" w:type="dxa"/>
            <w:vAlign w:val="bottom"/>
          </w:tcPr>
          <w:p>
            <w:pPr>
              <w:jc w:val="right"/>
              <w:ind w:right="367"/>
              <w:spacing w:after="0" w:line="169" w:lineRule="exact"/>
              <w:rPr>
                <w:sz w:val="20"/>
                <w:szCs w:val="20"/>
                <w:color w:val="auto"/>
              </w:rPr>
            </w:pPr>
            <w:r>
              <w:rPr>
                <w:rFonts w:ascii="Courier New" w:cs="Courier New" w:eastAsia="Courier New" w:hAnsi="Courier New"/>
                <w:sz w:val="15"/>
                <w:szCs w:val="15"/>
                <w:color w:val="auto"/>
              </w:rPr>
              <w:t>292</w:t>
            </w:r>
          </w:p>
        </w:tc>
        <w:tc>
          <w:tcPr>
            <w:tcW w:w="70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246</w:t>
            </w:r>
          </w:p>
        </w:tc>
      </w:tr>
      <w:tr>
        <w:trPr>
          <w:trHeight w:val="168"/>
        </w:trPr>
        <w:tc>
          <w:tcPr>
            <w:tcW w:w="76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w:t>
            </w:r>
          </w:p>
        </w:tc>
        <w:tc>
          <w:tcPr>
            <w:tcW w:w="2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employee profit sharing</w:t>
            </w:r>
          </w:p>
        </w:tc>
        <w:tc>
          <w:tcPr>
            <w:tcW w:w="15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(8)</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3860"/>
        <w:spacing w:after="0"/>
        <w:tabs>
          <w:tab w:leader="none" w:pos="4980" w:val="left"/>
          <w:tab w:leader="none" w:pos="6120" w:val="left"/>
        </w:tabs>
        <w:rPr>
          <w:sz w:val="20"/>
          <w:szCs w:val="20"/>
          <w:color w:val="auto"/>
        </w:rPr>
      </w:pPr>
      <w:r>
        <w:rPr>
          <w:rFonts w:ascii="Courier New" w:cs="Courier New" w:eastAsia="Courier New" w:hAnsi="Courier New"/>
          <w:sz w:val="15"/>
          <w:szCs w:val="15"/>
          <w:color w:val="auto"/>
        </w:rPr>
        <w:t>Ps. 3,624</w:t>
      </w:r>
      <w:r>
        <w:rPr>
          <w:sz w:val="20"/>
          <w:szCs w:val="20"/>
          <w:color w:val="auto"/>
        </w:rPr>
        <w:tab/>
      </w:r>
      <w:r>
        <w:rPr>
          <w:rFonts w:ascii="Courier New" w:cs="Courier New" w:eastAsia="Courier New" w:hAnsi="Courier New"/>
          <w:sz w:val="15"/>
          <w:szCs w:val="15"/>
          <w:color w:val="auto"/>
        </w:rPr>
        <w:t>Ps. 2,945</w:t>
      </w:r>
      <w:r>
        <w:rPr>
          <w:sz w:val="20"/>
          <w:szCs w:val="20"/>
          <w:color w:val="auto"/>
        </w:rPr>
        <w:tab/>
      </w:r>
      <w:r>
        <w:rPr>
          <w:rFonts w:ascii="Courier New" w:cs="Courier New" w:eastAsia="Courier New" w:hAnsi="Courier New"/>
          <w:sz w:val="14"/>
          <w:szCs w:val="14"/>
          <w:color w:val="auto"/>
        </w:rPr>
        <w:t>Ps. 2,508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0" w:lineRule="exact"/>
        <w:rPr>
          <w:sz w:val="20"/>
          <w:szCs w:val="20"/>
          <w:color w:val="auto"/>
        </w:rPr>
      </w:pPr>
    </w:p>
    <w:p>
      <w:pPr>
        <w:ind w:left="440" w:hanging="430"/>
        <w:spacing w:after="0"/>
        <w:tabs>
          <w:tab w:leader="none" w:pos="440"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Loss Carryforwards and Recoverable Tax on Assets:</w:t>
      </w:r>
    </w:p>
    <w:p>
      <w:pPr>
        <w:spacing w:after="0" w:line="172" w:lineRule="exact"/>
        <w:rPr>
          <w:rFonts w:ascii="Courier New" w:cs="Courier New" w:eastAsia="Courier New" w:hAnsi="Courier New"/>
          <w:sz w:val="15"/>
          <w:szCs w:val="15"/>
          <w:color w:val="auto"/>
        </w:rPr>
      </w:pPr>
    </w:p>
    <w:p>
      <w:pPr>
        <w:ind w:left="44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Tax loss carryforwards and recoverable tax on assets may be applied against taxable income of the 10 years following the year when they are generated, in accordance with the Mexican income tax law.</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expiration dates of such amounts are as follows:</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4560"/>
        <w:spacing w:after="0"/>
        <w:tabs>
          <w:tab w:leader="none" w:pos="5940" w:val="left"/>
        </w:tabs>
        <w:rPr>
          <w:sz w:val="20"/>
          <w:szCs w:val="20"/>
          <w:color w:val="auto"/>
        </w:rPr>
      </w:pPr>
      <w:r>
        <w:rPr>
          <w:rFonts w:ascii="Courier New" w:cs="Courier New" w:eastAsia="Courier New" w:hAnsi="Courier New"/>
          <w:sz w:val="15"/>
          <w:szCs w:val="15"/>
          <w:color w:val="auto"/>
        </w:rPr>
        <w:t>Tax Loss</w:t>
      </w:r>
      <w:r>
        <w:rPr>
          <w:sz w:val="20"/>
          <w:szCs w:val="20"/>
          <w:color w:val="auto"/>
        </w:rPr>
        <w:tab/>
      </w:r>
      <w:r>
        <w:rPr>
          <w:rFonts w:ascii="Courier New" w:cs="Courier New" w:eastAsia="Courier New" w:hAnsi="Courier New"/>
          <w:sz w:val="14"/>
          <w:szCs w:val="14"/>
          <w:color w:val="auto"/>
        </w:rPr>
        <w:t>Recoverable</w:t>
      </w:r>
    </w:p>
    <w:p>
      <w:pPr>
        <w:spacing w:after="0"/>
        <w:tabs>
          <w:tab w:leader="none" w:pos="4280" w:val="left"/>
          <w:tab w:leader="none" w:pos="5840" w:val="left"/>
        </w:tabs>
        <w:rPr>
          <w:sz w:val="20"/>
          <w:szCs w:val="20"/>
          <w:color w:val="auto"/>
        </w:rPr>
      </w:pPr>
      <w:r>
        <w:rPr>
          <w:rFonts w:ascii="Courier New" w:cs="Courier New" w:eastAsia="Courier New" w:hAnsi="Courier New"/>
          <w:sz w:val="15"/>
          <w:szCs w:val="15"/>
          <w:color w:val="auto"/>
        </w:rPr>
        <w:t>Year</w:t>
      </w:r>
      <w:r>
        <w:rPr>
          <w:sz w:val="20"/>
          <w:szCs w:val="20"/>
          <w:color w:val="auto"/>
        </w:rPr>
        <w:tab/>
      </w:r>
      <w:r>
        <w:rPr>
          <w:rFonts w:ascii="Courier New" w:cs="Courier New" w:eastAsia="Courier New" w:hAnsi="Courier New"/>
          <w:sz w:val="15"/>
          <w:szCs w:val="15"/>
          <w:color w:val="auto"/>
        </w:rPr>
        <w:t>Carryforwards</w:t>
      </w:r>
      <w:r>
        <w:rPr>
          <w:sz w:val="20"/>
          <w:szCs w:val="20"/>
          <w:color w:val="auto"/>
        </w:rPr>
        <w:tab/>
      </w:r>
      <w:r>
        <w:rPr>
          <w:rFonts w:ascii="Courier New" w:cs="Courier New" w:eastAsia="Courier New" w:hAnsi="Courier New"/>
          <w:sz w:val="14"/>
          <w:szCs w:val="14"/>
          <w:color w:val="auto"/>
        </w:rPr>
        <w:t>Tax on Assets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20" w:type="dxa"/>
            <w:vAlign w:val="bottom"/>
          </w:tcPr>
          <w:p>
            <w:pPr>
              <w:jc w:val="right"/>
              <w:ind w:right="1887"/>
              <w:spacing w:after="0"/>
              <w:rPr>
                <w:sz w:val="20"/>
                <w:szCs w:val="20"/>
                <w:color w:val="auto"/>
              </w:rPr>
            </w:pPr>
            <w:r>
              <w:rPr>
                <w:rFonts w:ascii="Courier New" w:cs="Courier New" w:eastAsia="Courier New" w:hAnsi="Courier New"/>
                <w:sz w:val="15"/>
                <w:szCs w:val="15"/>
                <w:color w:val="auto"/>
                <w:w w:val="94"/>
              </w:rPr>
              <w:t>2004</w:t>
            </w:r>
          </w:p>
        </w:tc>
        <w:tc>
          <w:tcPr>
            <w:tcW w:w="2540" w:type="dxa"/>
            <w:vAlign w:val="bottom"/>
          </w:tcPr>
          <w:p>
            <w:pPr>
              <w:ind w:left="1980"/>
              <w:spacing w:after="0"/>
              <w:rPr>
                <w:sz w:val="20"/>
                <w:szCs w:val="20"/>
                <w:color w:val="auto"/>
              </w:rPr>
            </w:pPr>
            <w:r>
              <w:rPr>
                <w:rFonts w:ascii="Courier New" w:cs="Courier New" w:eastAsia="Courier New" w:hAnsi="Courier New"/>
                <w:sz w:val="15"/>
                <w:szCs w:val="15"/>
                <w:color w:val="auto"/>
              </w:rPr>
              <w:t>Ps.</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ind w:left="200"/>
              <w:spacing w:after="0"/>
              <w:rPr>
                <w:sz w:val="20"/>
                <w:szCs w:val="20"/>
                <w:color w:val="auto"/>
              </w:rPr>
            </w:pPr>
            <w:r>
              <w:rPr>
                <w:rFonts w:ascii="Courier New" w:cs="Courier New" w:eastAsia="Courier New" w:hAnsi="Courier New"/>
                <w:sz w:val="15"/>
                <w:szCs w:val="15"/>
                <w:color w:val="auto"/>
              </w:rPr>
              <w:t>Ps.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168"/>
        </w:trPr>
        <w:tc>
          <w:tcPr>
            <w:tcW w:w="2320" w:type="dxa"/>
            <w:vAlign w:val="bottom"/>
          </w:tcPr>
          <w:p>
            <w:pPr>
              <w:jc w:val="right"/>
              <w:ind w:right="1887"/>
              <w:spacing w:after="0" w:line="168" w:lineRule="exact"/>
              <w:rPr>
                <w:sz w:val="20"/>
                <w:szCs w:val="20"/>
                <w:color w:val="auto"/>
              </w:rPr>
            </w:pPr>
            <w:r>
              <w:rPr>
                <w:rFonts w:ascii="Courier New" w:cs="Courier New" w:eastAsia="Courier New" w:hAnsi="Courier New"/>
                <w:sz w:val="15"/>
                <w:szCs w:val="15"/>
                <w:color w:val="auto"/>
                <w:w w:val="94"/>
              </w:rPr>
              <w:t>2005</w:t>
            </w:r>
          </w:p>
        </w:tc>
        <w:tc>
          <w:tcPr>
            <w:tcW w:w="2540" w:type="dxa"/>
            <w:vAlign w:val="bottom"/>
          </w:tcPr>
          <w:p>
            <w:pPr>
              <w:spacing w:after="0"/>
              <w:rPr>
                <w:sz w:val="14"/>
                <w:szCs w:val="14"/>
                <w:color w:val="auto"/>
              </w:rPr>
            </w:pP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2320" w:type="dxa"/>
            <w:vAlign w:val="bottom"/>
          </w:tcPr>
          <w:p>
            <w:pPr>
              <w:jc w:val="right"/>
              <w:ind w:right="1887"/>
              <w:spacing w:after="0" w:line="168" w:lineRule="exact"/>
              <w:rPr>
                <w:sz w:val="20"/>
                <w:szCs w:val="20"/>
                <w:color w:val="auto"/>
              </w:rPr>
            </w:pPr>
            <w:r>
              <w:rPr>
                <w:rFonts w:ascii="Courier New" w:cs="Courier New" w:eastAsia="Courier New" w:hAnsi="Courier New"/>
                <w:sz w:val="15"/>
                <w:szCs w:val="15"/>
                <w:color w:val="auto"/>
                <w:w w:val="94"/>
              </w:rPr>
              <w:t>2006</w:t>
            </w:r>
          </w:p>
        </w:tc>
        <w:tc>
          <w:tcPr>
            <w:tcW w:w="2540" w:type="dxa"/>
            <w:vAlign w:val="bottom"/>
          </w:tcPr>
          <w:p>
            <w:pPr>
              <w:spacing w:after="0"/>
              <w:rPr>
                <w:sz w:val="14"/>
                <w:szCs w:val="14"/>
                <w:color w:val="auto"/>
              </w:rPr>
            </w:pP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w:t>
            </w:r>
          </w:p>
        </w:tc>
        <w:tc>
          <w:tcPr>
            <w:tcW w:w="82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2320" w:type="dxa"/>
            <w:vAlign w:val="bottom"/>
          </w:tcPr>
          <w:p>
            <w:pPr>
              <w:jc w:val="right"/>
              <w:ind w:right="1887"/>
              <w:spacing w:after="0" w:line="168" w:lineRule="exact"/>
              <w:rPr>
                <w:sz w:val="20"/>
                <w:szCs w:val="20"/>
                <w:color w:val="auto"/>
              </w:rPr>
            </w:pPr>
            <w:r>
              <w:rPr>
                <w:rFonts w:ascii="Courier New" w:cs="Courier New" w:eastAsia="Courier New" w:hAnsi="Courier New"/>
                <w:sz w:val="15"/>
                <w:szCs w:val="15"/>
                <w:color w:val="auto"/>
                <w:w w:val="94"/>
              </w:rPr>
              <w:t>2007</w:t>
            </w:r>
          </w:p>
        </w:tc>
        <w:tc>
          <w:tcPr>
            <w:tcW w:w="2540" w:type="dxa"/>
            <w:vAlign w:val="bottom"/>
          </w:tcPr>
          <w:p>
            <w:pPr>
              <w:spacing w:after="0"/>
              <w:rPr>
                <w:sz w:val="14"/>
                <w:szCs w:val="14"/>
                <w:color w:val="auto"/>
              </w:rPr>
            </w:pP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w:t>
            </w:r>
          </w:p>
        </w:tc>
        <w:tc>
          <w:tcPr>
            <w:tcW w:w="82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2320" w:type="dxa"/>
            <w:vAlign w:val="bottom"/>
          </w:tcPr>
          <w:p>
            <w:pPr>
              <w:jc w:val="right"/>
              <w:ind w:right="1887"/>
              <w:spacing w:after="0" w:line="168" w:lineRule="exact"/>
              <w:rPr>
                <w:sz w:val="20"/>
                <w:szCs w:val="20"/>
                <w:color w:val="auto"/>
              </w:rPr>
            </w:pPr>
            <w:r>
              <w:rPr>
                <w:rFonts w:ascii="Courier New" w:cs="Courier New" w:eastAsia="Courier New" w:hAnsi="Courier New"/>
                <w:sz w:val="15"/>
                <w:szCs w:val="15"/>
                <w:color w:val="auto"/>
                <w:w w:val="94"/>
              </w:rPr>
              <w:t>2008</w:t>
            </w:r>
          </w:p>
        </w:tc>
        <w:tc>
          <w:tcPr>
            <w:tcW w:w="2540" w:type="dxa"/>
            <w:vAlign w:val="bottom"/>
          </w:tcPr>
          <w:p>
            <w:pPr>
              <w:spacing w:after="0"/>
              <w:rPr>
                <w:sz w:val="14"/>
                <w:szCs w:val="14"/>
                <w:color w:val="auto"/>
              </w:rPr>
            </w:pP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w:t>
            </w:r>
          </w:p>
        </w:tc>
        <w:tc>
          <w:tcPr>
            <w:tcW w:w="82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w:t>
            </w:r>
          </w:p>
        </w:tc>
      </w:tr>
      <w:tr>
        <w:trPr>
          <w:trHeight w:val="168"/>
        </w:trPr>
        <w:tc>
          <w:tcPr>
            <w:tcW w:w="2320" w:type="dxa"/>
            <w:vAlign w:val="bottom"/>
          </w:tcPr>
          <w:p>
            <w:pPr>
              <w:jc w:val="right"/>
              <w:ind w:right="1887"/>
              <w:spacing w:after="0" w:line="168" w:lineRule="exact"/>
              <w:rPr>
                <w:sz w:val="20"/>
                <w:szCs w:val="20"/>
                <w:color w:val="auto"/>
              </w:rPr>
            </w:pPr>
            <w:r>
              <w:rPr>
                <w:rFonts w:ascii="Courier New" w:cs="Courier New" w:eastAsia="Courier New" w:hAnsi="Courier New"/>
                <w:sz w:val="15"/>
                <w:szCs w:val="15"/>
                <w:color w:val="auto"/>
                <w:w w:val="94"/>
              </w:rPr>
              <w:t>2009</w:t>
            </w:r>
          </w:p>
        </w:tc>
        <w:tc>
          <w:tcPr>
            <w:tcW w:w="2540" w:type="dxa"/>
            <w:vAlign w:val="bottom"/>
          </w:tcPr>
          <w:p>
            <w:pPr>
              <w:spacing w:after="0"/>
              <w:rPr>
                <w:sz w:val="14"/>
                <w:szCs w:val="14"/>
                <w:color w:val="auto"/>
              </w:rPr>
            </w:pP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w:t>
            </w:r>
          </w:p>
        </w:tc>
        <w:tc>
          <w:tcPr>
            <w:tcW w:w="82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2320" w:type="dxa"/>
            <w:vAlign w:val="bottom"/>
          </w:tcPr>
          <w:p>
            <w:pPr>
              <w:jc w:val="right"/>
              <w:ind w:right="1887"/>
              <w:spacing w:after="0" w:line="168" w:lineRule="exact"/>
              <w:rPr>
                <w:sz w:val="20"/>
                <w:szCs w:val="20"/>
                <w:color w:val="auto"/>
              </w:rPr>
            </w:pPr>
            <w:r>
              <w:rPr>
                <w:rFonts w:ascii="Courier New" w:cs="Courier New" w:eastAsia="Courier New" w:hAnsi="Courier New"/>
                <w:sz w:val="15"/>
                <w:szCs w:val="15"/>
                <w:color w:val="auto"/>
                <w:w w:val="94"/>
              </w:rPr>
              <w:t>2010</w:t>
            </w:r>
          </w:p>
        </w:tc>
        <w:tc>
          <w:tcPr>
            <w:tcW w:w="2540" w:type="dxa"/>
            <w:vAlign w:val="bottom"/>
          </w:tcPr>
          <w:p>
            <w:pPr>
              <w:spacing w:after="0"/>
              <w:rPr>
                <w:sz w:val="14"/>
                <w:szCs w:val="14"/>
                <w:color w:val="auto"/>
              </w:rPr>
            </w:pP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w:t>
            </w:r>
          </w:p>
        </w:tc>
        <w:tc>
          <w:tcPr>
            <w:tcW w:w="82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2320" w:type="dxa"/>
            <w:vAlign w:val="bottom"/>
          </w:tcPr>
          <w:p>
            <w:pPr>
              <w:jc w:val="right"/>
              <w:ind w:right="1887"/>
              <w:spacing w:after="0" w:line="168" w:lineRule="exact"/>
              <w:rPr>
                <w:sz w:val="20"/>
                <w:szCs w:val="20"/>
                <w:color w:val="auto"/>
              </w:rPr>
            </w:pPr>
            <w:r>
              <w:rPr>
                <w:rFonts w:ascii="Courier New" w:cs="Courier New" w:eastAsia="Courier New" w:hAnsi="Courier New"/>
                <w:sz w:val="15"/>
                <w:szCs w:val="15"/>
                <w:color w:val="auto"/>
                <w:w w:val="94"/>
              </w:rPr>
              <w:t>2011</w:t>
            </w:r>
          </w:p>
        </w:tc>
        <w:tc>
          <w:tcPr>
            <w:tcW w:w="2540" w:type="dxa"/>
            <w:vAlign w:val="bottom"/>
          </w:tcPr>
          <w:p>
            <w:pPr>
              <w:spacing w:after="0"/>
              <w:rPr>
                <w:sz w:val="14"/>
                <w:szCs w:val="14"/>
                <w:color w:val="auto"/>
              </w:rPr>
            </w:pP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56</w:t>
            </w:r>
          </w:p>
        </w:tc>
        <w:tc>
          <w:tcPr>
            <w:tcW w:w="82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2320" w:type="dxa"/>
            <w:vAlign w:val="bottom"/>
          </w:tcPr>
          <w:p>
            <w:pPr>
              <w:jc w:val="right"/>
              <w:ind w:right="1887"/>
              <w:spacing w:after="0" w:line="168" w:lineRule="exact"/>
              <w:rPr>
                <w:sz w:val="20"/>
                <w:szCs w:val="20"/>
                <w:color w:val="auto"/>
              </w:rPr>
            </w:pPr>
            <w:r>
              <w:rPr>
                <w:rFonts w:ascii="Courier New" w:cs="Courier New" w:eastAsia="Courier New" w:hAnsi="Courier New"/>
                <w:sz w:val="15"/>
                <w:szCs w:val="15"/>
                <w:color w:val="auto"/>
                <w:w w:val="94"/>
              </w:rPr>
              <w:t>2012</w:t>
            </w:r>
          </w:p>
        </w:tc>
        <w:tc>
          <w:tcPr>
            <w:tcW w:w="2540" w:type="dxa"/>
            <w:vAlign w:val="bottom"/>
          </w:tcPr>
          <w:p>
            <w:pPr>
              <w:spacing w:after="0"/>
              <w:rPr>
                <w:sz w:val="14"/>
                <w:szCs w:val="14"/>
                <w:color w:val="auto"/>
              </w:rPr>
            </w:pP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191</w:t>
            </w:r>
          </w:p>
        </w:tc>
        <w:tc>
          <w:tcPr>
            <w:tcW w:w="82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4300"/>
        <w:spacing w:after="0"/>
        <w:tabs>
          <w:tab w:leader="none" w:pos="5160" w:val="left"/>
          <w:tab w:leader="none" w:pos="5840" w:val="left"/>
          <w:tab w:leader="none" w:pos="6820" w:val="left"/>
        </w:tabs>
        <w:rPr>
          <w:sz w:val="20"/>
          <w:szCs w:val="20"/>
          <w:color w:val="auto"/>
        </w:rPr>
      </w:pPr>
      <w:r>
        <w:rPr>
          <w:rFonts w:ascii="Courier New" w:cs="Courier New" w:eastAsia="Courier New" w:hAnsi="Courier New"/>
          <w:sz w:val="15"/>
          <w:szCs w:val="15"/>
          <w:color w:val="auto"/>
        </w:rPr>
        <w:t>Ps.</w:t>
      </w:r>
      <w:r>
        <w:rPr>
          <w:sz w:val="20"/>
          <w:szCs w:val="20"/>
          <w:color w:val="auto"/>
        </w:rPr>
        <w:tab/>
      </w:r>
      <w:r>
        <w:rPr>
          <w:rFonts w:ascii="Courier New" w:cs="Courier New" w:eastAsia="Courier New" w:hAnsi="Courier New"/>
          <w:sz w:val="15"/>
          <w:szCs w:val="15"/>
          <w:color w:val="auto"/>
        </w:rPr>
        <w:t>355</w:t>
      </w:r>
      <w:r>
        <w:rPr>
          <w:sz w:val="20"/>
          <w:szCs w:val="20"/>
          <w:color w:val="auto"/>
        </w:rPr>
        <w:tab/>
      </w:r>
      <w:r>
        <w:rPr>
          <w:rFonts w:ascii="Courier New" w:cs="Courier New" w:eastAsia="Courier New" w:hAnsi="Courier New"/>
          <w:sz w:val="15"/>
          <w:szCs w:val="15"/>
          <w:color w:val="auto"/>
        </w:rPr>
        <w:t>Ps.</w:t>
      </w:r>
      <w:r>
        <w:rPr>
          <w:sz w:val="20"/>
          <w:szCs w:val="20"/>
          <w:color w:val="auto"/>
        </w:rPr>
        <w:tab/>
      </w:r>
      <w:r>
        <w:rPr>
          <w:rFonts w:ascii="Courier New" w:cs="Courier New" w:eastAsia="Courier New" w:hAnsi="Courier New"/>
          <w:sz w:val="12"/>
          <w:szCs w:val="12"/>
          <w:color w:val="auto"/>
        </w:rPr>
        <w:t>78</w:t>
      </w:r>
    </w:p>
    <w:p>
      <w:pPr>
        <w:spacing w:after="0" w:line="5" w:lineRule="exact"/>
        <w:rPr>
          <w:sz w:val="20"/>
          <w:szCs w:val="20"/>
          <w:color w:val="auto"/>
        </w:rPr>
      </w:pPr>
    </w:p>
    <w:p>
      <w:pPr>
        <w:ind w:left="180" w:hanging="170"/>
        <w:spacing w:after="0"/>
        <w:tabs>
          <w:tab w:leader="none" w:pos="180"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rFonts w:ascii="Courier New" w:cs="Courier New" w:eastAsia="Courier New" w:hAnsi="Courier New"/>
          <w:sz w:val="14"/>
          <w:szCs w:val="14"/>
          <w:color w:val="auto"/>
        </w:rPr>
      </w:pPr>
    </w:p>
    <w:p>
      <w:pPr>
        <w:ind w:left="33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F-28</w:t>
      </w:r>
    </w:p>
    <w:p>
      <w:pPr>
        <w:sectPr>
          <w:pgSz w:w="11900" w:h="16838" w:orient="portrait"/>
          <w:cols w:equalWidth="0" w:num="1">
            <w:col w:w="10239"/>
          </w:cols>
          <w:pgMar w:left="220" w:top="792" w:right="1440" w:bottom="1440" w:gutter="0" w:footer="0" w:header="0"/>
        </w:sectPr>
      </w:pPr>
    </w:p>
    <w:bookmarkStart w:id="191" w:name="page192"/>
    <w:bookmarkEnd w:id="191"/>
    <w:p>
      <w:pPr>
        <w:spacing w:after="0"/>
        <w:tabs>
          <w:tab w:leader="none" w:pos="420" w:val="left"/>
        </w:tabs>
        <w:rPr>
          <w:sz w:val="20"/>
          <w:szCs w:val="20"/>
          <w:color w:val="auto"/>
        </w:rPr>
      </w:pPr>
      <w:r>
        <w:rPr>
          <w:rFonts w:ascii="Courier New" w:cs="Courier New" w:eastAsia="Courier New" w:hAnsi="Courier New"/>
          <w:sz w:val="15"/>
          <w:szCs w:val="15"/>
          <w:color w:val="auto"/>
        </w:rPr>
        <w:t>g)</w:t>
        <w:tab/>
        <w:t>Reconciliation of Effective Tax Rate:</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6480"/>
        <w:spacing w:after="0"/>
        <w:tabs>
          <w:tab w:leader="none" w:pos="8120" w:val="left"/>
          <w:tab w:leader="none" w:pos="9780" w:val="left"/>
        </w:tabs>
        <w:rPr>
          <w:sz w:val="20"/>
          <w:szCs w:val="20"/>
          <w:color w:val="auto"/>
        </w:rPr>
      </w:pPr>
      <w:r>
        <w:rPr>
          <w:rFonts w:ascii="Courier New" w:cs="Courier New" w:eastAsia="Courier New" w:hAnsi="Courier New"/>
          <w:sz w:val="15"/>
          <w:szCs w:val="15"/>
          <w:color w:val="auto"/>
        </w:rPr>
        <w:t>2002</w:t>
      </w:r>
      <w:r>
        <w:rPr>
          <w:sz w:val="20"/>
          <w:szCs w:val="20"/>
          <w:color w:val="auto"/>
        </w:rPr>
        <w:tab/>
      </w:r>
      <w:r>
        <w:rPr>
          <w:rFonts w:ascii="Courier New" w:cs="Courier New" w:eastAsia="Courier New" w:hAnsi="Courier New"/>
          <w:sz w:val="15"/>
          <w:szCs w:val="15"/>
          <w:color w:val="auto"/>
        </w:rPr>
        <w:t>2001</w:t>
      </w:r>
      <w:r>
        <w:rPr>
          <w:sz w:val="20"/>
          <w:szCs w:val="20"/>
          <w:color w:val="auto"/>
        </w:rPr>
        <w:tab/>
      </w:r>
      <w:r>
        <w:rPr>
          <w:rFonts w:ascii="Courier New" w:cs="Courier New" w:eastAsia="Courier New" w:hAnsi="Courier New"/>
          <w:sz w:val="15"/>
          <w:szCs w:val="15"/>
          <w:color w:val="auto"/>
        </w:rPr>
        <w:t>2000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00" w:type="dxa"/>
            <w:vAlign w:val="bottom"/>
          </w:tcPr>
          <w:p>
            <w:pPr>
              <w:spacing w:after="0"/>
              <w:rPr>
                <w:sz w:val="20"/>
                <w:szCs w:val="20"/>
                <w:color w:val="auto"/>
              </w:rPr>
            </w:pPr>
            <w:r>
              <w:rPr>
                <w:rFonts w:ascii="Courier New" w:cs="Courier New" w:eastAsia="Courier New" w:hAnsi="Courier New"/>
                <w:sz w:val="15"/>
                <w:szCs w:val="15"/>
                <w:color w:val="auto"/>
              </w:rPr>
              <w:t>Statutory income tax rate</w:t>
            </w:r>
          </w:p>
        </w:tc>
        <w:tc>
          <w:tcPr>
            <w:tcW w:w="18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35%</w:t>
            </w:r>
          </w:p>
        </w:tc>
        <w:tc>
          <w:tcPr>
            <w:tcW w:w="16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35%</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r>
      <w:tr>
        <w:trPr>
          <w:trHeight w:val="168"/>
        </w:trPr>
        <w:tc>
          <w:tcPr>
            <w:tcW w:w="57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Difference between book and tax inflationary effects</w:t>
            </w:r>
          </w:p>
        </w:tc>
        <w:tc>
          <w:tcPr>
            <w:tcW w:w="18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57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Non-deductible expenses</w:t>
            </w:r>
          </w:p>
        </w:tc>
        <w:tc>
          <w:tcPr>
            <w:tcW w:w="18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3</w:t>
            </w:r>
          </w:p>
        </w:tc>
        <w:tc>
          <w:tcPr>
            <w:tcW w:w="166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2</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57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Impairment of the goodwill generated by Coca-Cola</w:t>
            </w:r>
          </w:p>
        </w:tc>
        <w:tc>
          <w:tcPr>
            <w:tcW w:w="18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7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FEMSA Buenos Aires</w:t>
            </w:r>
          </w:p>
        </w:tc>
        <w:tc>
          <w:tcPr>
            <w:tcW w:w="18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2</w:t>
            </w:r>
          </w:p>
        </w:tc>
        <w:tc>
          <w:tcPr>
            <w:tcW w:w="166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Effect of change in tax rate</w:t>
            </w:r>
          </w:p>
        </w:tc>
        <w:tc>
          <w:tcPr>
            <w:tcW w:w="18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w:t>
            </w:r>
          </w:p>
        </w:tc>
        <w:tc>
          <w:tcPr>
            <w:tcW w:w="16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(3)</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w:t>
            </w:r>
          </w:p>
        </w:tc>
        <w:tc>
          <w:tcPr>
            <w:tcW w:w="18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1</w:t>
            </w:r>
          </w:p>
        </w:tc>
        <w:tc>
          <w:tcPr>
            <w:tcW w:w="16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80" w:type="dxa"/>
            <w:vAlign w:val="bottom"/>
          </w:tcPr>
          <w:p>
            <w:pPr>
              <w:spacing w:after="0"/>
              <w:rPr>
                <w:sz w:val="20"/>
                <w:szCs w:val="20"/>
                <w:color w:val="auto"/>
              </w:rPr>
            </w:pPr>
            <w:r>
              <w:rPr>
                <w:rFonts w:ascii="Courier New" w:cs="Courier New" w:eastAsia="Courier New" w:hAnsi="Courier New"/>
                <w:sz w:val="15"/>
                <w:szCs w:val="15"/>
                <w:color w:val="auto"/>
              </w:rPr>
              <w:t>Effective income tax rate</w:t>
            </w:r>
          </w:p>
        </w:tc>
        <w:tc>
          <w:tcPr>
            <w:tcW w:w="31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40%</w:t>
            </w:r>
          </w:p>
        </w:tc>
        <w:tc>
          <w:tcPr>
            <w:tcW w:w="16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33%</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22. Contingencies and Commitments.</w:t>
      </w:r>
    </w:p>
    <w:p>
      <w:pPr>
        <w:spacing w:after="0" w:line="166" w:lineRule="exact"/>
        <w:rPr>
          <w:sz w:val="20"/>
          <w:szCs w:val="20"/>
          <w:color w:val="auto"/>
        </w:rPr>
      </w:pPr>
    </w:p>
    <w:p>
      <w:pPr>
        <w:ind w:left="440" w:hanging="430"/>
        <w:spacing w:after="0"/>
        <w:tabs>
          <w:tab w:leader="none" w:pos="440"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Contingencies:</w:t>
      </w:r>
    </w:p>
    <w:p>
      <w:pPr>
        <w:spacing w:after="0" w:line="172" w:lineRule="exact"/>
        <w:rPr>
          <w:rFonts w:ascii="Courier New" w:cs="Courier New" w:eastAsia="Courier New" w:hAnsi="Courier New"/>
          <w:sz w:val="15"/>
          <w:szCs w:val="15"/>
          <w:color w:val="auto"/>
        </w:rPr>
      </w:pPr>
    </w:p>
    <w:p>
      <w:pPr>
        <w:ind w:left="880" w:right="3580" w:hanging="433"/>
        <w:spacing w:after="0" w:line="236" w:lineRule="auto"/>
        <w:tabs>
          <w:tab w:leader="none" w:pos="880" w:val="left"/>
        </w:tabs>
        <w:numPr>
          <w:ilvl w:val="1"/>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2002, Coca-Cola FEMSA initiated an appeal related to the IEPS ("Special Tax on Products and Services") applicable to inventories produced with high fructose content at the end of 2001 and early in 2002. The Company expects a favorable decision based on a legal opinion of the Company's tax attorneys.</w:t>
      </w:r>
    </w:p>
    <w:p>
      <w:pPr>
        <w:spacing w:after="0" w:line="173" w:lineRule="exact"/>
        <w:rPr>
          <w:rFonts w:ascii="Courier New" w:cs="Courier New" w:eastAsia="Courier New" w:hAnsi="Courier New"/>
          <w:sz w:val="15"/>
          <w:szCs w:val="15"/>
          <w:color w:val="auto"/>
        </w:rPr>
      </w:pPr>
    </w:p>
    <w:p>
      <w:pPr>
        <w:ind w:left="880" w:right="3420" w:hanging="433"/>
        <w:spacing w:after="0" w:line="255" w:lineRule="auto"/>
        <w:tabs>
          <w:tab w:leader="none" w:pos="880" w:val="left"/>
        </w:tabs>
        <w:numPr>
          <w:ilvl w:val="1"/>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Additionally, on April 29, 2002 a subsidiary of FEMSA Cerveza filed a lawsuit against certain affiliates of Labatt to enjoin the integration of the beer brands of Beck's North America in the beer distribution portfolio of Labatt USA. The subsidiary of FEMSA Cerveza obtained a preliminary injunction from the lower court. Labatt's affiliates filed a notice of appeal from the preliminary injunction. As of the issuance date of the financial statement, the appeal procedure is pending.</w:t>
      </w:r>
    </w:p>
    <w:p>
      <w:pPr>
        <w:spacing w:after="0" w:line="159" w:lineRule="exact"/>
        <w:rPr>
          <w:rFonts w:ascii="Courier New" w:cs="Courier New" w:eastAsia="Courier New" w:hAnsi="Courier New"/>
          <w:sz w:val="14"/>
          <w:szCs w:val="14"/>
          <w:color w:val="auto"/>
        </w:rPr>
      </w:pPr>
    </w:p>
    <w:p>
      <w:pPr>
        <w:ind w:left="880" w:hanging="433"/>
        <w:spacing w:after="0"/>
        <w:tabs>
          <w:tab w:leader="none" w:pos="880" w:val="left"/>
        </w:tabs>
        <w:numPr>
          <w:ilvl w:val="1"/>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two issues pending resolution with SHCP</w:t>
      </w:r>
    </w:p>
    <w:p>
      <w:pPr>
        <w:spacing w:after="0" w:line="341" w:lineRule="exact"/>
        <w:rPr>
          <w:rFonts w:ascii="Courier New" w:cs="Courier New" w:eastAsia="Courier New" w:hAnsi="Courier New"/>
          <w:sz w:val="15"/>
          <w:szCs w:val="15"/>
          <w:color w:val="auto"/>
        </w:rPr>
      </w:pPr>
    </w:p>
    <w:p>
      <w:pPr>
        <w:ind w:left="1320" w:right="3420" w:hanging="436"/>
        <w:spacing w:after="0" w:line="236" w:lineRule="auto"/>
        <w:tabs>
          <w:tab w:leader="none" w:pos="1320" w:val="left"/>
        </w:tabs>
        <w:numPr>
          <w:ilvl w:val="2"/>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1998 and 1999, due to adjustments to consolidated asset taxes derived from increased shareholdings in subsidiaries, the Company determined an asset tax receivable and filed for refund. The tax authorities rejected the refund request, and the Company has appealed that decision.</w:t>
      </w:r>
    </w:p>
    <w:p>
      <w:pPr>
        <w:spacing w:after="0" w:line="200" w:lineRule="exact"/>
        <w:rPr>
          <w:rFonts w:ascii="Courier New" w:cs="Courier New" w:eastAsia="Courier New" w:hAnsi="Courier New"/>
          <w:sz w:val="15"/>
          <w:szCs w:val="15"/>
          <w:color w:val="auto"/>
        </w:rPr>
      </w:pPr>
    </w:p>
    <w:p>
      <w:pPr>
        <w:spacing w:after="0" w:line="310" w:lineRule="exact"/>
        <w:rPr>
          <w:rFonts w:ascii="Courier New" w:cs="Courier New" w:eastAsia="Courier New" w:hAnsi="Courier New"/>
          <w:sz w:val="15"/>
          <w:szCs w:val="15"/>
          <w:color w:val="auto"/>
        </w:rPr>
      </w:pPr>
    </w:p>
    <w:p>
      <w:pPr>
        <w:ind w:left="1320" w:right="3420" w:hanging="436"/>
        <w:spacing w:after="0" w:line="236" w:lineRule="auto"/>
        <w:tabs>
          <w:tab w:leader="none" w:pos="1320" w:val="left"/>
        </w:tabs>
        <w:numPr>
          <w:ilvl w:val="2"/>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1998, as a result of the restatement of tax losses for inflation due to the increased shareholdings in subsidiaries, the Company determined an income tax receivable and filed for refund, which was also rejected by the tax authorities. The Company has appealed that decision.</w:t>
      </w:r>
    </w:p>
    <w:p>
      <w:pPr>
        <w:spacing w:after="0" w:line="200" w:lineRule="exact"/>
        <w:rPr>
          <w:sz w:val="20"/>
          <w:szCs w:val="20"/>
          <w:color w:val="auto"/>
        </w:rPr>
      </w:pPr>
    </w:p>
    <w:p>
      <w:pPr>
        <w:spacing w:after="0" w:line="310" w:lineRule="exact"/>
        <w:rPr>
          <w:sz w:val="20"/>
          <w:szCs w:val="20"/>
          <w:color w:val="auto"/>
        </w:rPr>
      </w:pPr>
    </w:p>
    <w:p>
      <w:pPr>
        <w:ind w:left="880" w:right="3500"/>
        <w:spacing w:after="0" w:line="256" w:lineRule="auto"/>
        <w:rPr>
          <w:sz w:val="20"/>
          <w:szCs w:val="20"/>
          <w:color w:val="auto"/>
        </w:rPr>
      </w:pPr>
      <w:r>
        <w:rPr>
          <w:rFonts w:ascii="Courier New" w:cs="Courier New" w:eastAsia="Courier New" w:hAnsi="Courier New"/>
          <w:sz w:val="14"/>
          <w:szCs w:val="14"/>
          <w:color w:val="auto"/>
        </w:rPr>
        <w:t>In the opinion of the Company's legal counsel, reasonable bases exist to obtain a favorable resolution of both issues, as a result of which the Company recorded a receivable for refundable taxes in 1999 with a credit to the results of operations. At December 31, 2002, the receivable amounted to Ps. 379 and is presented in other assets.</w:t>
      </w:r>
    </w:p>
    <w:p>
      <w:pPr>
        <w:spacing w:after="0" w:line="200" w:lineRule="exact"/>
        <w:rPr>
          <w:sz w:val="20"/>
          <w:szCs w:val="20"/>
          <w:color w:val="auto"/>
        </w:rPr>
      </w:pPr>
    </w:p>
    <w:p>
      <w:pPr>
        <w:spacing w:after="0" w:line="300" w:lineRule="exact"/>
        <w:rPr>
          <w:sz w:val="20"/>
          <w:szCs w:val="20"/>
          <w:color w:val="auto"/>
        </w:rPr>
      </w:pPr>
    </w:p>
    <w:p>
      <w:pPr>
        <w:ind w:left="880" w:right="3580" w:hanging="433"/>
        <w:spacing w:after="0" w:line="236" w:lineRule="auto"/>
        <w:tabs>
          <w:tab w:leader="none" w:pos="880"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SHCP determined taxes due by FEMSA Cerveza related to exports in 1998 and 1999 to countries considered to be tax heavens. The Company has appealed these tax assessments and filed the corresponding documentation. To date this matter is unresolved, and the Company's legal counsel believes that reasonable bases exist to obtain a favorable resolution.</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F-29</w:t>
      </w:r>
    </w:p>
    <w:p>
      <w:pPr>
        <w:sectPr>
          <w:pgSz w:w="11900" w:h="16838" w:orient="portrait"/>
          <w:cols w:equalWidth="0" w:num="1">
            <w:col w:w="10420"/>
          </w:cols>
          <w:pgMar w:left="220" w:top="785" w:right="1259" w:bottom="1440" w:gutter="0" w:footer="0" w:header="0"/>
        </w:sectPr>
      </w:pPr>
    </w:p>
    <w:bookmarkStart w:id="192" w:name="page193"/>
    <w:bookmarkEnd w:id="192"/>
    <w:p>
      <w:pPr>
        <w:ind w:left="440" w:hanging="430"/>
        <w:spacing w:after="0"/>
        <w:tabs>
          <w:tab w:leader="none" w:pos="440"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w:t>
      </w:r>
    </w:p>
    <w:p>
      <w:pPr>
        <w:spacing w:after="0" w:line="172" w:lineRule="exact"/>
        <w:rPr>
          <w:rFonts w:ascii="Courier New" w:cs="Courier New" w:eastAsia="Courier New" w:hAnsi="Courier New"/>
          <w:sz w:val="15"/>
          <w:szCs w:val="15"/>
          <w:color w:val="auto"/>
        </w:rPr>
      </w:pPr>
    </w:p>
    <w:p>
      <w:pPr>
        <w:ind w:left="440" w:right="419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As of December 31, 2002, the Company has minimum operating lease commitments as follows:</w:t>
      </w:r>
    </w:p>
    <w:p>
      <w:pPr>
        <w:spacing w:after="0" w:line="173" w:lineRule="exact"/>
        <w:rPr>
          <w:sz w:val="20"/>
          <w:szCs w:val="20"/>
          <w:color w:val="auto"/>
        </w:rPr>
      </w:pPr>
    </w:p>
    <w:p>
      <w:pPr>
        <w:ind w:left="440" w:right="3839" w:hanging="430"/>
        <w:spacing w:after="0" w:line="234" w:lineRule="auto"/>
        <w:tabs>
          <w:tab w:leader="none" w:pos="178"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In dollars, for the leasing of production machinery and equipment, distribution equipment and computing equipment.</w:t>
      </w:r>
    </w:p>
    <w:p>
      <w:pPr>
        <w:spacing w:after="0" w:line="173" w:lineRule="exact"/>
        <w:rPr>
          <w:rFonts w:ascii="Courier New" w:cs="Courier New" w:eastAsia="Courier New" w:hAnsi="Courier New"/>
          <w:sz w:val="15"/>
          <w:szCs w:val="15"/>
          <w:color w:val="auto"/>
        </w:rPr>
      </w:pPr>
    </w:p>
    <w:p>
      <w:pPr>
        <w:ind w:left="440" w:right="3399" w:hanging="430"/>
        <w:spacing w:after="0" w:line="465" w:lineRule="auto"/>
        <w:tabs>
          <w:tab w:leader="none" w:pos="178"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In pesos, for the leasing of land for the operations of FEMSA Comercio. The contracts expire as follows:</w:t>
      </w:r>
    </w:p>
    <w:p>
      <w:pPr>
        <w:spacing w:after="0" w:line="14"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94"/>
              </w:rPr>
              <w:t>2003</w:t>
            </w:r>
          </w:p>
        </w:tc>
        <w:tc>
          <w:tcPr>
            <w:tcW w:w="2580" w:type="dxa"/>
            <w:vAlign w:val="bottom"/>
          </w:tcPr>
          <w:p>
            <w:pPr>
              <w:spacing w:after="0"/>
              <w:rPr>
                <w:sz w:val="14"/>
                <w:szCs w:val="14"/>
                <w:color w:val="auto"/>
              </w:rPr>
            </w:pPr>
          </w:p>
        </w:tc>
        <w:tc>
          <w:tcPr>
            <w:tcW w:w="288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   26</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Ps.  236</w:t>
            </w:r>
          </w:p>
        </w:tc>
      </w:tr>
      <w:tr>
        <w:trPr>
          <w:trHeight w:val="168"/>
        </w:trPr>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2004</w:t>
            </w:r>
          </w:p>
        </w:tc>
        <w:tc>
          <w:tcPr>
            <w:tcW w:w="2580" w:type="dxa"/>
            <w:vAlign w:val="bottom"/>
          </w:tcPr>
          <w:p>
            <w:pPr>
              <w:spacing w:after="0"/>
              <w:rPr>
                <w:sz w:val="14"/>
                <w:szCs w:val="14"/>
                <w:color w:val="auto"/>
              </w:rPr>
            </w:pPr>
          </w:p>
        </w:tc>
        <w:tc>
          <w:tcPr>
            <w:tcW w:w="28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22</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213</w:t>
            </w:r>
          </w:p>
        </w:tc>
      </w:tr>
      <w:tr>
        <w:trPr>
          <w:trHeight w:val="168"/>
        </w:trPr>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2005</w:t>
            </w:r>
          </w:p>
        </w:tc>
        <w:tc>
          <w:tcPr>
            <w:tcW w:w="2580" w:type="dxa"/>
            <w:vAlign w:val="bottom"/>
          </w:tcPr>
          <w:p>
            <w:pPr>
              <w:spacing w:after="0"/>
              <w:rPr>
                <w:sz w:val="14"/>
                <w:szCs w:val="14"/>
                <w:color w:val="auto"/>
              </w:rPr>
            </w:pPr>
          </w:p>
        </w:tc>
        <w:tc>
          <w:tcPr>
            <w:tcW w:w="28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16</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w:t>
            </w:r>
          </w:p>
        </w:tc>
      </w:tr>
      <w:tr>
        <w:trPr>
          <w:trHeight w:val="168"/>
        </w:trPr>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2006</w:t>
            </w:r>
          </w:p>
        </w:tc>
        <w:tc>
          <w:tcPr>
            <w:tcW w:w="2580" w:type="dxa"/>
            <w:vAlign w:val="bottom"/>
          </w:tcPr>
          <w:p>
            <w:pPr>
              <w:spacing w:after="0"/>
              <w:rPr>
                <w:sz w:val="14"/>
                <w:szCs w:val="14"/>
                <w:color w:val="auto"/>
              </w:rPr>
            </w:pPr>
          </w:p>
        </w:tc>
        <w:tc>
          <w:tcPr>
            <w:tcW w:w="28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8</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187</w:t>
            </w:r>
          </w:p>
        </w:tc>
      </w:tr>
      <w:tr>
        <w:trPr>
          <w:trHeight w:val="168"/>
        </w:trPr>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2007</w:t>
            </w:r>
          </w:p>
        </w:tc>
        <w:tc>
          <w:tcPr>
            <w:tcW w:w="2580" w:type="dxa"/>
            <w:vAlign w:val="bottom"/>
          </w:tcPr>
          <w:p>
            <w:pPr>
              <w:spacing w:after="0"/>
              <w:rPr>
                <w:sz w:val="14"/>
                <w:szCs w:val="14"/>
                <w:color w:val="auto"/>
              </w:rPr>
            </w:pPr>
          </w:p>
        </w:tc>
        <w:tc>
          <w:tcPr>
            <w:tcW w:w="28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4</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173</w:t>
            </w:r>
          </w:p>
        </w:tc>
      </w:tr>
      <w:tr>
        <w:trPr>
          <w:trHeight w:val="168"/>
        </w:trPr>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2008</w:t>
            </w:r>
          </w:p>
        </w:tc>
        <w:tc>
          <w:tcPr>
            <w:tcW w:w="2580" w:type="dxa"/>
            <w:vAlign w:val="bottom"/>
          </w:tcPr>
          <w:p>
            <w:pPr>
              <w:spacing w:after="0"/>
              <w:rPr>
                <w:sz w:val="14"/>
                <w:szCs w:val="14"/>
                <w:color w:val="auto"/>
              </w:rPr>
            </w:pPr>
          </w:p>
        </w:tc>
        <w:tc>
          <w:tcPr>
            <w:tcW w:w="28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159</w:t>
            </w:r>
          </w:p>
        </w:tc>
      </w:tr>
      <w:tr>
        <w:trPr>
          <w:trHeight w:val="168"/>
        </w:trPr>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2009</w:t>
            </w:r>
          </w:p>
        </w:tc>
        <w:tc>
          <w:tcPr>
            <w:tcW w:w="2580" w:type="dxa"/>
            <w:vAlign w:val="bottom"/>
          </w:tcPr>
          <w:p>
            <w:pPr>
              <w:spacing w:after="0"/>
              <w:rPr>
                <w:sz w:val="14"/>
                <w:szCs w:val="14"/>
                <w:color w:val="auto"/>
              </w:rPr>
            </w:pPr>
          </w:p>
        </w:tc>
        <w:tc>
          <w:tcPr>
            <w:tcW w:w="28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151</w:t>
            </w:r>
          </w:p>
        </w:tc>
      </w:tr>
      <w:tr>
        <w:trPr>
          <w:trHeight w:val="168"/>
        </w:trPr>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2010</w:t>
            </w:r>
          </w:p>
        </w:tc>
        <w:tc>
          <w:tcPr>
            <w:tcW w:w="2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to 2020</w:t>
            </w:r>
          </w:p>
        </w:tc>
        <w:tc>
          <w:tcPr>
            <w:tcW w:w="28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817</w:t>
            </w:r>
          </w:p>
        </w:tc>
      </w:tr>
    </w:tbl>
    <w:p>
      <w:pPr>
        <w:spacing w:after="0" w:line="5" w:lineRule="exact"/>
        <w:rPr>
          <w:sz w:val="20"/>
          <w:szCs w:val="20"/>
          <w:color w:val="auto"/>
        </w:rPr>
      </w:pPr>
    </w:p>
    <w:p>
      <w:pPr>
        <w:ind w:left="180" w:hanging="170"/>
        <w:spacing w:after="0"/>
        <w:tabs>
          <w:tab w:leader="none" w:pos="180"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Note 23.   Information by Segment.</w:t>
      </w:r>
    </w:p>
    <w:p>
      <w:pPr>
        <w:spacing w:after="0" w:line="17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Relevant information concerning the major subsidiaries of FEMSA, which represent different segments, is as follows: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Total Revenues (1)</w:t>
            </w:r>
          </w:p>
        </w:tc>
        <w:tc>
          <w:tcPr>
            <w:tcW w:w="204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2002</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2001</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60" w:type="dxa"/>
            <w:vAlign w:val="bottom"/>
          </w:tcPr>
          <w:p>
            <w:pPr>
              <w:spacing w:after="0"/>
              <w:rPr>
                <w:sz w:val="20"/>
                <w:szCs w:val="20"/>
                <w:color w:val="auto"/>
              </w:rPr>
            </w:pPr>
            <w:r>
              <w:rPr>
                <w:rFonts w:ascii="Courier New" w:cs="Courier New" w:eastAsia="Courier New" w:hAnsi="Courier New"/>
                <w:sz w:val="15"/>
                <w:szCs w:val="15"/>
                <w:color w:val="auto"/>
              </w:rPr>
              <w:t>FEMSA Cerveza</w:t>
            </w:r>
          </w:p>
        </w:tc>
        <w:tc>
          <w:tcPr>
            <w:tcW w:w="1880" w:type="dxa"/>
            <w:vAlign w:val="bottom"/>
          </w:tcPr>
          <w:p>
            <w:pPr>
              <w:spacing w:after="0"/>
              <w:rPr>
                <w:sz w:val="14"/>
                <w:szCs w:val="14"/>
                <w:color w:val="auto"/>
              </w:rPr>
            </w:pPr>
          </w:p>
        </w:tc>
        <w:tc>
          <w:tcPr>
            <w:tcW w:w="144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Ps. 20,815</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Ps. 20,703</w:t>
            </w:r>
          </w:p>
        </w:tc>
        <w:tc>
          <w:tcPr>
            <w:tcW w:w="1080" w:type="dxa"/>
            <w:vAlign w:val="bottom"/>
          </w:tcPr>
          <w:p>
            <w:pPr>
              <w:jc w:val="right"/>
              <w:ind w:right="7"/>
              <w:spacing w:after="0"/>
              <w:rPr>
                <w:sz w:val="20"/>
                <w:szCs w:val="20"/>
                <w:color w:val="auto"/>
              </w:rPr>
            </w:pPr>
            <w:r>
              <w:rPr>
                <w:rFonts w:ascii="Courier New" w:cs="Courier New" w:eastAsia="Courier New" w:hAnsi="Courier New"/>
                <w:sz w:val="15"/>
                <w:szCs w:val="15"/>
                <w:color w:val="auto"/>
              </w:rPr>
              <w:t>Ps. 19,841</w:t>
            </w:r>
          </w:p>
        </w:tc>
      </w:tr>
      <w:tr>
        <w:trPr>
          <w:trHeight w:val="336"/>
        </w:trPr>
        <w:tc>
          <w:tcPr>
            <w:tcW w:w="1360" w:type="dxa"/>
            <w:vAlign w:val="bottom"/>
          </w:tcPr>
          <w:p>
            <w:pPr>
              <w:spacing w:after="0"/>
              <w:rPr>
                <w:sz w:val="20"/>
                <w:szCs w:val="20"/>
                <w:color w:val="auto"/>
              </w:rPr>
            </w:pPr>
            <w:r>
              <w:rPr>
                <w:rFonts w:ascii="Courier New" w:cs="Courier New" w:eastAsia="Courier New" w:hAnsi="Courier New"/>
                <w:sz w:val="15"/>
                <w:szCs w:val="15"/>
                <w:color w:val="auto"/>
                <w:w w:val="99"/>
              </w:rPr>
              <w:t>Coca-Cola FEMSA</w:t>
            </w:r>
          </w:p>
        </w:tc>
        <w:tc>
          <w:tcPr>
            <w:tcW w:w="1880" w:type="dxa"/>
            <w:vAlign w:val="bottom"/>
          </w:tcPr>
          <w:p>
            <w:pPr>
              <w:ind w:left="40"/>
              <w:spacing w:after="0"/>
              <w:rPr>
                <w:sz w:val="20"/>
                <w:szCs w:val="20"/>
                <w:color w:val="auto"/>
              </w:rPr>
            </w:pPr>
            <w:r>
              <w:rPr>
                <w:rFonts w:ascii="Courier New" w:cs="Courier New" w:eastAsia="Courier New" w:hAnsi="Courier New"/>
                <w:sz w:val="15"/>
                <w:szCs w:val="15"/>
                <w:color w:val="auto"/>
              </w:rPr>
              <w:t>Mexico</w:t>
            </w:r>
          </w:p>
        </w:tc>
        <w:tc>
          <w:tcPr>
            <w:tcW w:w="144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16,198</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15,181</w:t>
            </w:r>
          </w:p>
        </w:tc>
        <w:tc>
          <w:tcPr>
            <w:tcW w:w="10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14,478</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Coca-Cola FEMSA</w:t>
            </w:r>
          </w:p>
        </w:tc>
        <w:tc>
          <w:tcPr>
            <w:tcW w:w="1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Buenos Aires</w:t>
            </w:r>
          </w:p>
        </w:tc>
        <w:tc>
          <w:tcPr>
            <w:tcW w:w="14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1,422</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1,549</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1,557</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FEMSA Empaques</w:t>
            </w:r>
          </w:p>
        </w:tc>
        <w:tc>
          <w:tcPr>
            <w:tcW w:w="1880" w:type="dxa"/>
            <w:vAlign w:val="bottom"/>
          </w:tcPr>
          <w:p>
            <w:pPr>
              <w:spacing w:after="0"/>
              <w:rPr>
                <w:sz w:val="14"/>
                <w:szCs w:val="14"/>
                <w:color w:val="auto"/>
              </w:rPr>
            </w:pPr>
          </w:p>
        </w:tc>
        <w:tc>
          <w:tcPr>
            <w:tcW w:w="14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6,599</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6,577</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6,929</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FEMSA Comercio</w:t>
            </w:r>
          </w:p>
        </w:tc>
        <w:tc>
          <w:tcPr>
            <w:tcW w:w="1880" w:type="dxa"/>
            <w:vAlign w:val="bottom"/>
          </w:tcPr>
          <w:p>
            <w:pPr>
              <w:spacing w:after="0"/>
              <w:rPr>
                <w:sz w:val="14"/>
                <w:szCs w:val="14"/>
                <w:color w:val="auto"/>
              </w:rPr>
            </w:pPr>
          </w:p>
        </w:tc>
        <w:tc>
          <w:tcPr>
            <w:tcW w:w="14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12,740</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10,732</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8,957</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FEMSA Logistica</w:t>
            </w:r>
          </w:p>
        </w:tc>
        <w:tc>
          <w:tcPr>
            <w:tcW w:w="1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 Logistica-CCM</w:t>
            </w:r>
          </w:p>
        </w:tc>
        <w:tc>
          <w:tcPr>
            <w:tcW w:w="14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1,458</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1,540</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1,549</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1880" w:type="dxa"/>
            <w:vAlign w:val="bottom"/>
          </w:tcPr>
          <w:p>
            <w:pPr>
              <w:spacing w:after="0"/>
              <w:rPr>
                <w:sz w:val="14"/>
                <w:szCs w:val="14"/>
                <w:color w:val="auto"/>
              </w:rPr>
            </w:pPr>
          </w:p>
        </w:tc>
        <w:tc>
          <w:tcPr>
            <w:tcW w:w="14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1,942</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1,486</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1,149</w:t>
            </w:r>
          </w:p>
        </w:tc>
      </w:tr>
      <w:tr>
        <w:trPr>
          <w:trHeight w:val="168"/>
        </w:trPr>
        <w:tc>
          <w:tcPr>
            <w:tcW w:w="32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Consolidation adjustments</w:t>
            </w:r>
          </w:p>
        </w:tc>
        <w:tc>
          <w:tcPr>
            <w:tcW w:w="1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(8,233)</w:t>
            </w: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(7,671)</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(6,591)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3600"/>
        <w:spacing w:after="0"/>
        <w:tabs>
          <w:tab w:leader="none" w:pos="4800" w:val="left"/>
          <w:tab w:leader="none" w:pos="6020" w:val="left"/>
        </w:tabs>
        <w:rPr>
          <w:sz w:val="20"/>
          <w:szCs w:val="20"/>
          <w:color w:val="auto"/>
        </w:rPr>
      </w:pPr>
      <w:r>
        <w:rPr>
          <w:rFonts w:ascii="Courier New" w:cs="Courier New" w:eastAsia="Courier New" w:hAnsi="Courier New"/>
          <w:sz w:val="15"/>
          <w:szCs w:val="15"/>
          <w:color w:val="auto"/>
        </w:rPr>
        <w:t>Ps. 52,941</w:t>
      </w:r>
      <w:r>
        <w:rPr>
          <w:sz w:val="20"/>
          <w:szCs w:val="20"/>
          <w:color w:val="auto"/>
        </w:rPr>
        <w:tab/>
      </w:r>
      <w:r>
        <w:rPr>
          <w:rFonts w:ascii="Courier New" w:cs="Courier New" w:eastAsia="Courier New" w:hAnsi="Courier New"/>
          <w:sz w:val="15"/>
          <w:szCs w:val="15"/>
          <w:color w:val="auto"/>
        </w:rPr>
        <w:t>Ps. 50,097</w:t>
      </w:r>
      <w:r>
        <w:rPr>
          <w:sz w:val="20"/>
          <w:szCs w:val="20"/>
          <w:color w:val="auto"/>
        </w:rPr>
        <w:tab/>
      </w:r>
      <w:r>
        <w:rPr>
          <w:rFonts w:ascii="Courier New" w:cs="Courier New" w:eastAsia="Courier New" w:hAnsi="Courier New"/>
          <w:sz w:val="14"/>
          <w:szCs w:val="14"/>
          <w:color w:val="auto"/>
        </w:rPr>
        <w:t>Ps. 47,869</w:t>
      </w:r>
    </w:p>
    <w:p>
      <w:pPr>
        <w:spacing w:after="0" w:line="5" w:lineRule="exact"/>
        <w:rPr>
          <w:sz w:val="20"/>
          <w:szCs w:val="20"/>
          <w:color w:val="auto"/>
        </w:rPr>
      </w:pPr>
    </w:p>
    <w:p>
      <w:pPr>
        <w:ind w:left="180" w:hanging="170"/>
        <w:spacing w:after="0"/>
        <w:tabs>
          <w:tab w:leader="none" w:pos="180"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2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188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2002</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2001</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FEMSA Cerveza (2)</w:t>
            </w:r>
          </w:p>
        </w:tc>
        <w:tc>
          <w:tcPr>
            <w:tcW w:w="130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Ps.  3,546</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Ps.  3,326</w:t>
            </w:r>
          </w:p>
        </w:tc>
        <w:tc>
          <w:tcPr>
            <w:tcW w:w="1080" w:type="dxa"/>
            <w:vAlign w:val="bottom"/>
          </w:tcPr>
          <w:p>
            <w:pPr>
              <w:jc w:val="right"/>
              <w:ind w:right="7"/>
              <w:spacing w:after="0"/>
              <w:rPr>
                <w:sz w:val="20"/>
                <w:szCs w:val="20"/>
                <w:color w:val="auto"/>
              </w:rPr>
            </w:pPr>
            <w:r>
              <w:rPr>
                <w:rFonts w:ascii="Courier New" w:cs="Courier New" w:eastAsia="Courier New" w:hAnsi="Courier New"/>
                <w:sz w:val="15"/>
                <w:szCs w:val="15"/>
                <w:color w:val="auto"/>
              </w:rPr>
              <w:t>Ps.  3,141</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Coca-Cola FEMSA</w:t>
            </w:r>
          </w:p>
        </w:tc>
        <w:tc>
          <w:tcPr>
            <w:tcW w:w="2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Mexico</w:t>
            </w:r>
          </w:p>
        </w:tc>
        <w:tc>
          <w:tcPr>
            <w:tcW w:w="13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4,421</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3,829</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3,053</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Coca-Cola FEMSA</w:t>
            </w:r>
          </w:p>
        </w:tc>
        <w:tc>
          <w:tcPr>
            <w:tcW w:w="2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Buenos Aires (3)</w:t>
            </w:r>
          </w:p>
        </w:tc>
        <w:tc>
          <w:tcPr>
            <w:tcW w:w="13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19</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FEMSA Empaques</w:t>
            </w:r>
          </w:p>
        </w:tc>
        <w:tc>
          <w:tcPr>
            <w:tcW w:w="2020" w:type="dxa"/>
            <w:vAlign w:val="bottom"/>
          </w:tcPr>
          <w:p>
            <w:pPr>
              <w:spacing w:after="0"/>
              <w:rPr>
                <w:sz w:val="14"/>
                <w:szCs w:val="14"/>
                <w:color w:val="auto"/>
              </w:rPr>
            </w:pPr>
          </w:p>
        </w:tc>
        <w:tc>
          <w:tcPr>
            <w:tcW w:w="13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905</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856</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1,009</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FEMSA Comercio</w:t>
            </w:r>
          </w:p>
        </w:tc>
        <w:tc>
          <w:tcPr>
            <w:tcW w:w="2020" w:type="dxa"/>
            <w:vAlign w:val="bottom"/>
          </w:tcPr>
          <w:p>
            <w:pPr>
              <w:spacing w:after="0"/>
              <w:rPr>
                <w:sz w:val="14"/>
                <w:szCs w:val="14"/>
                <w:color w:val="auto"/>
              </w:rPr>
            </w:pPr>
          </w:p>
        </w:tc>
        <w:tc>
          <w:tcPr>
            <w:tcW w:w="13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487</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297</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304</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FEMSA Logistica</w:t>
            </w:r>
          </w:p>
        </w:tc>
        <w:tc>
          <w:tcPr>
            <w:tcW w:w="2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 Logistica-CCM(4)</w:t>
            </w:r>
          </w:p>
        </w:tc>
        <w:tc>
          <w:tcPr>
            <w:tcW w:w="13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119</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99</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114</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2020" w:type="dxa"/>
            <w:vAlign w:val="bottom"/>
          </w:tcPr>
          <w:p>
            <w:pPr>
              <w:spacing w:after="0"/>
              <w:rPr>
                <w:sz w:val="14"/>
                <w:szCs w:val="14"/>
                <w:color w:val="auto"/>
              </w:rPr>
            </w:pPr>
          </w:p>
        </w:tc>
        <w:tc>
          <w:tcPr>
            <w:tcW w:w="13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967</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716</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279</w:t>
            </w:r>
          </w:p>
        </w:tc>
      </w:tr>
      <w:tr>
        <w:trPr>
          <w:trHeight w:val="168"/>
        </w:trPr>
        <w:tc>
          <w:tcPr>
            <w:tcW w:w="33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Consolidation adjustments</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(973)</w:t>
            </w: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(634)</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(264)</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3600"/>
        <w:spacing w:after="0"/>
        <w:tabs>
          <w:tab w:leader="none" w:pos="4020" w:val="left"/>
          <w:tab w:leader="none" w:pos="4800" w:val="left"/>
          <w:tab w:leader="none" w:pos="5240" w:val="left"/>
          <w:tab w:leader="none" w:pos="6020" w:val="left"/>
          <w:tab w:leader="none" w:pos="6460" w:val="left"/>
        </w:tabs>
        <w:rPr>
          <w:sz w:val="20"/>
          <w:szCs w:val="20"/>
          <w:color w:val="auto"/>
        </w:rPr>
      </w:pPr>
      <w:r>
        <w:rPr>
          <w:rFonts w:ascii="Courier New" w:cs="Courier New" w:eastAsia="Courier New" w:hAnsi="Courier New"/>
          <w:sz w:val="15"/>
          <w:szCs w:val="15"/>
          <w:color w:val="auto"/>
        </w:rPr>
        <w:t>Ps.</w:t>
        <w:tab/>
        <w:t>9,491</w:t>
      </w:r>
      <w:r>
        <w:rPr>
          <w:sz w:val="20"/>
          <w:szCs w:val="20"/>
          <w:color w:val="auto"/>
        </w:rPr>
        <w:tab/>
      </w:r>
      <w:r>
        <w:rPr>
          <w:rFonts w:ascii="Courier New" w:cs="Courier New" w:eastAsia="Courier New" w:hAnsi="Courier New"/>
          <w:sz w:val="15"/>
          <w:szCs w:val="15"/>
          <w:color w:val="auto"/>
        </w:rPr>
        <w:t>Ps.</w:t>
        <w:tab/>
        <w:t>8,533</w:t>
      </w:r>
      <w:r>
        <w:rPr>
          <w:sz w:val="20"/>
          <w:szCs w:val="20"/>
          <w:color w:val="auto"/>
        </w:rPr>
        <w:tab/>
      </w:r>
      <w:r>
        <w:rPr>
          <w:rFonts w:ascii="Courier New" w:cs="Courier New" w:eastAsia="Courier New" w:hAnsi="Courier New"/>
          <w:sz w:val="15"/>
          <w:szCs w:val="15"/>
          <w:color w:val="auto"/>
        </w:rPr>
        <w:t>Ps.</w:t>
      </w:r>
      <w:r>
        <w:rPr>
          <w:sz w:val="20"/>
          <w:szCs w:val="20"/>
          <w:color w:val="auto"/>
        </w:rPr>
        <w:tab/>
      </w:r>
      <w:r>
        <w:rPr>
          <w:rFonts w:ascii="Courier New" w:cs="Courier New" w:eastAsia="Courier New" w:hAnsi="Courier New"/>
          <w:sz w:val="14"/>
          <w:szCs w:val="14"/>
          <w:color w:val="auto"/>
        </w:rPr>
        <w:t>7,663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p>
      <w:pPr>
        <w:ind w:left="440" w:hanging="430"/>
        <w:spacing w:after="0"/>
        <w:tabs>
          <w:tab w:leader="none" w:pos="440"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Sales and transfers between geographic areas are not significant</w:t>
      </w:r>
    </w:p>
    <w:p>
      <w:pPr>
        <w:spacing w:after="0" w:line="4" w:lineRule="exact"/>
        <w:rPr>
          <w:rFonts w:ascii="Courier New" w:cs="Courier New" w:eastAsia="Courier New" w:hAnsi="Courier New"/>
          <w:sz w:val="15"/>
          <w:szCs w:val="15"/>
          <w:color w:val="auto"/>
        </w:rPr>
      </w:pPr>
    </w:p>
    <w:p>
      <w:pPr>
        <w:ind w:left="440" w:right="3499" w:hanging="430"/>
        <w:spacing w:after="0" w:line="234" w:lineRule="auto"/>
        <w:tabs>
          <w:tab w:leader="none" w:pos="440"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equity method of affiliated companies of Ps. 84, Ps. 33 and Ps. 37, respectively</w:t>
      </w:r>
    </w:p>
    <w:p>
      <w:pPr>
        <w:spacing w:after="0" w:line="5" w:lineRule="exact"/>
        <w:rPr>
          <w:rFonts w:ascii="Courier New" w:cs="Courier New" w:eastAsia="Courier New" w:hAnsi="Courier New"/>
          <w:sz w:val="15"/>
          <w:szCs w:val="15"/>
          <w:color w:val="auto"/>
        </w:rPr>
      </w:pPr>
    </w:p>
    <w:p>
      <w:pPr>
        <w:ind w:left="440" w:right="3399" w:hanging="430"/>
        <w:spacing w:after="0" w:line="234" w:lineRule="auto"/>
        <w:tabs>
          <w:tab w:leader="none" w:pos="440"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the amortization of goodwill for Coca-Cola FEMSA Buenos Aires of Ps. 37, Ps. 101 and Ps. 108, respectively</w:t>
      </w:r>
    </w:p>
    <w:p>
      <w:pPr>
        <w:spacing w:after="0" w:line="5" w:lineRule="exact"/>
        <w:rPr>
          <w:rFonts w:ascii="Courier New" w:cs="Courier New" w:eastAsia="Courier New" w:hAnsi="Courier New"/>
          <w:sz w:val="15"/>
          <w:szCs w:val="15"/>
          <w:color w:val="auto"/>
        </w:rPr>
      </w:pPr>
    </w:p>
    <w:p>
      <w:pPr>
        <w:ind w:left="440" w:right="3579" w:hanging="430"/>
        <w:spacing w:after="0" w:line="234" w:lineRule="auto"/>
        <w:tabs>
          <w:tab w:leader="none" w:pos="440"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operating expense in connection with e-commerce project, which amounted to Ps. 29, Ps. 42 and Ps. 29, respectively.</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F-30</w:t>
      </w:r>
    </w:p>
    <w:p>
      <w:pPr>
        <w:sectPr>
          <w:pgSz w:w="11900" w:h="16838" w:orient="portrait"/>
          <w:cols w:equalWidth="0" w:num="1">
            <w:col w:w="10239"/>
          </w:cols>
          <w:pgMar w:left="220" w:top="785" w:right="1440" w:bottom="1440" w:gutter="0" w:footer="0" w:header="0"/>
        </w:sectPr>
      </w:pPr>
    </w:p>
    <w:bookmarkStart w:id="193" w:name="page194"/>
    <w:bookmarkEnd w:id="193"/>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80" w:type="dxa"/>
            <w:vAlign w:val="bottom"/>
          </w:tcPr>
          <w:p>
            <w:pPr>
              <w:spacing w:after="0"/>
              <w:rPr>
                <w:sz w:val="20"/>
                <w:szCs w:val="20"/>
                <w:color w:val="auto"/>
              </w:rPr>
            </w:pPr>
            <w:r>
              <w:rPr>
                <w:rFonts w:ascii="Courier New" w:cs="Courier New" w:eastAsia="Courier New" w:hAnsi="Courier New"/>
                <w:sz w:val="15"/>
                <w:szCs w:val="15"/>
                <w:color w:val="auto"/>
              </w:rPr>
              <w:t>Depreciation</w:t>
            </w:r>
          </w:p>
        </w:tc>
        <w:tc>
          <w:tcPr>
            <w:tcW w:w="23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2002</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2001</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60" w:type="dxa"/>
            <w:vAlign w:val="bottom"/>
          </w:tcPr>
          <w:p>
            <w:pPr>
              <w:spacing w:after="0"/>
              <w:rPr>
                <w:sz w:val="20"/>
                <w:szCs w:val="20"/>
                <w:color w:val="auto"/>
              </w:rPr>
            </w:pPr>
            <w:r>
              <w:rPr>
                <w:rFonts w:ascii="Courier New" w:cs="Courier New" w:eastAsia="Courier New" w:hAnsi="Courier New"/>
                <w:sz w:val="15"/>
                <w:szCs w:val="15"/>
                <w:color w:val="auto"/>
              </w:rPr>
              <w:t>FEMSA Cerveza</w:t>
            </w:r>
          </w:p>
        </w:tc>
        <w:tc>
          <w:tcPr>
            <w:tcW w:w="1880" w:type="dxa"/>
            <w:vAlign w:val="bottom"/>
          </w:tcPr>
          <w:p>
            <w:pPr>
              <w:spacing w:after="0"/>
              <w:rPr>
                <w:sz w:val="14"/>
                <w:szCs w:val="14"/>
                <w:color w:val="auto"/>
              </w:rPr>
            </w:pPr>
          </w:p>
        </w:tc>
        <w:tc>
          <w:tcPr>
            <w:tcW w:w="14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Ps.  1,114</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Ps.</w:t>
            </w:r>
          </w:p>
        </w:tc>
        <w:tc>
          <w:tcPr>
            <w:tcW w:w="6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991</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Ps.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966</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Coca-Cola FEMSA</w:t>
            </w:r>
          </w:p>
        </w:tc>
        <w:tc>
          <w:tcPr>
            <w:tcW w:w="1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Mexico (1)</w:t>
            </w:r>
          </w:p>
        </w:tc>
        <w:tc>
          <w:tcPr>
            <w:tcW w:w="14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705</w:t>
            </w:r>
          </w:p>
        </w:tc>
        <w:tc>
          <w:tcPr>
            <w:tcW w:w="620" w:type="dxa"/>
            <w:vAlign w:val="bottom"/>
          </w:tcPr>
          <w:p>
            <w:pPr>
              <w:spacing w:after="0"/>
              <w:rPr>
                <w:sz w:val="14"/>
                <w:szCs w:val="14"/>
                <w:color w:val="auto"/>
              </w:rPr>
            </w:pP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818</w:t>
            </w:r>
          </w:p>
        </w:tc>
        <w:tc>
          <w:tcPr>
            <w:tcW w:w="62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941</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Coca-Cola FEMSA</w:t>
            </w:r>
          </w:p>
        </w:tc>
        <w:tc>
          <w:tcPr>
            <w:tcW w:w="1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Buenos Aires (1)</w:t>
            </w:r>
          </w:p>
        </w:tc>
        <w:tc>
          <w:tcPr>
            <w:tcW w:w="14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168</w:t>
            </w:r>
          </w:p>
        </w:tc>
        <w:tc>
          <w:tcPr>
            <w:tcW w:w="620" w:type="dxa"/>
            <w:vAlign w:val="bottom"/>
          </w:tcPr>
          <w:p>
            <w:pPr>
              <w:spacing w:after="0"/>
              <w:rPr>
                <w:sz w:val="14"/>
                <w:szCs w:val="14"/>
                <w:color w:val="auto"/>
              </w:rPr>
            </w:pP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106</w:t>
            </w:r>
          </w:p>
        </w:tc>
        <w:tc>
          <w:tcPr>
            <w:tcW w:w="62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114</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FEMSA Empaques</w:t>
            </w:r>
          </w:p>
        </w:tc>
        <w:tc>
          <w:tcPr>
            <w:tcW w:w="1880" w:type="dxa"/>
            <w:vAlign w:val="bottom"/>
          </w:tcPr>
          <w:p>
            <w:pPr>
              <w:spacing w:after="0"/>
              <w:rPr>
                <w:sz w:val="14"/>
                <w:szCs w:val="14"/>
                <w:color w:val="auto"/>
              </w:rPr>
            </w:pPr>
          </w:p>
        </w:tc>
        <w:tc>
          <w:tcPr>
            <w:tcW w:w="14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262</w:t>
            </w:r>
          </w:p>
        </w:tc>
        <w:tc>
          <w:tcPr>
            <w:tcW w:w="620" w:type="dxa"/>
            <w:vAlign w:val="bottom"/>
          </w:tcPr>
          <w:p>
            <w:pPr>
              <w:spacing w:after="0"/>
              <w:rPr>
                <w:sz w:val="14"/>
                <w:szCs w:val="14"/>
                <w:color w:val="auto"/>
              </w:rPr>
            </w:pP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246</w:t>
            </w:r>
          </w:p>
        </w:tc>
        <w:tc>
          <w:tcPr>
            <w:tcW w:w="62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252</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FEMSA Comercio</w:t>
            </w:r>
          </w:p>
        </w:tc>
        <w:tc>
          <w:tcPr>
            <w:tcW w:w="1880" w:type="dxa"/>
            <w:vAlign w:val="bottom"/>
          </w:tcPr>
          <w:p>
            <w:pPr>
              <w:spacing w:after="0"/>
              <w:rPr>
                <w:sz w:val="14"/>
                <w:szCs w:val="14"/>
                <w:color w:val="auto"/>
              </w:rPr>
            </w:pPr>
          </w:p>
        </w:tc>
        <w:tc>
          <w:tcPr>
            <w:tcW w:w="14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90</w:t>
            </w:r>
          </w:p>
        </w:tc>
        <w:tc>
          <w:tcPr>
            <w:tcW w:w="620" w:type="dxa"/>
            <w:vAlign w:val="bottom"/>
          </w:tcPr>
          <w:p>
            <w:pPr>
              <w:spacing w:after="0"/>
              <w:rPr>
                <w:sz w:val="14"/>
                <w:szCs w:val="14"/>
                <w:color w:val="auto"/>
              </w:rPr>
            </w:pP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81</w:t>
            </w:r>
          </w:p>
        </w:tc>
        <w:tc>
          <w:tcPr>
            <w:tcW w:w="62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FEMSA Logistica</w:t>
            </w:r>
          </w:p>
        </w:tc>
        <w:tc>
          <w:tcPr>
            <w:tcW w:w="1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 Logistica-CCM</w:t>
            </w:r>
          </w:p>
        </w:tc>
        <w:tc>
          <w:tcPr>
            <w:tcW w:w="14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33</w:t>
            </w:r>
          </w:p>
        </w:tc>
        <w:tc>
          <w:tcPr>
            <w:tcW w:w="620" w:type="dxa"/>
            <w:vAlign w:val="bottom"/>
          </w:tcPr>
          <w:p>
            <w:pPr>
              <w:spacing w:after="0"/>
              <w:rPr>
                <w:sz w:val="14"/>
                <w:szCs w:val="14"/>
                <w:color w:val="auto"/>
              </w:rPr>
            </w:pP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36</w:t>
            </w:r>
          </w:p>
        </w:tc>
        <w:tc>
          <w:tcPr>
            <w:tcW w:w="62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1880" w:type="dxa"/>
            <w:vAlign w:val="bottom"/>
          </w:tcPr>
          <w:p>
            <w:pPr>
              <w:spacing w:after="0"/>
              <w:rPr>
                <w:sz w:val="14"/>
                <w:szCs w:val="14"/>
                <w:color w:val="auto"/>
              </w:rPr>
            </w:pPr>
          </w:p>
        </w:tc>
        <w:tc>
          <w:tcPr>
            <w:tcW w:w="14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w:t>
            </w:r>
          </w:p>
        </w:tc>
        <w:tc>
          <w:tcPr>
            <w:tcW w:w="620" w:type="dxa"/>
            <w:vAlign w:val="bottom"/>
          </w:tcPr>
          <w:p>
            <w:pPr>
              <w:spacing w:after="0"/>
              <w:rPr>
                <w:sz w:val="14"/>
                <w:szCs w:val="14"/>
                <w:color w:val="auto"/>
              </w:rPr>
            </w:pP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w:t>
            </w:r>
          </w:p>
        </w:tc>
        <w:tc>
          <w:tcPr>
            <w:tcW w:w="62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3600"/>
        <w:spacing w:after="0"/>
        <w:tabs>
          <w:tab w:leader="none" w:pos="4020" w:val="left"/>
          <w:tab w:leader="none" w:pos="4800" w:val="left"/>
          <w:tab w:leader="none" w:pos="5240" w:val="left"/>
          <w:tab w:leader="none" w:pos="6020" w:val="left"/>
          <w:tab w:leader="none" w:pos="6460" w:val="left"/>
        </w:tabs>
        <w:rPr>
          <w:sz w:val="20"/>
          <w:szCs w:val="20"/>
          <w:color w:val="auto"/>
        </w:rPr>
      </w:pPr>
      <w:r>
        <w:rPr>
          <w:rFonts w:ascii="Courier New" w:cs="Courier New" w:eastAsia="Courier New" w:hAnsi="Courier New"/>
          <w:sz w:val="15"/>
          <w:szCs w:val="15"/>
          <w:color w:val="auto"/>
        </w:rPr>
        <w:t>Ps.</w:t>
        <w:tab/>
        <w:t>2,378</w:t>
      </w:r>
      <w:r>
        <w:rPr>
          <w:sz w:val="20"/>
          <w:szCs w:val="20"/>
          <w:color w:val="auto"/>
        </w:rPr>
        <w:tab/>
      </w:r>
      <w:r>
        <w:rPr>
          <w:rFonts w:ascii="Courier New" w:cs="Courier New" w:eastAsia="Courier New" w:hAnsi="Courier New"/>
          <w:sz w:val="15"/>
          <w:szCs w:val="15"/>
          <w:color w:val="auto"/>
        </w:rPr>
        <w:t>Ps.</w:t>
        <w:tab/>
        <w:t>2,290</w:t>
      </w:r>
      <w:r>
        <w:rPr>
          <w:sz w:val="20"/>
          <w:szCs w:val="20"/>
          <w:color w:val="auto"/>
        </w:rPr>
        <w:tab/>
      </w:r>
      <w:r>
        <w:rPr>
          <w:rFonts w:ascii="Courier New" w:cs="Courier New" w:eastAsia="Courier New" w:hAnsi="Courier New"/>
          <w:sz w:val="15"/>
          <w:szCs w:val="15"/>
          <w:color w:val="auto"/>
        </w:rPr>
        <w:t>Ps.</w:t>
      </w:r>
      <w:r>
        <w:rPr>
          <w:sz w:val="20"/>
          <w:szCs w:val="20"/>
          <w:color w:val="auto"/>
        </w:rPr>
        <w:tab/>
      </w:r>
      <w:r>
        <w:rPr>
          <w:rFonts w:ascii="Courier New" w:cs="Courier New" w:eastAsia="Courier New" w:hAnsi="Courier New"/>
          <w:sz w:val="14"/>
          <w:szCs w:val="14"/>
          <w:color w:val="auto"/>
        </w:rPr>
        <w:t>2,415</w:t>
      </w:r>
    </w:p>
    <w:p>
      <w:pPr>
        <w:spacing w:after="0" w:line="5" w:lineRule="exact"/>
        <w:rPr>
          <w:sz w:val="20"/>
          <w:szCs w:val="20"/>
          <w:color w:val="auto"/>
        </w:rPr>
      </w:pPr>
    </w:p>
    <w:p>
      <w:pPr>
        <w:ind w:left="180" w:hanging="170"/>
        <w:spacing w:after="0"/>
        <w:tabs>
          <w:tab w:leader="none" w:pos="180"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Amortization and Other Non-Cash</w:t>
      </w:r>
    </w:p>
    <w:tbl>
      <w:tblPr>
        <w:tblLayout w:type="fixed"/>
        <w:tblInd w:w="100" w:type="dxa"/>
        <w:tblCellMar>
          <w:top w:w="0" w:type="dxa"/>
          <w:left w:w="0" w:type="dxa"/>
          <w:bottom w:w="0" w:type="dxa"/>
          <w:right w:w="0" w:type="dxa"/>
        </w:tblCellMar>
      </w:tblPr>
      <w:tr>
        <w:trPr>
          <w:trHeight w:val="169"/>
        </w:trPr>
        <w:tc>
          <w:tcPr>
            <w:tcW w:w="2480" w:type="dxa"/>
            <w:vAlign w:val="bottom"/>
          </w:tcPr>
          <w:p>
            <w:pPr>
              <w:spacing w:after="0" w:line="169" w:lineRule="exact"/>
              <w:rPr>
                <w:sz w:val="20"/>
                <w:szCs w:val="20"/>
                <w:color w:val="auto"/>
              </w:rPr>
            </w:pPr>
            <w:r>
              <w:rPr>
                <w:rFonts w:ascii="Courier New" w:cs="Courier New" w:eastAsia="Courier New" w:hAnsi="Courier New"/>
                <w:sz w:val="15"/>
                <w:szCs w:val="15"/>
                <w:color w:val="auto"/>
              </w:rPr>
              <w:t>Charges (2)</w:t>
            </w:r>
          </w:p>
        </w:tc>
        <w:tc>
          <w:tcPr>
            <w:tcW w:w="2320" w:type="dxa"/>
            <w:vAlign w:val="bottom"/>
          </w:tcPr>
          <w:p>
            <w:pPr>
              <w:jc w:val="right"/>
              <w:ind w:right="347"/>
              <w:spacing w:after="0" w:line="169" w:lineRule="exact"/>
              <w:rPr>
                <w:sz w:val="20"/>
                <w:szCs w:val="20"/>
                <w:color w:val="auto"/>
              </w:rPr>
            </w:pPr>
            <w:r>
              <w:rPr>
                <w:rFonts w:ascii="Courier New" w:cs="Courier New" w:eastAsia="Courier New" w:hAnsi="Courier New"/>
                <w:sz w:val="15"/>
                <w:szCs w:val="15"/>
                <w:color w:val="auto"/>
              </w:rPr>
              <w:t>2002</w:t>
            </w:r>
          </w:p>
        </w:tc>
        <w:tc>
          <w:tcPr>
            <w:tcW w:w="1240" w:type="dxa"/>
            <w:vAlign w:val="bottom"/>
          </w:tcPr>
          <w:p>
            <w:pPr>
              <w:jc w:val="right"/>
              <w:ind w:right="367"/>
              <w:spacing w:after="0" w:line="169" w:lineRule="exact"/>
              <w:rPr>
                <w:sz w:val="20"/>
                <w:szCs w:val="20"/>
                <w:color w:val="auto"/>
              </w:rPr>
            </w:pPr>
            <w:r>
              <w:rPr>
                <w:rFonts w:ascii="Courier New" w:cs="Courier New" w:eastAsia="Courier New" w:hAnsi="Courier New"/>
                <w:sz w:val="15"/>
                <w:szCs w:val="15"/>
                <w:color w:val="auto"/>
              </w:rPr>
              <w:t>2001</w:t>
            </w:r>
          </w:p>
        </w:tc>
        <w:tc>
          <w:tcPr>
            <w:tcW w:w="78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2000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60" w:type="dxa"/>
            <w:vAlign w:val="bottom"/>
          </w:tcPr>
          <w:p>
            <w:pPr>
              <w:spacing w:after="0"/>
              <w:rPr>
                <w:sz w:val="20"/>
                <w:szCs w:val="20"/>
                <w:color w:val="auto"/>
              </w:rPr>
            </w:pPr>
            <w:r>
              <w:rPr>
                <w:rFonts w:ascii="Courier New" w:cs="Courier New" w:eastAsia="Courier New" w:hAnsi="Courier New"/>
                <w:sz w:val="15"/>
                <w:szCs w:val="15"/>
                <w:color w:val="auto"/>
              </w:rPr>
              <w:t>FEMSA Cerveza</w:t>
            </w:r>
          </w:p>
        </w:tc>
        <w:tc>
          <w:tcPr>
            <w:tcW w:w="1880" w:type="dxa"/>
            <w:vAlign w:val="bottom"/>
          </w:tcPr>
          <w:p>
            <w:pPr>
              <w:spacing w:after="0"/>
              <w:rPr>
                <w:sz w:val="14"/>
                <w:szCs w:val="14"/>
                <w:color w:val="auto"/>
              </w:rPr>
            </w:pPr>
          </w:p>
        </w:tc>
        <w:tc>
          <w:tcPr>
            <w:tcW w:w="144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Ps.  1,170</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Ps.  1,072</w:t>
            </w:r>
          </w:p>
        </w:tc>
        <w:tc>
          <w:tcPr>
            <w:tcW w:w="1080" w:type="dxa"/>
            <w:vAlign w:val="bottom"/>
          </w:tcPr>
          <w:p>
            <w:pPr>
              <w:jc w:val="right"/>
              <w:ind w:right="7"/>
              <w:spacing w:after="0"/>
              <w:rPr>
                <w:sz w:val="20"/>
                <w:szCs w:val="20"/>
                <w:color w:val="auto"/>
              </w:rPr>
            </w:pPr>
            <w:r>
              <w:rPr>
                <w:rFonts w:ascii="Courier New" w:cs="Courier New" w:eastAsia="Courier New" w:hAnsi="Courier New"/>
                <w:sz w:val="15"/>
                <w:szCs w:val="15"/>
                <w:color w:val="auto"/>
              </w:rPr>
              <w:t>Ps.  1,041</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Coca-Cola FEMSA</w:t>
            </w:r>
          </w:p>
        </w:tc>
        <w:tc>
          <w:tcPr>
            <w:tcW w:w="1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Mexico</w:t>
            </w:r>
          </w:p>
        </w:tc>
        <w:tc>
          <w:tcPr>
            <w:tcW w:w="14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168</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59</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83</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Coca-Cola FEMSA</w:t>
            </w:r>
          </w:p>
        </w:tc>
        <w:tc>
          <w:tcPr>
            <w:tcW w:w="1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Buenos Aires</w:t>
            </w:r>
          </w:p>
        </w:tc>
        <w:tc>
          <w:tcPr>
            <w:tcW w:w="1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83</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90</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FEMSA Empaques</w:t>
            </w:r>
          </w:p>
        </w:tc>
        <w:tc>
          <w:tcPr>
            <w:tcW w:w="1880" w:type="dxa"/>
            <w:vAlign w:val="bottom"/>
          </w:tcPr>
          <w:p>
            <w:pPr>
              <w:spacing w:after="0"/>
              <w:rPr>
                <w:sz w:val="14"/>
                <w:szCs w:val="14"/>
                <w:color w:val="auto"/>
              </w:rPr>
            </w:pPr>
          </w:p>
        </w:tc>
        <w:tc>
          <w:tcPr>
            <w:tcW w:w="14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65</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163</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90</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FEMSA Comercio</w:t>
            </w:r>
          </w:p>
        </w:tc>
        <w:tc>
          <w:tcPr>
            <w:tcW w:w="1880" w:type="dxa"/>
            <w:vAlign w:val="bottom"/>
          </w:tcPr>
          <w:p>
            <w:pPr>
              <w:spacing w:after="0"/>
              <w:rPr>
                <w:sz w:val="14"/>
                <w:szCs w:val="14"/>
                <w:color w:val="auto"/>
              </w:rPr>
            </w:pPr>
          </w:p>
        </w:tc>
        <w:tc>
          <w:tcPr>
            <w:tcW w:w="14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152</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133</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138</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FEMSA Logistica</w:t>
            </w:r>
          </w:p>
        </w:tc>
        <w:tc>
          <w:tcPr>
            <w:tcW w:w="1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 Logistica-CCM</w:t>
            </w:r>
          </w:p>
        </w:tc>
        <w:tc>
          <w:tcPr>
            <w:tcW w:w="14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3</w:t>
            </w: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1880" w:type="dxa"/>
            <w:vAlign w:val="bottom"/>
          </w:tcPr>
          <w:p>
            <w:pPr>
              <w:spacing w:after="0"/>
              <w:rPr>
                <w:sz w:val="14"/>
                <w:szCs w:val="14"/>
                <w:color w:val="auto"/>
              </w:rPr>
            </w:pPr>
          </w:p>
        </w:tc>
        <w:tc>
          <w:tcPr>
            <w:tcW w:w="14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140</w:t>
            </w: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(64)</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3600"/>
        <w:spacing w:after="0"/>
        <w:tabs>
          <w:tab w:leader="none" w:pos="4020" w:val="left"/>
          <w:tab w:leader="none" w:pos="4800" w:val="left"/>
          <w:tab w:leader="none" w:pos="5240" w:val="left"/>
          <w:tab w:leader="none" w:pos="6020" w:val="left"/>
          <w:tab w:leader="none" w:pos="6460" w:val="left"/>
        </w:tabs>
        <w:rPr>
          <w:sz w:val="20"/>
          <w:szCs w:val="20"/>
          <w:color w:val="auto"/>
        </w:rPr>
      </w:pPr>
      <w:r>
        <w:rPr>
          <w:rFonts w:ascii="Courier New" w:cs="Courier New" w:eastAsia="Courier New" w:hAnsi="Courier New"/>
          <w:sz w:val="15"/>
          <w:szCs w:val="15"/>
          <w:color w:val="auto"/>
        </w:rPr>
        <w:t>Ps.</w:t>
        <w:tab/>
        <w:t>1,695</w:t>
      </w:r>
      <w:r>
        <w:rPr>
          <w:sz w:val="20"/>
          <w:szCs w:val="20"/>
          <w:color w:val="auto"/>
        </w:rPr>
        <w:tab/>
      </w:r>
      <w:r>
        <w:rPr>
          <w:rFonts w:ascii="Courier New" w:cs="Courier New" w:eastAsia="Courier New" w:hAnsi="Courier New"/>
          <w:sz w:val="15"/>
          <w:szCs w:val="15"/>
          <w:color w:val="auto"/>
        </w:rPr>
        <w:t>Ps.</w:t>
        <w:tab/>
        <w:t>1,431</w:t>
      </w:r>
      <w:r>
        <w:rPr>
          <w:sz w:val="20"/>
          <w:szCs w:val="20"/>
          <w:color w:val="auto"/>
        </w:rPr>
        <w:tab/>
      </w:r>
      <w:r>
        <w:rPr>
          <w:rFonts w:ascii="Courier New" w:cs="Courier New" w:eastAsia="Courier New" w:hAnsi="Courier New"/>
          <w:sz w:val="15"/>
          <w:szCs w:val="15"/>
          <w:color w:val="auto"/>
        </w:rPr>
        <w:t>Ps.</w:t>
      </w:r>
      <w:r>
        <w:rPr>
          <w:sz w:val="20"/>
          <w:szCs w:val="20"/>
          <w:color w:val="auto"/>
        </w:rPr>
        <w:tab/>
      </w:r>
      <w:r>
        <w:rPr>
          <w:rFonts w:ascii="Courier New" w:cs="Courier New" w:eastAsia="Courier New" w:hAnsi="Courier New"/>
          <w:sz w:val="14"/>
          <w:szCs w:val="14"/>
          <w:color w:val="auto"/>
        </w:rPr>
        <w:t>1,494</w:t>
      </w:r>
    </w:p>
    <w:p>
      <w:pPr>
        <w:spacing w:after="0" w:line="5" w:lineRule="exact"/>
        <w:rPr>
          <w:sz w:val="20"/>
          <w:szCs w:val="20"/>
          <w:color w:val="auto"/>
        </w:rPr>
      </w:pPr>
    </w:p>
    <w:p>
      <w:pPr>
        <w:ind w:left="180" w:hanging="170"/>
        <w:spacing w:after="0"/>
        <w:tabs>
          <w:tab w:leader="none" w:pos="180"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45"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Impairment of Long-Lived Assets</w:t>
            </w:r>
          </w:p>
        </w:tc>
        <w:tc>
          <w:tcPr>
            <w:tcW w:w="148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2002</w:t>
            </w:r>
          </w:p>
        </w:tc>
        <w:tc>
          <w:tcPr>
            <w:tcW w:w="11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2001</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FEMSA Cerveza</w:t>
            </w:r>
          </w:p>
        </w:tc>
        <w:tc>
          <w:tcPr>
            <w:tcW w:w="1580" w:type="dxa"/>
            <w:vAlign w:val="bottom"/>
          </w:tcPr>
          <w:p>
            <w:pPr>
              <w:ind w:left="1140"/>
              <w:spacing w:after="0"/>
              <w:rPr>
                <w:sz w:val="20"/>
                <w:szCs w:val="20"/>
                <w:color w:val="auto"/>
              </w:rPr>
            </w:pPr>
            <w:r>
              <w:rPr>
                <w:rFonts w:ascii="Courier New" w:cs="Courier New" w:eastAsia="Courier New" w:hAnsi="Courier New"/>
                <w:sz w:val="15"/>
                <w:szCs w:val="15"/>
                <w:color w:val="auto"/>
              </w:rPr>
              <w:t>Ps.</w:t>
            </w:r>
          </w:p>
        </w:tc>
        <w:tc>
          <w:tcPr>
            <w:tcW w:w="6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162</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Ps.</w:t>
            </w:r>
          </w:p>
        </w:tc>
        <w:tc>
          <w:tcPr>
            <w:tcW w:w="6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140</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Ps.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Coca-Cola FEMSA</w:t>
            </w:r>
          </w:p>
        </w:tc>
        <w:tc>
          <w:tcPr>
            <w:tcW w:w="1580" w:type="dxa"/>
            <w:vAlign w:val="bottom"/>
          </w:tcPr>
          <w:p>
            <w:pPr>
              <w:spacing w:after="0"/>
              <w:rPr>
                <w:sz w:val="14"/>
                <w:szCs w:val="14"/>
                <w:color w:val="auto"/>
              </w:rPr>
            </w:pP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402</w:t>
            </w:r>
          </w:p>
        </w:tc>
        <w:tc>
          <w:tcPr>
            <w:tcW w:w="620" w:type="dxa"/>
            <w:vAlign w:val="bottom"/>
          </w:tcPr>
          <w:p>
            <w:pPr>
              <w:spacing w:after="0"/>
              <w:rPr>
                <w:sz w:val="14"/>
                <w:szCs w:val="14"/>
                <w:color w:val="auto"/>
              </w:rPr>
            </w:pP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3600"/>
        <w:spacing w:after="0"/>
        <w:tabs>
          <w:tab w:leader="none" w:pos="4180" w:val="left"/>
          <w:tab w:leader="none" w:pos="4800" w:val="left"/>
          <w:tab w:leader="none" w:pos="5420" w:val="left"/>
          <w:tab w:leader="none" w:pos="6020" w:val="left"/>
          <w:tab w:leader="none" w:pos="6820" w:val="left"/>
        </w:tabs>
        <w:rPr>
          <w:sz w:val="20"/>
          <w:szCs w:val="20"/>
          <w:color w:val="auto"/>
        </w:rPr>
      </w:pPr>
      <w:r>
        <w:rPr>
          <w:rFonts w:ascii="Courier New" w:cs="Courier New" w:eastAsia="Courier New" w:hAnsi="Courier New"/>
          <w:sz w:val="15"/>
          <w:szCs w:val="15"/>
          <w:color w:val="auto"/>
        </w:rPr>
        <w:t>Ps.</w:t>
      </w:r>
      <w:r>
        <w:rPr>
          <w:sz w:val="20"/>
          <w:szCs w:val="20"/>
          <w:color w:val="auto"/>
        </w:rPr>
        <w:tab/>
      </w:r>
      <w:r>
        <w:rPr>
          <w:rFonts w:ascii="Courier New" w:cs="Courier New" w:eastAsia="Courier New" w:hAnsi="Courier New"/>
          <w:sz w:val="15"/>
          <w:szCs w:val="15"/>
          <w:color w:val="auto"/>
        </w:rPr>
        <w:t>564</w:t>
      </w:r>
      <w:r>
        <w:rPr>
          <w:sz w:val="20"/>
          <w:szCs w:val="20"/>
          <w:color w:val="auto"/>
        </w:rPr>
        <w:tab/>
      </w:r>
      <w:r>
        <w:rPr>
          <w:rFonts w:ascii="Courier New" w:cs="Courier New" w:eastAsia="Courier New" w:hAnsi="Courier New"/>
          <w:sz w:val="15"/>
          <w:szCs w:val="15"/>
          <w:color w:val="auto"/>
        </w:rPr>
        <w:t>Ps.</w:t>
      </w:r>
      <w:r>
        <w:rPr>
          <w:sz w:val="20"/>
          <w:szCs w:val="20"/>
          <w:color w:val="auto"/>
        </w:rPr>
        <w:tab/>
      </w:r>
      <w:r>
        <w:rPr>
          <w:rFonts w:ascii="Courier New" w:cs="Courier New" w:eastAsia="Courier New" w:hAnsi="Courier New"/>
          <w:sz w:val="15"/>
          <w:szCs w:val="15"/>
          <w:color w:val="auto"/>
        </w:rPr>
        <w:t>140</w:t>
      </w:r>
      <w:r>
        <w:rPr>
          <w:sz w:val="20"/>
          <w:szCs w:val="20"/>
          <w:color w:val="auto"/>
        </w:rPr>
        <w:tab/>
      </w:r>
      <w:r>
        <w:rPr>
          <w:rFonts w:ascii="Courier New" w:cs="Courier New" w:eastAsia="Courier New" w:hAnsi="Courier New"/>
          <w:sz w:val="15"/>
          <w:szCs w:val="15"/>
          <w:color w:val="auto"/>
        </w:rPr>
        <w:t>Ps.</w:t>
      </w:r>
      <w:r>
        <w:rPr>
          <w:sz w:val="20"/>
          <w:szCs w:val="20"/>
          <w:color w:val="auto"/>
        </w:rPr>
        <w:tab/>
      </w:r>
      <w:r>
        <w:rPr>
          <w:rFonts w:ascii="Courier New" w:cs="Courier New" w:eastAsia="Courier New" w:hAnsi="Courier New"/>
          <w:sz w:val="12"/>
          <w:szCs w:val="12"/>
          <w:color w:val="auto"/>
        </w:rPr>
        <w:t>-</w:t>
      </w:r>
    </w:p>
    <w:p>
      <w:pPr>
        <w:spacing w:after="0" w:line="5" w:lineRule="exact"/>
        <w:rPr>
          <w:sz w:val="20"/>
          <w:szCs w:val="20"/>
          <w:color w:val="auto"/>
        </w:rPr>
      </w:pPr>
    </w:p>
    <w:p>
      <w:pPr>
        <w:ind w:left="180" w:hanging="170"/>
        <w:spacing w:after="0"/>
        <w:tabs>
          <w:tab w:leader="none" w:pos="180"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214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2002</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2001</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60" w:type="dxa"/>
            <w:vAlign w:val="bottom"/>
          </w:tcPr>
          <w:p>
            <w:pPr>
              <w:spacing w:after="0"/>
              <w:rPr>
                <w:sz w:val="20"/>
                <w:szCs w:val="20"/>
                <w:color w:val="auto"/>
              </w:rPr>
            </w:pPr>
            <w:r>
              <w:rPr>
                <w:rFonts w:ascii="Courier New" w:cs="Courier New" w:eastAsia="Courier New" w:hAnsi="Courier New"/>
                <w:sz w:val="15"/>
                <w:szCs w:val="15"/>
                <w:color w:val="auto"/>
              </w:rPr>
              <w:t>FEMSA Cerveza</w:t>
            </w:r>
          </w:p>
        </w:tc>
        <w:tc>
          <w:tcPr>
            <w:tcW w:w="1880" w:type="dxa"/>
            <w:vAlign w:val="bottom"/>
          </w:tcPr>
          <w:p>
            <w:pPr>
              <w:spacing w:after="0"/>
              <w:rPr>
                <w:sz w:val="14"/>
                <w:szCs w:val="14"/>
                <w:color w:val="auto"/>
              </w:rPr>
            </w:pPr>
          </w:p>
        </w:tc>
        <w:tc>
          <w:tcPr>
            <w:tcW w:w="740" w:type="dxa"/>
            <w:vAlign w:val="bottom"/>
          </w:tcPr>
          <w:p>
            <w:pPr>
              <w:ind w:left="360"/>
              <w:spacing w:after="0"/>
              <w:rPr>
                <w:sz w:val="20"/>
                <w:szCs w:val="20"/>
                <w:color w:val="auto"/>
              </w:rPr>
            </w:pPr>
            <w:r>
              <w:rPr>
                <w:rFonts w:ascii="Courier New" w:cs="Courier New" w:eastAsia="Courier New" w:hAnsi="Courier New"/>
                <w:sz w:val="15"/>
                <w:szCs w:val="15"/>
                <w:color w:val="auto"/>
              </w:rPr>
              <w:t>Ps.</w:t>
            </w:r>
          </w:p>
        </w:tc>
        <w:tc>
          <w:tcPr>
            <w:tcW w:w="70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311</w:t>
            </w:r>
          </w:p>
        </w:tc>
        <w:tc>
          <w:tcPr>
            <w:tcW w:w="540" w:type="dxa"/>
            <w:vAlign w:val="bottom"/>
          </w:tcPr>
          <w:p>
            <w:pPr>
              <w:ind w:left="140"/>
              <w:spacing w:after="0"/>
              <w:rPr>
                <w:sz w:val="20"/>
                <w:szCs w:val="20"/>
                <w:color w:val="auto"/>
              </w:rPr>
            </w:pPr>
            <w:r>
              <w:rPr>
                <w:rFonts w:ascii="Courier New" w:cs="Courier New" w:eastAsia="Courier New" w:hAnsi="Courier New"/>
                <w:sz w:val="15"/>
                <w:szCs w:val="15"/>
                <w:color w:val="auto"/>
              </w:rPr>
              <w:t>Ps.</w:t>
            </w:r>
          </w:p>
        </w:tc>
        <w:tc>
          <w:tcPr>
            <w:tcW w:w="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311</w:t>
            </w:r>
          </w:p>
        </w:tc>
        <w:tc>
          <w:tcPr>
            <w:tcW w:w="520" w:type="dxa"/>
            <w:vAlign w:val="bottom"/>
          </w:tcPr>
          <w:p>
            <w:pPr>
              <w:ind w:left="120"/>
              <w:spacing w:after="0"/>
              <w:rPr>
                <w:sz w:val="20"/>
                <w:szCs w:val="20"/>
                <w:color w:val="auto"/>
              </w:rPr>
            </w:pPr>
            <w:r>
              <w:rPr>
                <w:rFonts w:ascii="Courier New" w:cs="Courier New" w:eastAsia="Courier New" w:hAnsi="Courier New"/>
                <w:sz w:val="15"/>
                <w:szCs w:val="15"/>
                <w:color w:val="auto"/>
              </w:rPr>
              <w:t>Ps.</w:t>
            </w:r>
          </w:p>
        </w:tc>
        <w:tc>
          <w:tcPr>
            <w:tcW w:w="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342</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Coca-Cola FEMSA</w:t>
            </w:r>
          </w:p>
        </w:tc>
        <w:tc>
          <w:tcPr>
            <w:tcW w:w="1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Mexico</w:t>
            </w:r>
          </w:p>
        </w:tc>
        <w:tc>
          <w:tcPr>
            <w:tcW w:w="740" w:type="dxa"/>
            <w:vAlign w:val="bottom"/>
          </w:tcPr>
          <w:p>
            <w:pPr>
              <w:spacing w:after="0"/>
              <w:rPr>
                <w:sz w:val="14"/>
                <w:szCs w:val="14"/>
                <w:color w:val="auto"/>
              </w:rPr>
            </w:pPr>
          </w:p>
        </w:tc>
        <w:tc>
          <w:tcPr>
            <w:tcW w:w="7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330</w:t>
            </w:r>
          </w:p>
        </w:tc>
        <w:tc>
          <w:tcPr>
            <w:tcW w:w="540" w:type="dxa"/>
            <w:vAlign w:val="bottom"/>
          </w:tcPr>
          <w:p>
            <w:pPr>
              <w:spacing w:after="0"/>
              <w:rPr>
                <w:sz w:val="14"/>
                <w:szCs w:val="14"/>
                <w:color w:val="auto"/>
              </w:rPr>
            </w:pP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328</w:t>
            </w:r>
          </w:p>
        </w:tc>
        <w:tc>
          <w:tcPr>
            <w:tcW w:w="52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364</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Coca-Cola FEMSA</w:t>
            </w:r>
          </w:p>
        </w:tc>
        <w:tc>
          <w:tcPr>
            <w:tcW w:w="1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Buenos Aires</w:t>
            </w:r>
          </w:p>
        </w:tc>
        <w:tc>
          <w:tcPr>
            <w:tcW w:w="740" w:type="dxa"/>
            <w:vAlign w:val="bottom"/>
          </w:tcPr>
          <w:p>
            <w:pPr>
              <w:spacing w:after="0"/>
              <w:rPr>
                <w:sz w:val="14"/>
                <w:szCs w:val="14"/>
                <w:color w:val="auto"/>
              </w:rPr>
            </w:pPr>
          </w:p>
        </w:tc>
        <w:tc>
          <w:tcPr>
            <w:tcW w:w="7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4</w:t>
            </w:r>
          </w:p>
        </w:tc>
        <w:tc>
          <w:tcPr>
            <w:tcW w:w="540" w:type="dxa"/>
            <w:vAlign w:val="bottom"/>
          </w:tcPr>
          <w:p>
            <w:pPr>
              <w:spacing w:after="0"/>
              <w:rPr>
                <w:sz w:val="14"/>
                <w:szCs w:val="14"/>
                <w:color w:val="auto"/>
              </w:rPr>
            </w:pP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w:t>
            </w:r>
          </w:p>
        </w:tc>
        <w:tc>
          <w:tcPr>
            <w:tcW w:w="52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FEMSA Empaques</w:t>
            </w:r>
          </w:p>
        </w:tc>
        <w:tc>
          <w:tcPr>
            <w:tcW w:w="1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251</w:t>
            </w:r>
          </w:p>
        </w:tc>
        <w:tc>
          <w:tcPr>
            <w:tcW w:w="540" w:type="dxa"/>
            <w:vAlign w:val="bottom"/>
          </w:tcPr>
          <w:p>
            <w:pPr>
              <w:spacing w:after="0"/>
              <w:rPr>
                <w:sz w:val="14"/>
                <w:szCs w:val="14"/>
                <w:color w:val="auto"/>
              </w:rPr>
            </w:pP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437</w:t>
            </w:r>
          </w:p>
        </w:tc>
        <w:tc>
          <w:tcPr>
            <w:tcW w:w="52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782</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FEMSA Comercio</w:t>
            </w:r>
          </w:p>
        </w:tc>
        <w:tc>
          <w:tcPr>
            <w:tcW w:w="1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103</w:t>
            </w:r>
          </w:p>
        </w:tc>
        <w:tc>
          <w:tcPr>
            <w:tcW w:w="540" w:type="dxa"/>
            <w:vAlign w:val="bottom"/>
          </w:tcPr>
          <w:p>
            <w:pPr>
              <w:spacing w:after="0"/>
              <w:rPr>
                <w:sz w:val="14"/>
                <w:szCs w:val="14"/>
                <w:color w:val="auto"/>
              </w:rPr>
            </w:pP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100</w:t>
            </w:r>
          </w:p>
        </w:tc>
        <w:tc>
          <w:tcPr>
            <w:tcW w:w="52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96</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FEMSA Logistica</w:t>
            </w:r>
          </w:p>
        </w:tc>
        <w:tc>
          <w:tcPr>
            <w:tcW w:w="1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 Logistica-CCM</w:t>
            </w:r>
          </w:p>
        </w:tc>
        <w:tc>
          <w:tcPr>
            <w:tcW w:w="740" w:type="dxa"/>
            <w:vAlign w:val="bottom"/>
          </w:tcPr>
          <w:p>
            <w:pPr>
              <w:spacing w:after="0"/>
              <w:rPr>
                <w:sz w:val="14"/>
                <w:szCs w:val="14"/>
                <w:color w:val="auto"/>
              </w:rPr>
            </w:pPr>
          </w:p>
        </w:tc>
        <w:tc>
          <w:tcPr>
            <w:tcW w:w="7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8</w:t>
            </w:r>
          </w:p>
        </w:tc>
        <w:tc>
          <w:tcPr>
            <w:tcW w:w="540" w:type="dxa"/>
            <w:vAlign w:val="bottom"/>
          </w:tcPr>
          <w:p>
            <w:pPr>
              <w:spacing w:after="0"/>
              <w:rPr>
                <w:sz w:val="14"/>
                <w:szCs w:val="14"/>
                <w:color w:val="auto"/>
              </w:rPr>
            </w:pP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w:t>
            </w:r>
          </w:p>
        </w:tc>
        <w:tc>
          <w:tcPr>
            <w:tcW w:w="52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1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336</w:t>
            </w:r>
          </w:p>
        </w:tc>
        <w:tc>
          <w:tcPr>
            <w:tcW w:w="540" w:type="dxa"/>
            <w:vAlign w:val="bottom"/>
          </w:tcPr>
          <w:p>
            <w:pPr>
              <w:spacing w:after="0"/>
              <w:rPr>
                <w:sz w:val="14"/>
                <w:szCs w:val="14"/>
                <w:color w:val="auto"/>
              </w:rPr>
            </w:pP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402</w:t>
            </w:r>
          </w:p>
        </w:tc>
        <w:tc>
          <w:tcPr>
            <w:tcW w:w="52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374</w:t>
            </w:r>
          </w:p>
        </w:tc>
      </w:tr>
      <w:tr>
        <w:trPr>
          <w:trHeight w:val="168"/>
        </w:trPr>
        <w:tc>
          <w:tcPr>
            <w:tcW w:w="32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Consolidation adjustments</w:t>
            </w:r>
          </w:p>
        </w:tc>
        <w:tc>
          <w:tcPr>
            <w:tcW w:w="740" w:type="dxa"/>
            <w:vAlign w:val="bottom"/>
          </w:tcPr>
          <w:p>
            <w:pPr>
              <w:spacing w:after="0"/>
              <w:rPr>
                <w:sz w:val="14"/>
                <w:szCs w:val="14"/>
                <w:color w:val="auto"/>
              </w:rPr>
            </w:pP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(437)</w:t>
            </w:r>
          </w:p>
        </w:tc>
        <w:tc>
          <w:tcPr>
            <w:tcW w:w="540" w:type="dxa"/>
            <w:vAlign w:val="bottom"/>
          </w:tcPr>
          <w:p>
            <w:pPr>
              <w:spacing w:after="0"/>
              <w:rPr>
                <w:sz w:val="14"/>
                <w:szCs w:val="14"/>
                <w:color w:val="auto"/>
              </w:rPr>
            </w:pP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(642)</w:t>
            </w:r>
          </w:p>
        </w:tc>
        <w:tc>
          <w:tcPr>
            <w:tcW w:w="52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3600"/>
        <w:spacing w:after="0"/>
        <w:tabs>
          <w:tab w:leader="none" w:pos="4180" w:val="left"/>
          <w:tab w:leader="none" w:pos="4800" w:val="left"/>
          <w:tab w:leader="none" w:pos="5420" w:val="left"/>
          <w:tab w:leader="none" w:pos="6020" w:val="left"/>
          <w:tab w:leader="none" w:pos="6460" w:val="left"/>
        </w:tabs>
        <w:rPr>
          <w:sz w:val="20"/>
          <w:szCs w:val="20"/>
          <w:color w:val="auto"/>
        </w:rPr>
      </w:pPr>
      <w:r>
        <w:rPr>
          <w:rFonts w:ascii="Courier New" w:cs="Courier New" w:eastAsia="Courier New" w:hAnsi="Courier New"/>
          <w:sz w:val="15"/>
          <w:szCs w:val="15"/>
          <w:color w:val="auto"/>
        </w:rPr>
        <w:t>Ps.</w:t>
      </w:r>
      <w:r>
        <w:rPr>
          <w:sz w:val="20"/>
          <w:szCs w:val="20"/>
          <w:color w:val="auto"/>
        </w:rPr>
        <w:tab/>
      </w:r>
      <w:r>
        <w:rPr>
          <w:rFonts w:ascii="Courier New" w:cs="Courier New" w:eastAsia="Courier New" w:hAnsi="Courier New"/>
          <w:sz w:val="15"/>
          <w:szCs w:val="15"/>
          <w:color w:val="auto"/>
        </w:rPr>
        <w:t>906</w:t>
      </w:r>
      <w:r>
        <w:rPr>
          <w:sz w:val="20"/>
          <w:szCs w:val="20"/>
          <w:color w:val="auto"/>
        </w:rPr>
        <w:tab/>
      </w:r>
      <w:r>
        <w:rPr>
          <w:rFonts w:ascii="Courier New" w:cs="Courier New" w:eastAsia="Courier New" w:hAnsi="Courier New"/>
          <w:sz w:val="15"/>
          <w:szCs w:val="15"/>
          <w:color w:val="auto"/>
        </w:rPr>
        <w:t>Ps.</w:t>
      </w:r>
      <w:r>
        <w:rPr>
          <w:sz w:val="20"/>
          <w:szCs w:val="20"/>
          <w:color w:val="auto"/>
        </w:rPr>
        <w:tab/>
      </w:r>
      <w:r>
        <w:rPr>
          <w:rFonts w:ascii="Courier New" w:cs="Courier New" w:eastAsia="Courier New" w:hAnsi="Courier New"/>
          <w:sz w:val="15"/>
          <w:szCs w:val="15"/>
          <w:color w:val="auto"/>
        </w:rPr>
        <w:t>948</w:t>
      </w:r>
      <w:r>
        <w:rPr>
          <w:sz w:val="20"/>
          <w:szCs w:val="20"/>
          <w:color w:val="auto"/>
        </w:rPr>
        <w:tab/>
      </w:r>
      <w:r>
        <w:rPr>
          <w:rFonts w:ascii="Courier New" w:cs="Courier New" w:eastAsia="Courier New" w:hAnsi="Courier New"/>
          <w:sz w:val="15"/>
          <w:szCs w:val="15"/>
          <w:color w:val="auto"/>
        </w:rPr>
        <w:t>Ps.</w:t>
      </w:r>
      <w:r>
        <w:rPr>
          <w:sz w:val="20"/>
          <w:szCs w:val="20"/>
          <w:color w:val="auto"/>
        </w:rPr>
        <w:tab/>
      </w:r>
      <w:r>
        <w:rPr>
          <w:rFonts w:ascii="Courier New" w:cs="Courier New" w:eastAsia="Courier New" w:hAnsi="Courier New"/>
          <w:sz w:val="14"/>
          <w:szCs w:val="14"/>
          <w:color w:val="auto"/>
        </w:rPr>
        <w:t>1,160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p>
      <w:pPr>
        <w:ind w:left="440" w:hanging="430"/>
        <w:spacing w:after="0"/>
        <w:tabs>
          <w:tab w:leader="none" w:pos="440"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breakage of bottles</w:t>
      </w:r>
    </w:p>
    <w:p>
      <w:pPr>
        <w:ind w:left="440" w:hanging="430"/>
        <w:spacing w:after="0" w:line="237" w:lineRule="auto"/>
        <w:tabs>
          <w:tab w:leader="none" w:pos="440"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the non-cash charges relative to current assets and liabilities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F-31</w:t>
      </w:r>
    </w:p>
    <w:p>
      <w:pPr>
        <w:sectPr>
          <w:pgSz w:w="11900" w:h="16838" w:orient="portrait"/>
          <w:cols w:equalWidth="0" w:num="1">
            <w:col w:w="10239"/>
          </w:cols>
          <w:pgMar w:left="220" w:top="1128" w:right="1440" w:bottom="1440" w:gutter="0" w:footer="0" w:header="0"/>
        </w:sectPr>
      </w:pPr>
    </w:p>
    <w:bookmarkStart w:id="194" w:name="page195"/>
    <w:bookmarkEnd w:id="194"/>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2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218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2002</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2001</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60" w:type="dxa"/>
            <w:vAlign w:val="bottom"/>
          </w:tcPr>
          <w:p>
            <w:pPr>
              <w:spacing w:after="0"/>
              <w:rPr>
                <w:sz w:val="20"/>
                <w:szCs w:val="20"/>
                <w:color w:val="auto"/>
              </w:rPr>
            </w:pPr>
            <w:r>
              <w:rPr>
                <w:rFonts w:ascii="Courier New" w:cs="Courier New" w:eastAsia="Courier New" w:hAnsi="Courier New"/>
                <w:sz w:val="15"/>
                <w:szCs w:val="15"/>
                <w:color w:val="auto"/>
              </w:rPr>
              <w:t>FEMSA Cerveza</w:t>
            </w:r>
          </w:p>
        </w:tc>
        <w:tc>
          <w:tcPr>
            <w:tcW w:w="1880" w:type="dxa"/>
            <w:vAlign w:val="bottom"/>
          </w:tcPr>
          <w:p>
            <w:pPr>
              <w:spacing w:after="0"/>
              <w:rPr>
                <w:sz w:val="14"/>
                <w:szCs w:val="14"/>
                <w:color w:val="auto"/>
              </w:rPr>
            </w:pPr>
          </w:p>
        </w:tc>
        <w:tc>
          <w:tcPr>
            <w:tcW w:w="740" w:type="dxa"/>
            <w:vAlign w:val="bottom"/>
          </w:tcPr>
          <w:p>
            <w:pPr>
              <w:ind w:left="360"/>
              <w:spacing w:after="0"/>
              <w:rPr>
                <w:sz w:val="20"/>
                <w:szCs w:val="20"/>
                <w:color w:val="auto"/>
              </w:rPr>
            </w:pPr>
            <w:r>
              <w:rPr>
                <w:rFonts w:ascii="Courier New" w:cs="Courier New" w:eastAsia="Courier New" w:hAnsi="Courier New"/>
                <w:sz w:val="15"/>
                <w:szCs w:val="15"/>
                <w:color w:val="auto"/>
              </w:rPr>
              <w:t>Ps.</w:t>
            </w:r>
          </w:p>
        </w:tc>
        <w:tc>
          <w:tcPr>
            <w:tcW w:w="70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87</w:t>
            </w:r>
          </w:p>
        </w:tc>
        <w:tc>
          <w:tcPr>
            <w:tcW w:w="540" w:type="dxa"/>
            <w:vAlign w:val="bottom"/>
          </w:tcPr>
          <w:p>
            <w:pPr>
              <w:ind w:left="140"/>
              <w:spacing w:after="0"/>
              <w:rPr>
                <w:sz w:val="20"/>
                <w:szCs w:val="20"/>
                <w:color w:val="auto"/>
              </w:rPr>
            </w:pPr>
            <w:r>
              <w:rPr>
                <w:rFonts w:ascii="Courier New" w:cs="Courier New" w:eastAsia="Courier New" w:hAnsi="Courier New"/>
                <w:sz w:val="15"/>
                <w:szCs w:val="15"/>
                <w:color w:val="auto"/>
              </w:rPr>
              <w:t>Ps.</w:t>
            </w:r>
          </w:p>
        </w:tc>
        <w:tc>
          <w:tcPr>
            <w:tcW w:w="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77</w:t>
            </w:r>
          </w:p>
        </w:tc>
        <w:tc>
          <w:tcPr>
            <w:tcW w:w="520" w:type="dxa"/>
            <w:vAlign w:val="bottom"/>
          </w:tcPr>
          <w:p>
            <w:pPr>
              <w:ind w:left="120"/>
              <w:spacing w:after="0"/>
              <w:rPr>
                <w:sz w:val="20"/>
                <w:szCs w:val="20"/>
                <w:color w:val="auto"/>
              </w:rPr>
            </w:pPr>
            <w:r>
              <w:rPr>
                <w:rFonts w:ascii="Courier New" w:cs="Courier New" w:eastAsia="Courier New" w:hAnsi="Courier New"/>
                <w:sz w:val="15"/>
                <w:szCs w:val="15"/>
                <w:color w:val="auto"/>
              </w:rPr>
              <w:t>Ps.</w:t>
            </w:r>
          </w:p>
        </w:tc>
        <w:tc>
          <w:tcPr>
            <w:tcW w:w="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143</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Coca-Cola FEMSA</w:t>
            </w:r>
          </w:p>
        </w:tc>
        <w:tc>
          <w:tcPr>
            <w:tcW w:w="1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Mexico</w:t>
            </w:r>
          </w:p>
        </w:tc>
        <w:tc>
          <w:tcPr>
            <w:tcW w:w="740" w:type="dxa"/>
            <w:vAlign w:val="bottom"/>
          </w:tcPr>
          <w:p>
            <w:pPr>
              <w:spacing w:after="0"/>
              <w:rPr>
                <w:sz w:val="14"/>
                <w:szCs w:val="14"/>
                <w:color w:val="auto"/>
              </w:rPr>
            </w:pPr>
          </w:p>
        </w:tc>
        <w:tc>
          <w:tcPr>
            <w:tcW w:w="7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247</w:t>
            </w:r>
          </w:p>
        </w:tc>
        <w:tc>
          <w:tcPr>
            <w:tcW w:w="540" w:type="dxa"/>
            <w:vAlign w:val="bottom"/>
          </w:tcPr>
          <w:p>
            <w:pPr>
              <w:spacing w:after="0"/>
              <w:rPr>
                <w:sz w:val="14"/>
                <w:szCs w:val="14"/>
                <w:color w:val="auto"/>
              </w:rPr>
            </w:pP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273</w:t>
            </w:r>
          </w:p>
        </w:tc>
        <w:tc>
          <w:tcPr>
            <w:tcW w:w="52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131</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Coca-Cola FEMSA</w:t>
            </w:r>
          </w:p>
        </w:tc>
        <w:tc>
          <w:tcPr>
            <w:tcW w:w="1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Buenos Aires</w:t>
            </w:r>
          </w:p>
        </w:tc>
        <w:tc>
          <w:tcPr>
            <w:tcW w:w="740" w:type="dxa"/>
            <w:vAlign w:val="bottom"/>
          </w:tcPr>
          <w:p>
            <w:pPr>
              <w:spacing w:after="0"/>
              <w:rPr>
                <w:sz w:val="14"/>
                <w:szCs w:val="14"/>
                <w:color w:val="auto"/>
              </w:rPr>
            </w:pPr>
          </w:p>
        </w:tc>
        <w:tc>
          <w:tcPr>
            <w:tcW w:w="7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5</w:t>
            </w:r>
          </w:p>
        </w:tc>
        <w:tc>
          <w:tcPr>
            <w:tcW w:w="540" w:type="dxa"/>
            <w:vAlign w:val="bottom"/>
          </w:tcPr>
          <w:p>
            <w:pPr>
              <w:spacing w:after="0"/>
              <w:rPr>
                <w:sz w:val="14"/>
                <w:szCs w:val="14"/>
                <w:color w:val="auto"/>
              </w:rPr>
            </w:pP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FEMSA Empaques</w:t>
            </w:r>
          </w:p>
        </w:tc>
        <w:tc>
          <w:tcPr>
            <w:tcW w:w="1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26</w:t>
            </w:r>
          </w:p>
        </w:tc>
        <w:tc>
          <w:tcPr>
            <w:tcW w:w="540" w:type="dxa"/>
            <w:vAlign w:val="bottom"/>
          </w:tcPr>
          <w:p>
            <w:pPr>
              <w:spacing w:after="0"/>
              <w:rPr>
                <w:sz w:val="14"/>
                <w:szCs w:val="14"/>
                <w:color w:val="auto"/>
              </w:rPr>
            </w:pP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53</w:t>
            </w:r>
          </w:p>
        </w:tc>
        <w:tc>
          <w:tcPr>
            <w:tcW w:w="52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FEMSA Comercio</w:t>
            </w:r>
          </w:p>
        </w:tc>
        <w:tc>
          <w:tcPr>
            <w:tcW w:w="1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25</w:t>
            </w:r>
          </w:p>
        </w:tc>
        <w:tc>
          <w:tcPr>
            <w:tcW w:w="540" w:type="dxa"/>
            <w:vAlign w:val="bottom"/>
          </w:tcPr>
          <w:p>
            <w:pPr>
              <w:spacing w:after="0"/>
              <w:rPr>
                <w:sz w:val="14"/>
                <w:szCs w:val="14"/>
                <w:color w:val="auto"/>
              </w:rPr>
            </w:pP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w:t>
            </w:r>
          </w:p>
        </w:tc>
        <w:tc>
          <w:tcPr>
            <w:tcW w:w="52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FEMSA Logistica</w:t>
            </w:r>
          </w:p>
        </w:tc>
        <w:tc>
          <w:tcPr>
            <w:tcW w:w="1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 Logistica-CCM</w:t>
            </w:r>
          </w:p>
        </w:tc>
        <w:tc>
          <w:tcPr>
            <w:tcW w:w="740" w:type="dxa"/>
            <w:vAlign w:val="bottom"/>
          </w:tcPr>
          <w:p>
            <w:pPr>
              <w:spacing w:after="0"/>
              <w:rPr>
                <w:sz w:val="14"/>
                <w:szCs w:val="14"/>
                <w:color w:val="auto"/>
              </w:rPr>
            </w:pPr>
          </w:p>
        </w:tc>
        <w:tc>
          <w:tcPr>
            <w:tcW w:w="7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7</w:t>
            </w:r>
          </w:p>
        </w:tc>
        <w:tc>
          <w:tcPr>
            <w:tcW w:w="540" w:type="dxa"/>
            <w:vAlign w:val="bottom"/>
          </w:tcPr>
          <w:p>
            <w:pPr>
              <w:spacing w:after="0"/>
              <w:rPr>
                <w:sz w:val="14"/>
                <w:szCs w:val="14"/>
                <w:color w:val="auto"/>
              </w:rPr>
            </w:pP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w:t>
            </w:r>
          </w:p>
        </w:tc>
        <w:tc>
          <w:tcPr>
            <w:tcW w:w="52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1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486</w:t>
            </w:r>
          </w:p>
        </w:tc>
        <w:tc>
          <w:tcPr>
            <w:tcW w:w="540" w:type="dxa"/>
            <w:vAlign w:val="bottom"/>
          </w:tcPr>
          <w:p>
            <w:pPr>
              <w:spacing w:after="0"/>
              <w:rPr>
                <w:sz w:val="14"/>
                <w:szCs w:val="14"/>
                <w:color w:val="auto"/>
              </w:rPr>
            </w:pP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687</w:t>
            </w:r>
          </w:p>
        </w:tc>
        <w:tc>
          <w:tcPr>
            <w:tcW w:w="52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898</w:t>
            </w:r>
          </w:p>
        </w:tc>
      </w:tr>
      <w:tr>
        <w:trPr>
          <w:trHeight w:val="168"/>
        </w:trPr>
        <w:tc>
          <w:tcPr>
            <w:tcW w:w="32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Consolidation adjustments</w:t>
            </w:r>
          </w:p>
        </w:tc>
        <w:tc>
          <w:tcPr>
            <w:tcW w:w="740" w:type="dxa"/>
            <w:vAlign w:val="bottom"/>
          </w:tcPr>
          <w:p>
            <w:pPr>
              <w:spacing w:after="0"/>
              <w:rPr>
                <w:sz w:val="14"/>
                <w:szCs w:val="14"/>
                <w:color w:val="auto"/>
              </w:rPr>
            </w:pP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(437)</w:t>
            </w:r>
          </w:p>
        </w:tc>
        <w:tc>
          <w:tcPr>
            <w:tcW w:w="540" w:type="dxa"/>
            <w:vAlign w:val="bottom"/>
          </w:tcPr>
          <w:p>
            <w:pPr>
              <w:spacing w:after="0"/>
              <w:rPr>
                <w:sz w:val="14"/>
                <w:szCs w:val="14"/>
                <w:color w:val="auto"/>
              </w:rPr>
            </w:pP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(650)</w:t>
            </w:r>
          </w:p>
        </w:tc>
        <w:tc>
          <w:tcPr>
            <w:tcW w:w="52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(859)</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3600"/>
        <w:spacing w:after="0"/>
        <w:tabs>
          <w:tab w:leader="none" w:pos="4180" w:val="left"/>
          <w:tab w:leader="none" w:pos="4800" w:val="left"/>
          <w:tab w:leader="none" w:pos="5420" w:val="left"/>
          <w:tab w:leader="none" w:pos="6020" w:val="left"/>
          <w:tab w:leader="none" w:pos="6640" w:val="left"/>
        </w:tabs>
        <w:rPr>
          <w:sz w:val="20"/>
          <w:szCs w:val="20"/>
          <w:color w:val="auto"/>
        </w:rPr>
      </w:pPr>
      <w:r>
        <w:rPr>
          <w:rFonts w:ascii="Courier New" w:cs="Courier New" w:eastAsia="Courier New" w:hAnsi="Courier New"/>
          <w:sz w:val="15"/>
          <w:szCs w:val="15"/>
          <w:color w:val="auto"/>
        </w:rPr>
        <w:t>Ps.</w:t>
      </w:r>
      <w:r>
        <w:rPr>
          <w:sz w:val="20"/>
          <w:szCs w:val="20"/>
          <w:color w:val="auto"/>
        </w:rPr>
        <w:tab/>
      </w:r>
      <w:r>
        <w:rPr>
          <w:rFonts w:ascii="Courier New" w:cs="Courier New" w:eastAsia="Courier New" w:hAnsi="Courier New"/>
          <w:sz w:val="15"/>
          <w:szCs w:val="15"/>
          <w:color w:val="auto"/>
        </w:rPr>
        <w:t>446</w:t>
      </w:r>
      <w:r>
        <w:rPr>
          <w:sz w:val="20"/>
          <w:szCs w:val="20"/>
          <w:color w:val="auto"/>
        </w:rPr>
        <w:tab/>
      </w:r>
      <w:r>
        <w:rPr>
          <w:rFonts w:ascii="Courier New" w:cs="Courier New" w:eastAsia="Courier New" w:hAnsi="Courier New"/>
          <w:sz w:val="15"/>
          <w:szCs w:val="15"/>
          <w:color w:val="auto"/>
        </w:rPr>
        <w:t>Ps.</w:t>
      </w:r>
      <w:r>
        <w:rPr>
          <w:sz w:val="20"/>
          <w:szCs w:val="20"/>
          <w:color w:val="auto"/>
        </w:rPr>
        <w:tab/>
      </w:r>
      <w:r>
        <w:rPr>
          <w:rFonts w:ascii="Courier New" w:cs="Courier New" w:eastAsia="Courier New" w:hAnsi="Courier New"/>
          <w:sz w:val="15"/>
          <w:szCs w:val="15"/>
          <w:color w:val="auto"/>
        </w:rPr>
        <w:t>476</w:t>
      </w:r>
      <w:r>
        <w:rPr>
          <w:sz w:val="20"/>
          <w:szCs w:val="20"/>
          <w:color w:val="auto"/>
        </w:rPr>
        <w:tab/>
      </w:r>
      <w:r>
        <w:rPr>
          <w:rFonts w:ascii="Courier New" w:cs="Courier New" w:eastAsia="Courier New" w:hAnsi="Courier New"/>
          <w:sz w:val="15"/>
          <w:szCs w:val="15"/>
          <w:color w:val="auto"/>
        </w:rPr>
        <w:t>Ps.</w:t>
      </w:r>
      <w:r>
        <w:rPr>
          <w:sz w:val="20"/>
          <w:szCs w:val="20"/>
          <w:color w:val="auto"/>
        </w:rPr>
        <w:tab/>
      </w:r>
      <w:r>
        <w:rPr>
          <w:rFonts w:ascii="Courier New" w:cs="Courier New" w:eastAsia="Courier New" w:hAnsi="Courier New"/>
          <w:sz w:val="14"/>
          <w:szCs w:val="14"/>
          <w:color w:val="auto"/>
        </w:rPr>
        <w:t>441</w:t>
      </w:r>
    </w:p>
    <w:p>
      <w:pPr>
        <w:spacing w:after="0" w:line="5" w:lineRule="exact"/>
        <w:rPr>
          <w:sz w:val="20"/>
          <w:szCs w:val="20"/>
          <w:color w:val="auto"/>
        </w:rPr>
      </w:pPr>
    </w:p>
    <w:p>
      <w:pPr>
        <w:ind w:left="180" w:hanging="170"/>
        <w:spacing w:after="0"/>
        <w:tabs>
          <w:tab w:leader="none" w:pos="180"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80" w:type="dxa"/>
            <w:vAlign w:val="bottom"/>
          </w:tcPr>
          <w:p>
            <w:pPr>
              <w:spacing w:after="0"/>
              <w:rPr>
                <w:sz w:val="20"/>
                <w:szCs w:val="20"/>
                <w:color w:val="auto"/>
              </w:rPr>
            </w:pPr>
            <w:r>
              <w:rPr>
                <w:rFonts w:ascii="Courier New" w:cs="Courier New" w:eastAsia="Courier New" w:hAnsi="Courier New"/>
                <w:sz w:val="15"/>
                <w:szCs w:val="15"/>
                <w:color w:val="auto"/>
              </w:rPr>
              <w:t>Income Tax and Tax on Assets</w:t>
            </w:r>
          </w:p>
        </w:tc>
        <w:tc>
          <w:tcPr>
            <w:tcW w:w="16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2002</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2001</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60" w:type="dxa"/>
            <w:vAlign w:val="bottom"/>
          </w:tcPr>
          <w:p>
            <w:pPr>
              <w:spacing w:after="0"/>
              <w:rPr>
                <w:sz w:val="20"/>
                <w:szCs w:val="20"/>
                <w:color w:val="auto"/>
              </w:rPr>
            </w:pPr>
            <w:r>
              <w:rPr>
                <w:rFonts w:ascii="Courier New" w:cs="Courier New" w:eastAsia="Courier New" w:hAnsi="Courier New"/>
                <w:sz w:val="15"/>
                <w:szCs w:val="15"/>
                <w:color w:val="auto"/>
              </w:rPr>
              <w:t>FEMSA Cerveza</w:t>
            </w:r>
          </w:p>
        </w:tc>
        <w:tc>
          <w:tcPr>
            <w:tcW w:w="1880" w:type="dxa"/>
            <w:vAlign w:val="bottom"/>
          </w:tcPr>
          <w:p>
            <w:pPr>
              <w:spacing w:after="0"/>
              <w:rPr>
                <w:sz w:val="14"/>
                <w:szCs w:val="14"/>
                <w:color w:val="auto"/>
              </w:rPr>
            </w:pPr>
          </w:p>
        </w:tc>
        <w:tc>
          <w:tcPr>
            <w:tcW w:w="144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Ps.  1,158</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rPr>
              <w:t>Ps.</w:t>
            </w:r>
          </w:p>
        </w:tc>
        <w:tc>
          <w:tcPr>
            <w:tcW w:w="6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883</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Ps.  1,012</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Coca-Cola FEMSA</w:t>
            </w:r>
          </w:p>
        </w:tc>
        <w:tc>
          <w:tcPr>
            <w:tcW w:w="1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Mexico</w:t>
            </w:r>
          </w:p>
        </w:tc>
        <w:tc>
          <w:tcPr>
            <w:tcW w:w="14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1,728</w:t>
            </w:r>
          </w:p>
        </w:tc>
        <w:tc>
          <w:tcPr>
            <w:tcW w:w="500" w:type="dxa"/>
            <w:vAlign w:val="bottom"/>
          </w:tcPr>
          <w:p>
            <w:pPr>
              <w:spacing w:after="0"/>
              <w:rPr>
                <w:sz w:val="14"/>
                <w:szCs w:val="14"/>
                <w:color w:val="auto"/>
              </w:rPr>
            </w:pPr>
          </w:p>
        </w:tc>
        <w:tc>
          <w:tcPr>
            <w:tcW w:w="6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1,300</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870</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Coca-Cola FEMSA</w:t>
            </w:r>
          </w:p>
        </w:tc>
        <w:tc>
          <w:tcPr>
            <w:tcW w:w="1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Buenos Aires</w:t>
            </w:r>
          </w:p>
        </w:tc>
        <w:tc>
          <w:tcPr>
            <w:tcW w:w="1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w:t>
            </w:r>
          </w:p>
        </w:tc>
        <w:tc>
          <w:tcPr>
            <w:tcW w:w="500" w:type="dxa"/>
            <w:vAlign w:val="bottom"/>
          </w:tcPr>
          <w:p>
            <w:pPr>
              <w:spacing w:after="0"/>
              <w:rPr>
                <w:sz w:val="14"/>
                <w:szCs w:val="14"/>
                <w:color w:val="auto"/>
              </w:rPr>
            </w:pPr>
          </w:p>
        </w:tc>
        <w:tc>
          <w:tcPr>
            <w:tcW w:w="6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31</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FEMSA Empaques</w:t>
            </w:r>
          </w:p>
        </w:tc>
        <w:tc>
          <w:tcPr>
            <w:tcW w:w="1880" w:type="dxa"/>
            <w:vAlign w:val="bottom"/>
          </w:tcPr>
          <w:p>
            <w:pPr>
              <w:spacing w:after="0"/>
              <w:rPr>
                <w:sz w:val="14"/>
                <w:szCs w:val="14"/>
                <w:color w:val="auto"/>
              </w:rPr>
            </w:pPr>
          </w:p>
        </w:tc>
        <w:tc>
          <w:tcPr>
            <w:tcW w:w="14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130</w:t>
            </w:r>
          </w:p>
        </w:tc>
        <w:tc>
          <w:tcPr>
            <w:tcW w:w="500" w:type="dxa"/>
            <w:vAlign w:val="bottom"/>
          </w:tcPr>
          <w:p>
            <w:pPr>
              <w:spacing w:after="0"/>
              <w:rPr>
                <w:sz w:val="14"/>
                <w:szCs w:val="14"/>
                <w:color w:val="auto"/>
              </w:rPr>
            </w:pPr>
          </w:p>
        </w:tc>
        <w:tc>
          <w:tcPr>
            <w:tcW w:w="6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233</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95</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FEMSA Comercio</w:t>
            </w:r>
          </w:p>
        </w:tc>
        <w:tc>
          <w:tcPr>
            <w:tcW w:w="1880" w:type="dxa"/>
            <w:vAlign w:val="bottom"/>
          </w:tcPr>
          <w:p>
            <w:pPr>
              <w:spacing w:after="0"/>
              <w:rPr>
                <w:sz w:val="14"/>
                <w:szCs w:val="14"/>
                <w:color w:val="auto"/>
              </w:rPr>
            </w:pPr>
          </w:p>
        </w:tc>
        <w:tc>
          <w:tcPr>
            <w:tcW w:w="14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168</w:t>
            </w:r>
          </w:p>
        </w:tc>
        <w:tc>
          <w:tcPr>
            <w:tcW w:w="500" w:type="dxa"/>
            <w:vAlign w:val="bottom"/>
          </w:tcPr>
          <w:p>
            <w:pPr>
              <w:spacing w:after="0"/>
              <w:rPr>
                <w:sz w:val="14"/>
                <w:szCs w:val="14"/>
                <w:color w:val="auto"/>
              </w:rPr>
            </w:pPr>
          </w:p>
        </w:tc>
        <w:tc>
          <w:tcPr>
            <w:tcW w:w="6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125</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119</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FEMSA Logistica</w:t>
            </w:r>
          </w:p>
        </w:tc>
        <w:tc>
          <w:tcPr>
            <w:tcW w:w="1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 Logistica-CCM</w:t>
            </w:r>
          </w:p>
        </w:tc>
        <w:tc>
          <w:tcPr>
            <w:tcW w:w="14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31</w:t>
            </w:r>
          </w:p>
        </w:tc>
        <w:tc>
          <w:tcPr>
            <w:tcW w:w="500" w:type="dxa"/>
            <w:vAlign w:val="bottom"/>
          </w:tcPr>
          <w:p>
            <w:pPr>
              <w:spacing w:after="0"/>
              <w:rPr>
                <w:sz w:val="14"/>
                <w:szCs w:val="14"/>
                <w:color w:val="auto"/>
              </w:rPr>
            </w:pPr>
          </w:p>
        </w:tc>
        <w:tc>
          <w:tcPr>
            <w:tcW w:w="6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26</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1880" w:type="dxa"/>
            <w:vAlign w:val="bottom"/>
          </w:tcPr>
          <w:p>
            <w:pPr>
              <w:spacing w:after="0"/>
              <w:rPr>
                <w:sz w:val="14"/>
                <w:szCs w:val="14"/>
                <w:color w:val="auto"/>
              </w:rPr>
            </w:pPr>
          </w:p>
        </w:tc>
        <w:tc>
          <w:tcPr>
            <w:tcW w:w="14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124</w:t>
            </w:r>
          </w:p>
        </w:tc>
        <w:tc>
          <w:tcPr>
            <w:tcW w:w="500" w:type="dxa"/>
            <w:vAlign w:val="bottom"/>
          </w:tcPr>
          <w:p>
            <w:pPr>
              <w:spacing w:after="0"/>
              <w:rPr>
                <w:sz w:val="14"/>
                <w:szCs w:val="14"/>
                <w:color w:val="auto"/>
              </w:rPr>
            </w:pPr>
          </w:p>
        </w:tc>
        <w:tc>
          <w:tcPr>
            <w:tcW w:w="6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55</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3600"/>
        <w:spacing w:after="0"/>
        <w:tabs>
          <w:tab w:leader="none" w:pos="4020" w:val="left"/>
          <w:tab w:leader="none" w:pos="4800" w:val="left"/>
          <w:tab w:leader="none" w:pos="5240" w:val="left"/>
          <w:tab w:leader="none" w:pos="6020" w:val="left"/>
          <w:tab w:leader="none" w:pos="6460" w:val="left"/>
        </w:tabs>
        <w:rPr>
          <w:sz w:val="20"/>
          <w:szCs w:val="20"/>
          <w:color w:val="auto"/>
        </w:rPr>
      </w:pPr>
      <w:r>
        <w:rPr>
          <w:rFonts w:ascii="Courier New" w:cs="Courier New" w:eastAsia="Courier New" w:hAnsi="Courier New"/>
          <w:sz w:val="15"/>
          <w:szCs w:val="15"/>
          <w:color w:val="auto"/>
        </w:rPr>
        <w:t>Ps.</w:t>
        <w:tab/>
        <w:t>3,322</w:t>
      </w:r>
      <w:r>
        <w:rPr>
          <w:sz w:val="20"/>
          <w:szCs w:val="20"/>
          <w:color w:val="auto"/>
        </w:rPr>
        <w:tab/>
      </w:r>
      <w:r>
        <w:rPr>
          <w:rFonts w:ascii="Courier New" w:cs="Courier New" w:eastAsia="Courier New" w:hAnsi="Courier New"/>
          <w:sz w:val="15"/>
          <w:szCs w:val="15"/>
          <w:color w:val="auto"/>
        </w:rPr>
        <w:t>Ps.</w:t>
        <w:tab/>
        <w:t>2,653</w:t>
      </w:r>
      <w:r>
        <w:rPr>
          <w:sz w:val="20"/>
          <w:szCs w:val="20"/>
          <w:color w:val="auto"/>
        </w:rPr>
        <w:tab/>
      </w:r>
      <w:r>
        <w:rPr>
          <w:rFonts w:ascii="Courier New" w:cs="Courier New" w:eastAsia="Courier New" w:hAnsi="Courier New"/>
          <w:sz w:val="15"/>
          <w:szCs w:val="15"/>
          <w:color w:val="auto"/>
        </w:rPr>
        <w:t>Ps.</w:t>
      </w:r>
      <w:r>
        <w:rPr>
          <w:sz w:val="20"/>
          <w:szCs w:val="20"/>
          <w:color w:val="auto"/>
        </w:rPr>
        <w:tab/>
      </w:r>
      <w:r>
        <w:rPr>
          <w:rFonts w:ascii="Courier New" w:cs="Courier New" w:eastAsia="Courier New" w:hAnsi="Courier New"/>
          <w:sz w:val="14"/>
          <w:szCs w:val="14"/>
          <w:color w:val="auto"/>
        </w:rPr>
        <w:t>2,262</w:t>
      </w:r>
    </w:p>
    <w:p>
      <w:pPr>
        <w:spacing w:after="0" w:line="5" w:lineRule="exact"/>
        <w:rPr>
          <w:sz w:val="20"/>
          <w:szCs w:val="20"/>
          <w:color w:val="auto"/>
        </w:rPr>
      </w:pPr>
    </w:p>
    <w:p>
      <w:pPr>
        <w:ind w:left="180" w:hanging="170"/>
        <w:spacing w:after="0"/>
        <w:tabs>
          <w:tab w:leader="none" w:pos="180"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Capital Expenditures (1)</w:t>
            </w:r>
          </w:p>
        </w:tc>
        <w:tc>
          <w:tcPr>
            <w:tcW w:w="178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2002</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2001</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60" w:type="dxa"/>
            <w:vAlign w:val="bottom"/>
          </w:tcPr>
          <w:p>
            <w:pPr>
              <w:spacing w:after="0"/>
              <w:rPr>
                <w:sz w:val="20"/>
                <w:szCs w:val="20"/>
                <w:color w:val="auto"/>
              </w:rPr>
            </w:pPr>
            <w:r>
              <w:rPr>
                <w:rFonts w:ascii="Courier New" w:cs="Courier New" w:eastAsia="Courier New" w:hAnsi="Courier New"/>
                <w:sz w:val="15"/>
                <w:szCs w:val="15"/>
                <w:color w:val="auto"/>
              </w:rPr>
              <w:t>FEMSA Cerveza</w:t>
            </w:r>
          </w:p>
        </w:tc>
        <w:tc>
          <w:tcPr>
            <w:tcW w:w="1880" w:type="dxa"/>
            <w:vAlign w:val="bottom"/>
          </w:tcPr>
          <w:p>
            <w:pPr>
              <w:spacing w:after="0"/>
              <w:rPr>
                <w:sz w:val="14"/>
                <w:szCs w:val="14"/>
                <w:color w:val="auto"/>
              </w:rPr>
            </w:pPr>
          </w:p>
        </w:tc>
        <w:tc>
          <w:tcPr>
            <w:tcW w:w="144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Ps.  3,166</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Ps.  3,533</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Ps.  3,024</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Coca-Cola FEMSA</w:t>
            </w:r>
          </w:p>
        </w:tc>
        <w:tc>
          <w:tcPr>
            <w:tcW w:w="1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Mexico</w:t>
            </w:r>
          </w:p>
        </w:tc>
        <w:tc>
          <w:tcPr>
            <w:tcW w:w="14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1,278</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930</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879</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Coca-Cola FEMSA</w:t>
            </w:r>
          </w:p>
        </w:tc>
        <w:tc>
          <w:tcPr>
            <w:tcW w:w="1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Buenos Aires</w:t>
            </w:r>
          </w:p>
        </w:tc>
        <w:tc>
          <w:tcPr>
            <w:tcW w:w="14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63</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26</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FEMSA Empaques</w:t>
            </w:r>
          </w:p>
        </w:tc>
        <w:tc>
          <w:tcPr>
            <w:tcW w:w="1880" w:type="dxa"/>
            <w:vAlign w:val="bottom"/>
          </w:tcPr>
          <w:p>
            <w:pPr>
              <w:spacing w:after="0"/>
              <w:rPr>
                <w:sz w:val="14"/>
                <w:szCs w:val="14"/>
                <w:color w:val="auto"/>
              </w:rPr>
            </w:pPr>
          </w:p>
        </w:tc>
        <w:tc>
          <w:tcPr>
            <w:tcW w:w="14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245</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91</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161</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FEMSA Comercio</w:t>
            </w:r>
          </w:p>
        </w:tc>
        <w:tc>
          <w:tcPr>
            <w:tcW w:w="1880" w:type="dxa"/>
            <w:vAlign w:val="bottom"/>
          </w:tcPr>
          <w:p>
            <w:pPr>
              <w:spacing w:after="0"/>
              <w:rPr>
                <w:sz w:val="14"/>
                <w:szCs w:val="14"/>
                <w:color w:val="auto"/>
              </w:rPr>
            </w:pPr>
          </w:p>
        </w:tc>
        <w:tc>
          <w:tcPr>
            <w:tcW w:w="14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824</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615</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542</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FEMSA Logistica</w:t>
            </w:r>
          </w:p>
        </w:tc>
        <w:tc>
          <w:tcPr>
            <w:tcW w:w="1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 Logistica-CCM</w:t>
            </w:r>
          </w:p>
        </w:tc>
        <w:tc>
          <w:tcPr>
            <w:tcW w:w="14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12</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117</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(88)</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1880" w:type="dxa"/>
            <w:vAlign w:val="bottom"/>
          </w:tcPr>
          <w:p>
            <w:pPr>
              <w:spacing w:after="0"/>
              <w:rPr>
                <w:sz w:val="14"/>
                <w:szCs w:val="14"/>
                <w:color w:val="auto"/>
              </w:rPr>
            </w:pPr>
          </w:p>
        </w:tc>
        <w:tc>
          <w:tcPr>
            <w:tcW w:w="1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(48)</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3600"/>
        <w:spacing w:after="0"/>
        <w:tabs>
          <w:tab w:leader="none" w:pos="4020" w:val="left"/>
          <w:tab w:leader="none" w:pos="4800" w:val="left"/>
          <w:tab w:leader="none" w:pos="5240" w:val="left"/>
          <w:tab w:leader="none" w:pos="6020" w:val="left"/>
          <w:tab w:leader="none" w:pos="6460" w:val="left"/>
        </w:tabs>
        <w:rPr>
          <w:sz w:val="20"/>
          <w:szCs w:val="20"/>
          <w:color w:val="auto"/>
        </w:rPr>
      </w:pPr>
      <w:r>
        <w:rPr>
          <w:rFonts w:ascii="Courier New" w:cs="Courier New" w:eastAsia="Courier New" w:hAnsi="Courier New"/>
          <w:sz w:val="15"/>
          <w:szCs w:val="15"/>
          <w:color w:val="auto"/>
        </w:rPr>
        <w:t>Ps.</w:t>
        <w:tab/>
        <w:t>5,540</w:t>
      </w:r>
      <w:r>
        <w:rPr>
          <w:sz w:val="20"/>
          <w:szCs w:val="20"/>
          <w:color w:val="auto"/>
        </w:rPr>
        <w:tab/>
      </w:r>
      <w:r>
        <w:rPr>
          <w:rFonts w:ascii="Courier New" w:cs="Courier New" w:eastAsia="Courier New" w:hAnsi="Courier New"/>
          <w:sz w:val="15"/>
          <w:szCs w:val="15"/>
          <w:color w:val="auto"/>
        </w:rPr>
        <w:t>Ps.</w:t>
        <w:tab/>
        <w:t>5,314</w:t>
      </w:r>
      <w:r>
        <w:rPr>
          <w:sz w:val="20"/>
          <w:szCs w:val="20"/>
          <w:color w:val="auto"/>
        </w:rPr>
        <w:tab/>
      </w:r>
      <w:r>
        <w:rPr>
          <w:rFonts w:ascii="Courier New" w:cs="Courier New" w:eastAsia="Courier New" w:hAnsi="Courier New"/>
          <w:sz w:val="15"/>
          <w:szCs w:val="15"/>
          <w:color w:val="auto"/>
        </w:rPr>
        <w:t>Ps.</w:t>
      </w:r>
      <w:r>
        <w:rPr>
          <w:sz w:val="20"/>
          <w:szCs w:val="20"/>
          <w:color w:val="auto"/>
        </w:rPr>
        <w:tab/>
      </w:r>
      <w:r>
        <w:rPr>
          <w:rFonts w:ascii="Courier New" w:cs="Courier New" w:eastAsia="Courier New" w:hAnsi="Courier New"/>
          <w:sz w:val="14"/>
          <w:szCs w:val="14"/>
          <w:color w:val="auto"/>
        </w:rPr>
        <w:t>4,571</w:t>
      </w:r>
    </w:p>
    <w:p>
      <w:pPr>
        <w:spacing w:after="0" w:line="5" w:lineRule="exact"/>
        <w:rPr>
          <w:sz w:val="20"/>
          <w:szCs w:val="20"/>
          <w:color w:val="auto"/>
        </w:rPr>
      </w:pPr>
    </w:p>
    <w:p>
      <w:pPr>
        <w:ind w:left="180" w:hanging="170"/>
        <w:spacing w:after="0"/>
        <w:tabs>
          <w:tab w:leader="none" w:pos="180"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Long-term Assets</w:t>
            </w:r>
          </w:p>
        </w:tc>
        <w:tc>
          <w:tcPr>
            <w:tcW w:w="27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2002</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2001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60" w:type="dxa"/>
            <w:vAlign w:val="bottom"/>
          </w:tcPr>
          <w:p>
            <w:pPr>
              <w:spacing w:after="0"/>
              <w:rPr>
                <w:sz w:val="20"/>
                <w:szCs w:val="20"/>
                <w:color w:val="auto"/>
              </w:rPr>
            </w:pPr>
            <w:r>
              <w:rPr>
                <w:rFonts w:ascii="Courier New" w:cs="Courier New" w:eastAsia="Courier New" w:hAnsi="Courier New"/>
                <w:sz w:val="15"/>
                <w:szCs w:val="15"/>
                <w:color w:val="auto"/>
              </w:rPr>
              <w:t>FEMSA Cerveza</w:t>
            </w:r>
          </w:p>
        </w:tc>
        <w:tc>
          <w:tcPr>
            <w:tcW w:w="2500" w:type="dxa"/>
            <w:vAlign w:val="bottom"/>
          </w:tcPr>
          <w:p>
            <w:pPr>
              <w:spacing w:after="0"/>
              <w:rPr>
                <w:sz w:val="14"/>
                <w:szCs w:val="14"/>
                <w:color w:val="auto"/>
              </w:rPr>
            </w:pPr>
          </w:p>
        </w:tc>
        <w:tc>
          <w:tcPr>
            <w:tcW w:w="2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Ps. 19,630</w:t>
            </w:r>
          </w:p>
        </w:tc>
        <w:tc>
          <w:tcPr>
            <w:tcW w:w="1080" w:type="dxa"/>
            <w:vAlign w:val="bottom"/>
          </w:tcPr>
          <w:p>
            <w:pPr>
              <w:jc w:val="right"/>
              <w:ind w:right="7"/>
              <w:spacing w:after="0"/>
              <w:rPr>
                <w:sz w:val="20"/>
                <w:szCs w:val="20"/>
                <w:color w:val="auto"/>
              </w:rPr>
            </w:pPr>
            <w:r>
              <w:rPr>
                <w:rFonts w:ascii="Courier New" w:cs="Courier New" w:eastAsia="Courier New" w:hAnsi="Courier New"/>
                <w:sz w:val="15"/>
                <w:szCs w:val="15"/>
                <w:color w:val="auto"/>
              </w:rPr>
              <w:t>Ps. 18,876</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Coca-Cola FEMSA</w:t>
            </w:r>
          </w:p>
        </w:tc>
        <w:tc>
          <w:tcPr>
            <w:tcW w:w="25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Mexico</w:t>
            </w:r>
          </w:p>
        </w:tc>
        <w:tc>
          <w:tcPr>
            <w:tcW w:w="2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7,148</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7,073</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Coca-Cola FEMSA</w:t>
            </w:r>
          </w:p>
        </w:tc>
        <w:tc>
          <w:tcPr>
            <w:tcW w:w="25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Buenos Aires</w:t>
            </w:r>
          </w:p>
        </w:tc>
        <w:tc>
          <w:tcPr>
            <w:tcW w:w="2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1,034</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1,116</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FEMSA Empaques</w:t>
            </w:r>
          </w:p>
        </w:tc>
        <w:tc>
          <w:tcPr>
            <w:tcW w:w="2500" w:type="dxa"/>
            <w:vAlign w:val="bottom"/>
          </w:tcPr>
          <w:p>
            <w:pPr>
              <w:spacing w:after="0"/>
              <w:rPr>
                <w:sz w:val="14"/>
                <w:szCs w:val="14"/>
                <w:color w:val="auto"/>
              </w:rPr>
            </w:pPr>
          </w:p>
        </w:tc>
        <w:tc>
          <w:tcPr>
            <w:tcW w:w="2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4,018</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3,960</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FEMSA Comercio</w:t>
            </w:r>
          </w:p>
        </w:tc>
        <w:tc>
          <w:tcPr>
            <w:tcW w:w="2500" w:type="dxa"/>
            <w:vAlign w:val="bottom"/>
          </w:tcPr>
          <w:p>
            <w:pPr>
              <w:spacing w:after="0"/>
              <w:rPr>
                <w:sz w:val="14"/>
                <w:szCs w:val="14"/>
                <w:color w:val="auto"/>
              </w:rPr>
            </w:pPr>
          </w:p>
        </w:tc>
        <w:tc>
          <w:tcPr>
            <w:tcW w:w="2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2,903</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2,409</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FEMSA Logistica</w:t>
            </w:r>
          </w:p>
        </w:tc>
        <w:tc>
          <w:tcPr>
            <w:tcW w:w="25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 Logistica-CCM</w:t>
            </w:r>
          </w:p>
        </w:tc>
        <w:tc>
          <w:tcPr>
            <w:tcW w:w="2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517</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534</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2500" w:type="dxa"/>
            <w:vAlign w:val="bottom"/>
          </w:tcPr>
          <w:p>
            <w:pPr>
              <w:spacing w:after="0"/>
              <w:rPr>
                <w:sz w:val="14"/>
                <w:szCs w:val="14"/>
                <w:color w:val="auto"/>
              </w:rPr>
            </w:pPr>
          </w:p>
        </w:tc>
        <w:tc>
          <w:tcPr>
            <w:tcW w:w="2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7,043</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5,642</w:t>
            </w:r>
          </w:p>
        </w:tc>
      </w:tr>
      <w:tr>
        <w:trPr>
          <w:trHeight w:val="168"/>
        </w:trPr>
        <w:tc>
          <w:tcPr>
            <w:tcW w:w="3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Consolidation adjustments</w:t>
            </w:r>
          </w:p>
        </w:tc>
        <w:tc>
          <w:tcPr>
            <w:tcW w:w="2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(5,788)</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(4,465)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4820"/>
        <w:spacing w:after="0"/>
        <w:tabs>
          <w:tab w:leader="none" w:pos="6020" w:val="left"/>
        </w:tabs>
        <w:rPr>
          <w:sz w:val="20"/>
          <w:szCs w:val="20"/>
          <w:color w:val="auto"/>
        </w:rPr>
      </w:pPr>
      <w:r>
        <w:rPr>
          <w:rFonts w:ascii="Courier New" w:cs="Courier New" w:eastAsia="Courier New" w:hAnsi="Courier New"/>
          <w:sz w:val="15"/>
          <w:szCs w:val="15"/>
          <w:color w:val="auto"/>
        </w:rPr>
        <w:t>Ps. 36,505</w:t>
      </w:r>
      <w:r>
        <w:rPr>
          <w:sz w:val="20"/>
          <w:szCs w:val="20"/>
          <w:color w:val="auto"/>
        </w:rPr>
        <w:tab/>
      </w:r>
      <w:r>
        <w:rPr>
          <w:rFonts w:ascii="Courier New" w:cs="Courier New" w:eastAsia="Courier New" w:hAnsi="Courier New"/>
          <w:sz w:val="14"/>
          <w:szCs w:val="14"/>
          <w:color w:val="auto"/>
        </w:rPr>
        <w:t>Ps. 35,145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8" w:lineRule="exact"/>
        <w:rPr>
          <w:sz w:val="20"/>
          <w:szCs w:val="20"/>
          <w:color w:val="auto"/>
        </w:rPr>
      </w:pPr>
    </w:p>
    <w:p>
      <w:pPr>
        <w:ind w:left="3340" w:right="3319" w:hanging="3330"/>
        <w:spacing w:after="0" w:line="465" w:lineRule="auto"/>
        <w:tabs>
          <w:tab w:leader="none" w:pos="454"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investments in property, plant and equipment and deferred charges F-32</w:t>
      </w:r>
    </w:p>
    <w:p>
      <w:pPr>
        <w:sectPr>
          <w:pgSz w:w="11900" w:h="16838" w:orient="portrait"/>
          <w:cols w:equalWidth="0" w:num="1">
            <w:col w:w="10239"/>
          </w:cols>
          <w:pgMar w:left="220" w:top="1128" w:right="1440" w:bottom="1440" w:gutter="0" w:footer="0" w:header="0"/>
        </w:sectPr>
      </w:pPr>
    </w:p>
    <w:bookmarkStart w:id="195" w:name="page196"/>
    <w:bookmarkEnd w:id="195"/>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4400" w:type="dxa"/>
            <w:vAlign w:val="bottom"/>
          </w:tcPr>
          <w:p>
            <w:pPr>
              <w:jc w:val="right"/>
              <w:ind w:right="567"/>
              <w:spacing w:after="0"/>
              <w:rPr>
                <w:sz w:val="20"/>
                <w:szCs w:val="20"/>
                <w:color w:val="auto"/>
              </w:rPr>
            </w:pPr>
            <w:r>
              <w:rPr>
                <w:rFonts w:ascii="Courier New" w:cs="Courier New" w:eastAsia="Courier New" w:hAnsi="Courier New"/>
                <w:sz w:val="15"/>
                <w:szCs w:val="15"/>
                <w:color w:val="auto"/>
              </w:rPr>
              <w:t>2002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2001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60" w:type="dxa"/>
            <w:vAlign w:val="bottom"/>
          </w:tcPr>
          <w:p>
            <w:pPr>
              <w:spacing w:after="0"/>
              <w:rPr>
                <w:sz w:val="20"/>
                <w:szCs w:val="20"/>
                <w:color w:val="auto"/>
              </w:rPr>
            </w:pPr>
            <w:r>
              <w:rPr>
                <w:rFonts w:ascii="Courier New" w:cs="Courier New" w:eastAsia="Courier New" w:hAnsi="Courier New"/>
                <w:sz w:val="15"/>
                <w:szCs w:val="15"/>
                <w:color w:val="auto"/>
              </w:rPr>
              <w:t>FEMSA Cerveza</w:t>
            </w:r>
          </w:p>
        </w:tc>
        <w:tc>
          <w:tcPr>
            <w:tcW w:w="3760" w:type="dxa"/>
            <w:vAlign w:val="bottom"/>
          </w:tcPr>
          <w:p>
            <w:pPr>
              <w:spacing w:after="0"/>
              <w:rPr>
                <w:sz w:val="14"/>
                <w:szCs w:val="14"/>
                <w:color w:val="auto"/>
              </w:rPr>
            </w:pPr>
          </w:p>
        </w:tc>
        <w:tc>
          <w:tcPr>
            <w:tcW w:w="2640" w:type="dxa"/>
            <w:vAlign w:val="bottom"/>
          </w:tcPr>
          <w:p>
            <w:pPr>
              <w:ind w:left="2240"/>
              <w:spacing w:after="0"/>
              <w:rPr>
                <w:sz w:val="20"/>
                <w:szCs w:val="20"/>
                <w:color w:val="auto"/>
              </w:rPr>
            </w:pPr>
            <w:r>
              <w:rPr>
                <w:rFonts w:ascii="Courier New" w:cs="Courier New" w:eastAsia="Courier New" w:hAnsi="Courier New"/>
                <w:sz w:val="15"/>
                <w:szCs w:val="15"/>
                <w:color w:val="auto"/>
              </w:rPr>
              <w:t>Ps.</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28,416</w:t>
            </w:r>
          </w:p>
        </w:tc>
        <w:tc>
          <w:tcPr>
            <w:tcW w:w="640" w:type="dxa"/>
            <w:vAlign w:val="bottom"/>
          </w:tcPr>
          <w:p>
            <w:pPr>
              <w:ind w:left="220"/>
              <w:spacing w:after="0"/>
              <w:rPr>
                <w:sz w:val="20"/>
                <w:szCs w:val="20"/>
                <w:color w:val="auto"/>
              </w:rPr>
            </w:pPr>
            <w:r>
              <w:rPr>
                <w:rFonts w:ascii="Courier New" w:cs="Courier New" w:eastAsia="Courier New" w:hAnsi="Courier New"/>
                <w:sz w:val="15"/>
                <w:szCs w:val="15"/>
                <w:color w:val="auto"/>
              </w:rPr>
              <w:t>Ps.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24,645</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Coca-Cola FEMSA</w:t>
            </w:r>
          </w:p>
        </w:tc>
        <w:tc>
          <w:tcPr>
            <w:tcW w:w="37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Mexico</w:t>
            </w:r>
          </w:p>
        </w:tc>
        <w:tc>
          <w:tcPr>
            <w:tcW w:w="264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14,778</w:t>
            </w:r>
          </w:p>
        </w:tc>
        <w:tc>
          <w:tcPr>
            <w:tcW w:w="64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12,896</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Coca-Cola FEMSA</w:t>
            </w:r>
          </w:p>
        </w:tc>
        <w:tc>
          <w:tcPr>
            <w:tcW w:w="37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Buenos Aires</w:t>
            </w:r>
          </w:p>
        </w:tc>
        <w:tc>
          <w:tcPr>
            <w:tcW w:w="264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1,262</w:t>
            </w:r>
          </w:p>
        </w:tc>
        <w:tc>
          <w:tcPr>
            <w:tcW w:w="64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1,364</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FEMSA Empaques</w:t>
            </w:r>
          </w:p>
        </w:tc>
        <w:tc>
          <w:tcPr>
            <w:tcW w:w="37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6,230</w:t>
            </w:r>
          </w:p>
        </w:tc>
        <w:tc>
          <w:tcPr>
            <w:tcW w:w="64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6,317</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FEMSA Comercio</w:t>
            </w:r>
          </w:p>
        </w:tc>
        <w:tc>
          <w:tcPr>
            <w:tcW w:w="37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5,374</w:t>
            </w:r>
          </w:p>
        </w:tc>
        <w:tc>
          <w:tcPr>
            <w:tcW w:w="64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3,851</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FEMSA Logistica</w:t>
            </w:r>
          </w:p>
        </w:tc>
        <w:tc>
          <w:tcPr>
            <w:tcW w:w="37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 Logistica-CCM</w:t>
            </w:r>
          </w:p>
        </w:tc>
        <w:tc>
          <w:tcPr>
            <w:tcW w:w="264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765</w:t>
            </w:r>
          </w:p>
        </w:tc>
        <w:tc>
          <w:tcPr>
            <w:tcW w:w="64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760</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37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10,240</w:t>
            </w:r>
          </w:p>
        </w:tc>
        <w:tc>
          <w:tcPr>
            <w:tcW w:w="64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8,283</w:t>
            </w:r>
          </w:p>
        </w:tc>
      </w:tr>
      <w:tr>
        <w:trPr>
          <w:trHeight w:val="168"/>
        </w:trPr>
        <w:tc>
          <w:tcPr>
            <w:tcW w:w="51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Consolidation adjustments</w:t>
            </w:r>
          </w:p>
        </w:tc>
        <w:tc>
          <w:tcPr>
            <w:tcW w:w="264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(7,182)</w:t>
            </w:r>
          </w:p>
        </w:tc>
        <w:tc>
          <w:tcPr>
            <w:tcW w:w="64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(6,980)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800" w:type="dxa"/>
            <w:vAlign w:val="bottom"/>
          </w:tcPr>
          <w:p>
            <w:pPr>
              <w:ind w:left="7360"/>
              <w:spacing w:after="0"/>
              <w:rPr>
                <w:sz w:val="20"/>
                <w:szCs w:val="20"/>
                <w:color w:val="auto"/>
              </w:rPr>
            </w:pPr>
            <w:r>
              <w:rPr>
                <w:rFonts w:ascii="Courier New" w:cs="Courier New" w:eastAsia="Courier New" w:hAnsi="Courier New"/>
                <w:sz w:val="15"/>
                <w:szCs w:val="15"/>
                <w:color w:val="auto"/>
              </w:rPr>
              <w:t>Ps.</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59,883</w:t>
            </w:r>
          </w:p>
        </w:tc>
        <w:tc>
          <w:tcPr>
            <w:tcW w:w="700" w:type="dxa"/>
            <w:vAlign w:val="bottom"/>
          </w:tcPr>
          <w:p>
            <w:pPr>
              <w:ind w:left="220"/>
              <w:spacing w:after="0"/>
              <w:rPr>
                <w:sz w:val="20"/>
                <w:szCs w:val="20"/>
                <w:color w:val="auto"/>
              </w:rPr>
            </w:pPr>
            <w:r>
              <w:rPr>
                <w:rFonts w:ascii="Courier New" w:cs="Courier New" w:eastAsia="Courier New" w:hAnsi="Courier New"/>
                <w:sz w:val="15"/>
                <w:szCs w:val="15"/>
                <w:color w:val="auto"/>
              </w:rPr>
              <w:t>Ps.</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51,136</w:t>
            </w:r>
          </w:p>
        </w:tc>
      </w:tr>
      <w:tr>
        <w:trPr>
          <w:trHeight w:val="336"/>
        </w:trPr>
        <w:tc>
          <w:tcPr>
            <w:tcW w:w="7800" w:type="dxa"/>
            <w:vAlign w:val="bottom"/>
          </w:tcPr>
          <w:p>
            <w:pPr>
              <w:spacing w:after="0"/>
              <w:rPr>
                <w:sz w:val="20"/>
                <w:szCs w:val="20"/>
                <w:color w:val="auto"/>
              </w:rPr>
            </w:pPr>
            <w:r>
              <w:rPr>
                <w:rFonts w:ascii="Courier New" w:cs="Courier New" w:eastAsia="Courier New" w:hAnsi="Courier New"/>
                <w:sz w:val="15"/>
                <w:szCs w:val="15"/>
                <w:color w:val="auto"/>
              </w:rPr>
              <w:t>Recoverable taxes</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121</w:t>
            </w:r>
          </w:p>
        </w:tc>
        <w:tc>
          <w:tcPr>
            <w:tcW w:w="7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7360"/>
        <w:spacing w:after="0"/>
        <w:tabs>
          <w:tab w:leader="none" w:pos="7940" w:val="left"/>
          <w:tab w:leader="none" w:pos="8920" w:val="left"/>
          <w:tab w:leader="none" w:pos="9620" w:val="left"/>
        </w:tabs>
        <w:rPr>
          <w:sz w:val="20"/>
          <w:szCs w:val="20"/>
          <w:color w:val="auto"/>
        </w:rPr>
      </w:pPr>
      <w:r>
        <w:rPr>
          <w:rFonts w:ascii="Courier New" w:cs="Courier New" w:eastAsia="Courier New" w:hAnsi="Courier New"/>
          <w:sz w:val="15"/>
          <w:szCs w:val="15"/>
          <w:color w:val="auto"/>
        </w:rPr>
        <w:t>Ps.</w:t>
      </w:r>
      <w:r>
        <w:rPr>
          <w:sz w:val="20"/>
          <w:szCs w:val="20"/>
          <w:color w:val="auto"/>
        </w:rPr>
        <w:tab/>
      </w:r>
      <w:r>
        <w:rPr>
          <w:rFonts w:ascii="Courier New" w:cs="Courier New" w:eastAsia="Courier New" w:hAnsi="Courier New"/>
          <w:sz w:val="15"/>
          <w:szCs w:val="15"/>
          <w:color w:val="auto"/>
        </w:rPr>
        <w:t>60,004</w:t>
      </w:r>
      <w:r>
        <w:rPr>
          <w:sz w:val="20"/>
          <w:szCs w:val="20"/>
          <w:color w:val="auto"/>
        </w:rPr>
        <w:tab/>
      </w:r>
      <w:r>
        <w:rPr>
          <w:rFonts w:ascii="Courier New" w:cs="Courier New" w:eastAsia="Courier New" w:hAnsi="Courier New"/>
          <w:sz w:val="15"/>
          <w:szCs w:val="15"/>
          <w:color w:val="auto"/>
        </w:rPr>
        <w:t>Ps.</w:t>
      </w:r>
      <w:r>
        <w:rPr>
          <w:sz w:val="20"/>
          <w:szCs w:val="20"/>
          <w:color w:val="auto"/>
        </w:rPr>
        <w:tab/>
      </w:r>
      <w:r>
        <w:rPr>
          <w:rFonts w:ascii="Courier New" w:cs="Courier New" w:eastAsia="Courier New" w:hAnsi="Courier New"/>
          <w:sz w:val="14"/>
          <w:szCs w:val="14"/>
          <w:color w:val="auto"/>
        </w:rPr>
        <w:t>51,136</w:t>
      </w:r>
    </w:p>
    <w:p>
      <w:pPr>
        <w:spacing w:after="0" w:line="5" w:lineRule="exact"/>
        <w:rPr>
          <w:sz w:val="20"/>
          <w:szCs w:val="20"/>
          <w:color w:val="auto"/>
        </w:rPr>
      </w:pPr>
    </w:p>
    <w:p>
      <w:pPr>
        <w:ind w:left="180" w:hanging="170"/>
        <w:spacing w:after="0"/>
        <w:tabs>
          <w:tab w:leader="none" w:pos="180"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60" w:type="dxa"/>
            <w:vAlign w:val="bottom"/>
          </w:tcPr>
          <w:p>
            <w:pPr>
              <w:spacing w:after="0"/>
              <w:rPr>
                <w:sz w:val="20"/>
                <w:szCs w:val="20"/>
                <w:color w:val="auto"/>
              </w:rPr>
            </w:pPr>
            <w:r>
              <w:rPr>
                <w:rFonts w:ascii="Courier New" w:cs="Courier New" w:eastAsia="Courier New" w:hAnsi="Courier New"/>
                <w:sz w:val="15"/>
                <w:szCs w:val="15"/>
                <w:color w:val="auto"/>
              </w:rPr>
              <w:t>Total Liabilities</w:t>
            </w:r>
          </w:p>
        </w:tc>
        <w:tc>
          <w:tcPr>
            <w:tcW w:w="43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2002</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2001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60" w:type="dxa"/>
            <w:vAlign w:val="bottom"/>
          </w:tcPr>
          <w:p>
            <w:pPr>
              <w:spacing w:after="0"/>
              <w:rPr>
                <w:sz w:val="20"/>
                <w:szCs w:val="20"/>
                <w:color w:val="auto"/>
              </w:rPr>
            </w:pPr>
            <w:r>
              <w:rPr>
                <w:rFonts w:ascii="Courier New" w:cs="Courier New" w:eastAsia="Courier New" w:hAnsi="Courier New"/>
                <w:sz w:val="15"/>
                <w:szCs w:val="15"/>
                <w:color w:val="auto"/>
              </w:rPr>
              <w:t>FEMSA Cerveza</w:t>
            </w:r>
          </w:p>
        </w:tc>
        <w:tc>
          <w:tcPr>
            <w:tcW w:w="3760" w:type="dxa"/>
            <w:vAlign w:val="bottom"/>
          </w:tcPr>
          <w:p>
            <w:pPr>
              <w:spacing w:after="0"/>
              <w:rPr>
                <w:sz w:val="14"/>
                <w:szCs w:val="14"/>
                <w:color w:val="auto"/>
              </w:rPr>
            </w:pPr>
          </w:p>
        </w:tc>
        <w:tc>
          <w:tcPr>
            <w:tcW w:w="2680" w:type="dxa"/>
            <w:vAlign w:val="bottom"/>
          </w:tcPr>
          <w:p>
            <w:pPr>
              <w:ind w:left="2240"/>
              <w:spacing w:after="0"/>
              <w:rPr>
                <w:sz w:val="20"/>
                <w:szCs w:val="20"/>
                <w:color w:val="auto"/>
              </w:rPr>
            </w:pPr>
            <w:r>
              <w:rPr>
                <w:rFonts w:ascii="Courier New" w:cs="Courier New" w:eastAsia="Courier New" w:hAnsi="Courier New"/>
                <w:sz w:val="15"/>
                <w:szCs w:val="15"/>
                <w:color w:val="auto"/>
              </w:rPr>
              <w:t>Ps.</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8,419</w:t>
            </w:r>
          </w:p>
        </w:tc>
        <w:tc>
          <w:tcPr>
            <w:tcW w:w="600" w:type="dxa"/>
            <w:vAlign w:val="bottom"/>
          </w:tcPr>
          <w:p>
            <w:pPr>
              <w:ind w:left="180"/>
              <w:spacing w:after="0"/>
              <w:rPr>
                <w:sz w:val="20"/>
                <w:szCs w:val="20"/>
                <w:color w:val="auto"/>
              </w:rPr>
            </w:pPr>
            <w:r>
              <w:rPr>
                <w:rFonts w:ascii="Courier New" w:cs="Courier New" w:eastAsia="Courier New" w:hAnsi="Courier New"/>
                <w:sz w:val="15"/>
                <w:szCs w:val="15"/>
                <w:color w:val="auto"/>
              </w:rPr>
              <w:t>Ps.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5,462</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Coca-Cola FEMSA</w:t>
            </w:r>
          </w:p>
        </w:tc>
        <w:tc>
          <w:tcPr>
            <w:tcW w:w="37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Mexico</w:t>
            </w:r>
          </w:p>
        </w:tc>
        <w:tc>
          <w:tcPr>
            <w:tcW w:w="26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5,677</w:t>
            </w:r>
          </w:p>
        </w:tc>
        <w:tc>
          <w:tcPr>
            <w:tcW w:w="60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4,979</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Coca-Cola FEMSA</w:t>
            </w:r>
          </w:p>
        </w:tc>
        <w:tc>
          <w:tcPr>
            <w:tcW w:w="37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Buenos Aires</w:t>
            </w:r>
          </w:p>
        </w:tc>
        <w:tc>
          <w:tcPr>
            <w:tcW w:w="26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247</w:t>
            </w:r>
          </w:p>
        </w:tc>
        <w:tc>
          <w:tcPr>
            <w:tcW w:w="60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352</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FEMSA Empaques</w:t>
            </w:r>
          </w:p>
        </w:tc>
        <w:tc>
          <w:tcPr>
            <w:tcW w:w="37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4,502</w:t>
            </w:r>
          </w:p>
        </w:tc>
        <w:tc>
          <w:tcPr>
            <w:tcW w:w="60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4,657</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FEMSA Comercio</w:t>
            </w:r>
          </w:p>
        </w:tc>
        <w:tc>
          <w:tcPr>
            <w:tcW w:w="37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4,125</w:t>
            </w:r>
          </w:p>
        </w:tc>
        <w:tc>
          <w:tcPr>
            <w:tcW w:w="60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2,815</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FEMSA Logistica</w:t>
            </w:r>
          </w:p>
        </w:tc>
        <w:tc>
          <w:tcPr>
            <w:tcW w:w="37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 Logistica-CCM</w:t>
            </w:r>
          </w:p>
        </w:tc>
        <w:tc>
          <w:tcPr>
            <w:tcW w:w="26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241</w:t>
            </w:r>
          </w:p>
        </w:tc>
        <w:tc>
          <w:tcPr>
            <w:tcW w:w="60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241</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37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6,823</w:t>
            </w:r>
          </w:p>
        </w:tc>
        <w:tc>
          <w:tcPr>
            <w:tcW w:w="60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4,479</w:t>
            </w:r>
          </w:p>
        </w:tc>
      </w:tr>
      <w:tr>
        <w:trPr>
          <w:trHeight w:val="168"/>
        </w:trPr>
        <w:tc>
          <w:tcPr>
            <w:tcW w:w="51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Consolidation adjustments</w:t>
            </w:r>
          </w:p>
        </w:tc>
        <w:tc>
          <w:tcPr>
            <w:tcW w:w="26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(6,830)</w:t>
            </w:r>
          </w:p>
        </w:tc>
        <w:tc>
          <w:tcPr>
            <w:tcW w:w="60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(6,065)</w:t>
            </w:r>
          </w:p>
        </w:tc>
      </w:tr>
    </w:tbl>
    <w:p>
      <w:pPr>
        <w:spacing w:after="0" w:line="5" w:lineRule="exact"/>
        <w:rPr>
          <w:sz w:val="20"/>
          <w:szCs w:val="20"/>
          <w:color w:val="auto"/>
        </w:rPr>
      </w:pPr>
    </w:p>
    <w:p>
      <w:pPr>
        <w:ind w:left="180" w:hanging="170"/>
        <w:spacing w:after="0"/>
        <w:tabs>
          <w:tab w:leader="none" w:pos="180"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736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Ps.23,204Ps.</w:t>
      </w:r>
      <w:r>
        <w:rPr>
          <w:rFonts w:ascii="Courier New" w:cs="Courier New" w:eastAsia="Courier New" w:hAnsi="Courier New"/>
          <w:sz w:val="14"/>
          <w:szCs w:val="14"/>
          <w:color w:val="auto"/>
        </w:rPr>
        <w:t>16,920</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20"/>
                <w:szCs w:val="20"/>
                <w:color w:val="auto"/>
              </w:rPr>
            </w:pPr>
            <w:r>
              <w:rPr>
                <w:rFonts w:ascii="Courier New" w:cs="Courier New" w:eastAsia="Courier New" w:hAnsi="Courier New"/>
                <w:sz w:val="15"/>
                <w:szCs w:val="15"/>
                <w:color w:val="auto"/>
              </w:rPr>
              <w:t>Deferred income tax liability</w:t>
            </w:r>
          </w:p>
        </w:tc>
        <w:tc>
          <w:tcPr>
            <w:tcW w:w="38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3,987</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3,943</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Accrued income taxes</w:t>
            </w:r>
          </w:p>
        </w:tc>
        <w:tc>
          <w:tcPr>
            <w:tcW w:w="38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268</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7360"/>
        <w:spacing w:after="0"/>
        <w:tabs>
          <w:tab w:leader="none" w:pos="8040" w:val="left"/>
          <w:tab w:leader="none" w:pos="8920" w:val="left"/>
          <w:tab w:leader="none" w:pos="9620" w:val="left"/>
        </w:tabs>
        <w:rPr>
          <w:sz w:val="20"/>
          <w:szCs w:val="20"/>
          <w:color w:val="auto"/>
        </w:rPr>
      </w:pPr>
      <w:r>
        <w:rPr>
          <w:rFonts w:ascii="Courier New" w:cs="Courier New" w:eastAsia="Courier New" w:hAnsi="Courier New"/>
          <w:sz w:val="15"/>
          <w:szCs w:val="15"/>
          <w:color w:val="auto"/>
        </w:rPr>
        <w:t>Ps.</w:t>
      </w:r>
      <w:r>
        <w:rPr>
          <w:sz w:val="20"/>
          <w:szCs w:val="20"/>
          <w:color w:val="auto"/>
        </w:rPr>
        <w:tab/>
      </w:r>
      <w:r>
        <w:rPr>
          <w:rFonts w:ascii="Courier New" w:cs="Courier New" w:eastAsia="Courier New" w:hAnsi="Courier New"/>
          <w:sz w:val="15"/>
          <w:szCs w:val="15"/>
          <w:color w:val="auto"/>
        </w:rPr>
        <w:t>27,191</w:t>
      </w:r>
      <w:r>
        <w:rPr>
          <w:sz w:val="20"/>
          <w:szCs w:val="20"/>
          <w:color w:val="auto"/>
        </w:rPr>
        <w:tab/>
      </w:r>
      <w:r>
        <w:rPr>
          <w:rFonts w:ascii="Courier New" w:cs="Courier New" w:eastAsia="Courier New" w:hAnsi="Courier New"/>
          <w:sz w:val="15"/>
          <w:szCs w:val="15"/>
          <w:color w:val="auto"/>
        </w:rPr>
        <w:t>Ps.</w:t>
      </w:r>
      <w:r>
        <w:rPr>
          <w:sz w:val="20"/>
          <w:szCs w:val="20"/>
          <w:color w:val="auto"/>
        </w:rPr>
        <w:tab/>
      </w:r>
      <w:r>
        <w:rPr>
          <w:rFonts w:ascii="Courier New" w:cs="Courier New" w:eastAsia="Courier New" w:hAnsi="Courier New"/>
          <w:sz w:val="14"/>
          <w:szCs w:val="14"/>
          <w:color w:val="auto"/>
        </w:rPr>
        <w:t>21,131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24. Differences Between Mexican GAAP and US GAAP.</w:t>
      </w:r>
    </w:p>
    <w:p>
      <w:pPr>
        <w:spacing w:after="0" w:line="173" w:lineRule="exact"/>
        <w:rPr>
          <w:sz w:val="20"/>
          <w:szCs w:val="20"/>
          <w:color w:val="auto"/>
        </w:rPr>
      </w:pPr>
    </w:p>
    <w:p>
      <w:pPr>
        <w:ind w:right="3420"/>
        <w:spacing w:after="0" w:line="236" w:lineRule="auto"/>
        <w:rPr>
          <w:sz w:val="20"/>
          <w:szCs w:val="20"/>
          <w:color w:val="auto"/>
        </w:rPr>
      </w:pPr>
      <w:r>
        <w:rPr>
          <w:rFonts w:ascii="Courier New" w:cs="Courier New" w:eastAsia="Courier New" w:hAnsi="Courier New"/>
          <w:sz w:val="15"/>
          <w:szCs w:val="15"/>
          <w:color w:val="auto"/>
        </w:rPr>
        <w:t>The consolidated financial statements of the Company are prepared in accordance with Mexican GAAP, which differs in certain significant respects from US GAAP. A reconciliation of the reported majority net income, majority stockholders' equity and majority comprehensive income to US GAAP is presented in Note 25. It should be noted that this reconciliation to US GAAP does not include the reversal of the restatement of the financial statements as required by Bulletin B-10, "Reconocimiento de los Efectos de Inflacion en la Informacion Financiera" (Recognition of the Effects of Inflation in the Financial Information), of Mexican GAAP.</w:t>
      </w:r>
    </w:p>
    <w:p>
      <w:pPr>
        <w:spacing w:after="0" w:line="178" w:lineRule="exact"/>
        <w:rPr>
          <w:sz w:val="20"/>
          <w:szCs w:val="20"/>
          <w:color w:val="auto"/>
        </w:rPr>
      </w:pPr>
    </w:p>
    <w:p>
      <w:pPr>
        <w:ind w:right="3580"/>
        <w:spacing w:after="0" w:line="256" w:lineRule="auto"/>
        <w:rPr>
          <w:sz w:val="20"/>
          <w:szCs w:val="20"/>
          <w:color w:val="auto"/>
        </w:rPr>
      </w:pPr>
      <w:r>
        <w:rPr>
          <w:rFonts w:ascii="Courier New" w:cs="Courier New" w:eastAsia="Courier New" w:hAnsi="Courier New"/>
          <w:sz w:val="14"/>
          <w:szCs w:val="14"/>
          <w:color w:val="auto"/>
        </w:rPr>
        <w:t>The application of this bulletin represents a comprehensive measure of the effects of price-level changes in the Mexican economy and, as such, is considered a more meaningful presentation than historical cost-based financial reporting in Mexican pesos for both Mexican and US accounting purposes.</w:t>
      </w:r>
    </w:p>
    <w:p>
      <w:pPr>
        <w:spacing w:after="0" w:line="32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F-33</w:t>
      </w:r>
    </w:p>
    <w:p>
      <w:pPr>
        <w:sectPr>
          <w:pgSz w:w="11900" w:h="16838" w:orient="portrait"/>
          <w:cols w:equalWidth="0" w:num="1">
            <w:col w:w="10420"/>
          </w:cols>
          <w:pgMar w:left="220" w:top="960" w:right="1259" w:bottom="1440" w:gutter="0" w:footer="0" w:header="0"/>
        </w:sectPr>
      </w:pPr>
    </w:p>
    <w:bookmarkStart w:id="196" w:name="page197"/>
    <w:bookmarkEnd w:id="196"/>
    <w:p>
      <w:pPr>
        <w:ind w:right="3319"/>
        <w:spacing w:after="0" w:line="235" w:lineRule="auto"/>
        <w:rPr>
          <w:sz w:val="20"/>
          <w:szCs w:val="20"/>
          <w:color w:val="auto"/>
        </w:rPr>
      </w:pPr>
      <w:r>
        <w:rPr>
          <w:rFonts w:ascii="Courier New" w:cs="Courier New" w:eastAsia="Courier New" w:hAnsi="Courier New"/>
          <w:sz w:val="15"/>
          <w:szCs w:val="15"/>
          <w:color w:val="auto"/>
        </w:rPr>
        <w:t>The principal differences between Mexican GAAP and US GAAP included in the reconciliation that affect the consolidated financial statements of the Company are described below:</w:t>
      </w:r>
    </w:p>
    <w:p>
      <w:pPr>
        <w:spacing w:after="0" w:line="167" w:lineRule="exact"/>
        <w:rPr>
          <w:sz w:val="20"/>
          <w:szCs w:val="20"/>
          <w:color w:val="auto"/>
        </w:rPr>
      </w:pPr>
    </w:p>
    <w:p>
      <w:pPr>
        <w:ind w:left="360" w:hanging="350"/>
        <w:spacing w:after="0"/>
        <w:tabs>
          <w:tab w:leader="none" w:pos="360"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Restatement of Prior Year Financial Statements:</w:t>
      </w:r>
    </w:p>
    <w:p>
      <w:pPr>
        <w:spacing w:after="0" w:line="172" w:lineRule="exact"/>
        <w:rPr>
          <w:rFonts w:ascii="Courier New" w:cs="Courier New" w:eastAsia="Courier New" w:hAnsi="Courier New"/>
          <w:sz w:val="15"/>
          <w:szCs w:val="15"/>
          <w:color w:val="auto"/>
        </w:rPr>
      </w:pPr>
    </w:p>
    <w:p>
      <w:pPr>
        <w:ind w:left="36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As explained in Note 4 a), in accordance with Mexican GAAP, the financial statements for Mexican subsidiaries for prior years was restated using NCPI factors, and for foreign subsidiaries and affiliated companies for prior years was restated using the inflation rate of the country in which the foreign subsidiary or affiliated company is located, then translated to Mexican pesos at the year-end exchange rate.</w:t>
      </w:r>
    </w:p>
    <w:p>
      <w:pPr>
        <w:spacing w:after="0" w:line="174" w:lineRule="exact"/>
        <w:rPr>
          <w:rFonts w:ascii="Courier New" w:cs="Courier New" w:eastAsia="Courier New" w:hAnsi="Courier New"/>
          <w:sz w:val="15"/>
          <w:szCs w:val="15"/>
          <w:color w:val="auto"/>
        </w:rPr>
      </w:pPr>
    </w:p>
    <w:p>
      <w:pPr>
        <w:ind w:left="36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Under US GAAP, the restatement of prior year financial statements is not required. However, the Company applies the regulations of the Securities and Exchange Commission of the United States of America ("SEC"), which require that prior year financial statements be restated in constant units of the reporting currency, in this case the Mexican peso, which requires the restatement of such prior year amounts using NCPI factors.</w:t>
      </w:r>
    </w:p>
    <w:p>
      <w:pPr>
        <w:spacing w:after="0" w:line="174" w:lineRule="exact"/>
        <w:rPr>
          <w:rFonts w:ascii="Courier New" w:cs="Courier New" w:eastAsia="Courier New" w:hAnsi="Courier New"/>
          <w:sz w:val="15"/>
          <w:szCs w:val="15"/>
          <w:color w:val="auto"/>
        </w:rPr>
      </w:pPr>
    </w:p>
    <w:p>
      <w:pPr>
        <w:ind w:left="360" w:right="383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Additionally, all other US GAAP adjustments for prior years have been restated based upon the SEC methodology.</w:t>
      </w:r>
    </w:p>
    <w:p>
      <w:pPr>
        <w:spacing w:after="0" w:line="166" w:lineRule="exact"/>
        <w:rPr>
          <w:rFonts w:ascii="Courier New" w:cs="Courier New" w:eastAsia="Courier New" w:hAnsi="Courier New"/>
          <w:sz w:val="15"/>
          <w:szCs w:val="15"/>
          <w:color w:val="auto"/>
        </w:rPr>
      </w:pPr>
    </w:p>
    <w:p>
      <w:pPr>
        <w:ind w:left="360" w:hanging="350"/>
        <w:spacing w:after="0"/>
        <w:tabs>
          <w:tab w:leader="none" w:pos="360"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Classification Differences:</w:t>
      </w:r>
    </w:p>
    <w:p>
      <w:pPr>
        <w:spacing w:after="0" w:line="172" w:lineRule="exact"/>
        <w:rPr>
          <w:rFonts w:ascii="Courier New" w:cs="Courier New" w:eastAsia="Courier New" w:hAnsi="Courier New"/>
          <w:sz w:val="15"/>
          <w:szCs w:val="15"/>
          <w:color w:val="auto"/>
        </w:rPr>
      </w:pPr>
    </w:p>
    <w:p>
      <w:pPr>
        <w:ind w:left="360" w:right="357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items require a different classification in the balance sheet or income statement under US GAAP. These include:</w:t>
      </w:r>
    </w:p>
    <w:p>
      <w:pPr>
        <w:spacing w:after="0" w:line="341" w:lineRule="exact"/>
        <w:rPr>
          <w:sz w:val="20"/>
          <w:szCs w:val="20"/>
          <w:color w:val="auto"/>
        </w:rPr>
      </w:pPr>
    </w:p>
    <w:p>
      <w:pPr>
        <w:ind w:left="800" w:right="3239" w:hanging="790"/>
        <w:spacing w:after="0" w:line="235" w:lineRule="auto"/>
        <w:tabs>
          <w:tab w:leader="none" w:pos="800"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explained in Note 4 c), under Mexican GAAP advances to suppliers are recorded as inventories. Under US GAAP advances to suppliers are classified as prepaid expenses.</w:t>
      </w:r>
    </w:p>
    <w:p>
      <w:pPr>
        <w:spacing w:after="0" w:line="173" w:lineRule="exact"/>
        <w:rPr>
          <w:rFonts w:ascii="Courier New" w:cs="Courier New" w:eastAsia="Courier New" w:hAnsi="Courier New"/>
          <w:sz w:val="15"/>
          <w:szCs w:val="15"/>
          <w:color w:val="auto"/>
        </w:rPr>
      </w:pPr>
    </w:p>
    <w:p>
      <w:pPr>
        <w:ind w:left="800" w:right="3239" w:hanging="790"/>
        <w:spacing w:after="0" w:line="235" w:lineRule="auto"/>
        <w:tabs>
          <w:tab w:leader="none" w:pos="800"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impairment of goodwill and other long-lived assets, the gain or loss on the disposition of fixed assets, all severance indemnities, and employee profit sharing must be included in operating expenses under US GAAP.</w:t>
      </w:r>
    </w:p>
    <w:p>
      <w:pPr>
        <w:spacing w:after="0" w:line="169" w:lineRule="exact"/>
        <w:rPr>
          <w:sz w:val="20"/>
          <w:szCs w:val="20"/>
          <w:color w:val="auto"/>
        </w:rPr>
      </w:pPr>
    </w:p>
    <w:p>
      <w:pPr>
        <w:ind w:left="360" w:hanging="350"/>
        <w:spacing w:after="0"/>
        <w:tabs>
          <w:tab w:leader="none" w:pos="360"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Deferred Promotional Expenses:</w:t>
      </w:r>
    </w:p>
    <w:p>
      <w:pPr>
        <w:spacing w:after="0" w:line="172" w:lineRule="exact"/>
        <w:rPr>
          <w:rFonts w:ascii="Courier New" w:cs="Courier New" w:eastAsia="Courier New" w:hAnsi="Courier New"/>
          <w:sz w:val="15"/>
          <w:szCs w:val="15"/>
          <w:color w:val="auto"/>
        </w:rPr>
      </w:pPr>
    </w:p>
    <w:p>
      <w:pPr>
        <w:ind w:left="360" w:right="331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As explained in Note 4 d), for Mexican GAAP purposes, the promotional costs related to the launching of new products or presentations are recorded as prepaid expenses. For US GAAP purposes, such promotional costs are expensed as incurred.</w:t>
      </w:r>
    </w:p>
    <w:p>
      <w:pPr>
        <w:spacing w:after="0" w:line="168" w:lineRule="exact"/>
        <w:rPr>
          <w:rFonts w:ascii="Courier New" w:cs="Courier New" w:eastAsia="Courier New" w:hAnsi="Courier New"/>
          <w:sz w:val="15"/>
          <w:szCs w:val="15"/>
          <w:color w:val="auto"/>
        </w:rPr>
      </w:pPr>
    </w:p>
    <w:p>
      <w:pPr>
        <w:ind w:left="360" w:hanging="350"/>
        <w:spacing w:after="0"/>
        <w:tabs>
          <w:tab w:leader="none" w:pos="360"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Start-up Expenses:</w:t>
      </w:r>
    </w:p>
    <w:p>
      <w:pPr>
        <w:spacing w:after="0" w:line="172" w:lineRule="exact"/>
        <w:rPr>
          <w:rFonts w:ascii="Courier New" w:cs="Courier New" w:eastAsia="Courier New" w:hAnsi="Courier New"/>
          <w:sz w:val="15"/>
          <w:szCs w:val="15"/>
          <w:color w:val="auto"/>
        </w:rPr>
      </w:pPr>
    </w:p>
    <w:p>
      <w:pPr>
        <w:ind w:left="360" w:right="331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As explained in Note 4 h), under Mexican GAAP, start-up expenses are capitalized and are amortized at the start of operations using the straight-line method. Under US GAAP, these expenses must be recorded in the income statement as incurred.</w:t>
      </w:r>
    </w:p>
    <w:p>
      <w:pPr>
        <w:spacing w:after="0" w:line="168" w:lineRule="exact"/>
        <w:rPr>
          <w:rFonts w:ascii="Courier New" w:cs="Courier New" w:eastAsia="Courier New" w:hAnsi="Courier New"/>
          <w:sz w:val="15"/>
          <w:szCs w:val="15"/>
          <w:color w:val="auto"/>
        </w:rPr>
      </w:pPr>
    </w:p>
    <w:p>
      <w:pPr>
        <w:ind w:left="360" w:hanging="350"/>
        <w:spacing w:after="0"/>
        <w:tabs>
          <w:tab w:leader="none" w:pos="360"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Goodwill and Other Intangible Assets:</w:t>
      </w:r>
    </w:p>
    <w:p>
      <w:pPr>
        <w:spacing w:after="0" w:line="172" w:lineRule="exact"/>
        <w:rPr>
          <w:rFonts w:ascii="Courier New" w:cs="Courier New" w:eastAsia="Courier New" w:hAnsi="Courier New"/>
          <w:sz w:val="15"/>
          <w:szCs w:val="15"/>
          <w:color w:val="auto"/>
        </w:rPr>
      </w:pPr>
    </w:p>
    <w:p>
      <w:pPr>
        <w:ind w:left="360" w:right="339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As mentioned in Note 4 i), under Mexican GAAP, goodwill must be amortized over a period of no more than 20 years. Under US GAAP, in accordance with the Statement of Financial Accounting Standards ("SFAS") No. 142 "Goodwill and Other Intangible Assets" effective in January 1, 2002, goodwill is no longer subject to amortization, but rather it is subject to periodic assessment for impairment by applying a fair-value-based test.</w:t>
      </w:r>
    </w:p>
    <w:p>
      <w:pPr>
        <w:spacing w:after="0" w:line="200" w:lineRule="exact"/>
        <w:rPr>
          <w:sz w:val="20"/>
          <w:szCs w:val="20"/>
          <w:color w:val="auto"/>
        </w:rPr>
      </w:pPr>
    </w:p>
    <w:p>
      <w:pPr>
        <w:spacing w:after="0" w:line="29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F-34</w:t>
      </w:r>
    </w:p>
    <w:p>
      <w:pPr>
        <w:sectPr>
          <w:pgSz w:w="11900" w:h="16838" w:orient="portrait"/>
          <w:cols w:equalWidth="0" w:num="1">
            <w:col w:w="10239"/>
          </w:cols>
          <w:pgMar w:left="220" w:top="623" w:right="1440" w:bottom="1440" w:gutter="0" w:footer="0" w:header="0"/>
        </w:sectPr>
      </w:pPr>
    </w:p>
    <w:bookmarkStart w:id="197" w:name="page198"/>
    <w:bookmarkEnd w:id="197"/>
    <w:p>
      <w:pPr>
        <w:ind w:left="350" w:right="3239"/>
        <w:spacing w:after="0" w:line="255" w:lineRule="auto"/>
        <w:rPr>
          <w:sz w:val="20"/>
          <w:szCs w:val="20"/>
          <w:color w:val="auto"/>
        </w:rPr>
      </w:pPr>
      <w:r>
        <w:rPr>
          <w:rFonts w:ascii="Courier New" w:cs="Courier New" w:eastAsia="Courier New" w:hAnsi="Courier New"/>
          <w:sz w:val="14"/>
          <w:szCs w:val="14"/>
          <w:color w:val="auto"/>
        </w:rPr>
        <w:t>In accordance with SFAS No. 142, the Company discontinued the amortization of goodwill effective January 1, 2002. The financial statement impact was to reduce amortization expense and increase net income under US GAAP by Ps. 442 (Ps. 0.074 per Series "B" share and Ps. 0.093 per Series "D" share) for the year ended December 31,2002. A reconciliation of previously reported net income and income per share under US GAAP to the amounts adjusted to exclude goodwill amortization is as follows: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3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7430"/>
        <w:spacing w:after="0"/>
        <w:rPr>
          <w:sz w:val="20"/>
          <w:szCs w:val="20"/>
          <w:color w:val="auto"/>
        </w:rPr>
      </w:pPr>
      <w:r>
        <w:rPr>
          <w:rFonts w:ascii="Courier New" w:cs="Courier New" w:eastAsia="Courier New" w:hAnsi="Courier New"/>
          <w:sz w:val="15"/>
          <w:szCs w:val="15"/>
          <w:color w:val="auto"/>
        </w:rPr>
        <w:t>Goodwill</w:t>
      </w:r>
    </w:p>
    <w:p>
      <w:pPr>
        <w:ind w:left="4890"/>
        <w:spacing w:after="0"/>
        <w:tabs>
          <w:tab w:leader="none" w:pos="7070" w:val="left"/>
          <w:tab w:leader="none" w:pos="9330" w:val="left"/>
        </w:tabs>
        <w:rPr>
          <w:sz w:val="20"/>
          <w:szCs w:val="20"/>
          <w:color w:val="auto"/>
        </w:rPr>
      </w:pPr>
      <w:r>
        <w:rPr>
          <w:rFonts w:ascii="Courier New" w:cs="Courier New" w:eastAsia="Courier New" w:hAnsi="Courier New"/>
          <w:sz w:val="15"/>
          <w:szCs w:val="15"/>
          <w:color w:val="auto"/>
        </w:rPr>
        <w:t>Reported</w:t>
      </w:r>
      <w:r>
        <w:rPr>
          <w:sz w:val="20"/>
          <w:szCs w:val="20"/>
          <w:color w:val="auto"/>
        </w:rPr>
        <w:tab/>
      </w:r>
      <w:r>
        <w:rPr>
          <w:rFonts w:ascii="Courier New" w:cs="Courier New" w:eastAsia="Courier New" w:hAnsi="Courier New"/>
          <w:sz w:val="15"/>
          <w:szCs w:val="15"/>
          <w:color w:val="auto"/>
        </w:rPr>
        <w:t>Amortization</w:t>
      </w:r>
      <w:r>
        <w:rPr>
          <w:sz w:val="20"/>
          <w:szCs w:val="20"/>
          <w:color w:val="auto"/>
        </w:rPr>
        <w:tab/>
      </w:r>
      <w:r>
        <w:rPr>
          <w:rFonts w:ascii="Courier New" w:cs="Courier New" w:eastAsia="Courier New" w:hAnsi="Courier New"/>
          <w:sz w:val="14"/>
          <w:szCs w:val="14"/>
          <w:color w:val="auto"/>
        </w:rPr>
        <w:t>Adjusted</w:t>
      </w:r>
    </w:p>
    <w:p>
      <w:pPr>
        <w:spacing w:after="0" w:line="5" w:lineRule="exact"/>
        <w:rPr>
          <w:sz w:val="20"/>
          <w:szCs w:val="20"/>
          <w:color w:val="auto"/>
        </w:rPr>
      </w:pPr>
    </w:p>
    <w:p>
      <w:pPr>
        <w:ind w:left="43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30"/>
        <w:spacing w:after="0"/>
        <w:rPr>
          <w:sz w:val="20"/>
          <w:szCs w:val="20"/>
          <w:color w:val="auto"/>
        </w:rPr>
      </w:pPr>
      <w:r>
        <w:rPr>
          <w:rFonts w:ascii="Courier New" w:cs="Courier New" w:eastAsia="Courier New" w:hAnsi="Courier New"/>
          <w:sz w:val="15"/>
          <w:szCs w:val="15"/>
          <w:color w:val="auto"/>
        </w:rPr>
        <w:t>2002:</w:t>
      </w:r>
    </w:p>
    <w:p>
      <w:pPr>
        <w:spacing w:after="0" w:line="166" w:lineRule="exact"/>
        <w:rPr>
          <w:sz w:val="20"/>
          <w:szCs w:val="20"/>
          <w:color w:val="auto"/>
        </w:rPr>
      </w:pPr>
    </w:p>
    <w:tbl>
      <w:tblPr>
        <w:tblLayout w:type="fixed"/>
        <w:tblInd w:w="430" w:type="dxa"/>
        <w:tblCellMar>
          <w:top w:w="0" w:type="dxa"/>
          <w:left w:w="0" w:type="dxa"/>
          <w:bottom w:w="0" w:type="dxa"/>
          <w:right w:w="0" w:type="dxa"/>
        </w:tblCellMar>
      </w:tblPr>
      <w:tr>
        <w:trPr>
          <w:trHeight w:val="170"/>
        </w:trPr>
        <w:tc>
          <w:tcPr>
            <w:tcW w:w="3340" w:type="dxa"/>
            <w:vAlign w:val="bottom"/>
            <w:gridSpan w:val="3"/>
          </w:tcPr>
          <w:p>
            <w:pPr>
              <w:spacing w:after="0"/>
              <w:rPr>
                <w:sz w:val="20"/>
                <w:szCs w:val="20"/>
                <w:color w:val="auto"/>
              </w:rPr>
            </w:pPr>
            <w:r>
              <w:rPr>
                <w:rFonts w:ascii="Courier New" w:cs="Courier New" w:eastAsia="Courier New" w:hAnsi="Courier New"/>
                <w:sz w:val="15"/>
                <w:szCs w:val="15"/>
                <w:color w:val="auto"/>
              </w:rPr>
              <w:t>Net income for the year</w:t>
            </w:r>
          </w:p>
        </w:tc>
        <w:tc>
          <w:tcPr>
            <w:tcW w:w="1080" w:type="dxa"/>
            <w:vAlign w:val="bottom"/>
          </w:tcPr>
          <w:p>
            <w:pPr>
              <w:ind w:left="520"/>
              <w:spacing w:after="0"/>
              <w:rPr>
                <w:sz w:val="20"/>
                <w:szCs w:val="20"/>
                <w:color w:val="auto"/>
              </w:rPr>
            </w:pPr>
            <w:r>
              <w:rPr>
                <w:rFonts w:ascii="Courier New" w:cs="Courier New" w:eastAsia="Courier New" w:hAnsi="Courier New"/>
                <w:sz w:val="15"/>
                <w:szCs w:val="15"/>
                <w:color w:val="auto"/>
              </w:rPr>
              <w:t>Ps.</w:t>
            </w: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3,083</w:t>
            </w:r>
          </w:p>
        </w:tc>
        <w:tc>
          <w:tcPr>
            <w:tcW w:w="1340" w:type="dxa"/>
            <w:vAlign w:val="bottom"/>
          </w:tcPr>
          <w:p>
            <w:pPr>
              <w:ind w:left="300"/>
              <w:spacing w:after="0"/>
              <w:rPr>
                <w:sz w:val="20"/>
                <w:szCs w:val="20"/>
                <w:color w:val="auto"/>
              </w:rPr>
            </w:pPr>
            <w:r>
              <w:rPr>
                <w:rFonts w:ascii="Courier New" w:cs="Courier New" w:eastAsia="Courier New" w:hAnsi="Courier New"/>
                <w:sz w:val="15"/>
                <w:szCs w:val="15"/>
                <w:color w:val="auto"/>
              </w:rPr>
              <w:t>Ps.</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ind w:left="340"/>
              <w:spacing w:after="0"/>
              <w:rPr>
                <w:sz w:val="20"/>
                <w:szCs w:val="20"/>
                <w:color w:val="auto"/>
              </w:rPr>
            </w:pPr>
            <w:r>
              <w:rPr>
                <w:rFonts w:ascii="Courier New" w:cs="Courier New" w:eastAsia="Courier New" w:hAnsi="Courier New"/>
                <w:sz w:val="15"/>
                <w:szCs w:val="15"/>
                <w:color w:val="auto"/>
              </w:rPr>
              <w:t>Ps.</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3,083</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income</w:t>
            </w:r>
          </w:p>
        </w:tc>
        <w:tc>
          <w:tcPr>
            <w:tcW w:w="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per</w:t>
            </w:r>
          </w:p>
        </w:tc>
        <w:tc>
          <w:tcPr>
            <w:tcW w:w="2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Series "B" shares</w:t>
            </w:r>
          </w:p>
        </w:tc>
        <w:tc>
          <w:tcPr>
            <w:tcW w:w="1080" w:type="dxa"/>
            <w:vAlign w:val="bottom"/>
          </w:tcPr>
          <w:p>
            <w:pPr>
              <w:spacing w:after="0"/>
              <w:rPr>
                <w:sz w:val="14"/>
                <w:szCs w:val="14"/>
                <w:color w:val="auto"/>
              </w:rPr>
            </w:pP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0.519</w:t>
            </w:r>
          </w:p>
        </w:tc>
        <w:tc>
          <w:tcPr>
            <w:tcW w:w="1340" w:type="dxa"/>
            <w:vAlign w:val="bottom"/>
          </w:tcPr>
          <w:p>
            <w:pPr>
              <w:spacing w:after="0"/>
              <w:rPr>
                <w:sz w:val="14"/>
                <w:szCs w:val="14"/>
                <w:color w:val="auto"/>
              </w:rPr>
            </w:pP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0.519</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income</w:t>
            </w:r>
          </w:p>
        </w:tc>
        <w:tc>
          <w:tcPr>
            <w:tcW w:w="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per</w:t>
            </w:r>
          </w:p>
        </w:tc>
        <w:tc>
          <w:tcPr>
            <w:tcW w:w="2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Series "D" shares</w:t>
            </w:r>
          </w:p>
        </w:tc>
        <w:tc>
          <w:tcPr>
            <w:tcW w:w="1080" w:type="dxa"/>
            <w:vAlign w:val="bottom"/>
          </w:tcPr>
          <w:p>
            <w:pPr>
              <w:spacing w:after="0"/>
              <w:rPr>
                <w:sz w:val="14"/>
                <w:szCs w:val="14"/>
                <w:color w:val="auto"/>
              </w:rPr>
            </w:pP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0.649</w:t>
            </w:r>
          </w:p>
        </w:tc>
        <w:tc>
          <w:tcPr>
            <w:tcW w:w="1340" w:type="dxa"/>
            <w:vAlign w:val="bottom"/>
          </w:tcPr>
          <w:p>
            <w:pPr>
              <w:spacing w:after="0"/>
              <w:rPr>
                <w:sz w:val="14"/>
                <w:szCs w:val="14"/>
                <w:color w:val="auto"/>
              </w:rPr>
            </w:pP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0.649</w:t>
            </w:r>
          </w:p>
        </w:tc>
      </w:tr>
    </w:tbl>
    <w:p>
      <w:pPr>
        <w:spacing w:after="0" w:line="5" w:lineRule="exact"/>
        <w:rPr>
          <w:sz w:val="20"/>
          <w:szCs w:val="20"/>
          <w:color w:val="auto"/>
        </w:rPr>
      </w:pPr>
    </w:p>
    <w:p>
      <w:pPr>
        <w:ind w:left="43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43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tbl>
      <w:tblPr>
        <w:tblLayout w:type="fixed"/>
        <w:tblInd w:w="430" w:type="dxa"/>
        <w:tblCellMar>
          <w:top w:w="0" w:type="dxa"/>
          <w:left w:w="0" w:type="dxa"/>
          <w:bottom w:w="0" w:type="dxa"/>
          <w:right w:w="0" w:type="dxa"/>
        </w:tblCellMar>
      </w:tblPr>
      <w:tr>
        <w:trPr>
          <w:trHeight w:val="170"/>
        </w:trPr>
        <w:tc>
          <w:tcPr>
            <w:tcW w:w="376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24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for the year</w:t>
            </w:r>
          </w:p>
        </w:tc>
        <w:tc>
          <w:tcPr>
            <w:tcW w:w="246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3,178</w:t>
            </w:r>
          </w:p>
        </w:tc>
        <w:tc>
          <w:tcPr>
            <w:tcW w:w="22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448</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3,626</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per Series "B" shares</w:t>
            </w:r>
          </w:p>
        </w:tc>
        <w:tc>
          <w:tcPr>
            <w:tcW w:w="246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0.535</w:t>
            </w:r>
          </w:p>
        </w:tc>
        <w:tc>
          <w:tcPr>
            <w:tcW w:w="22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0.075</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0.610</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per Series "D" shares</w:t>
            </w:r>
          </w:p>
        </w:tc>
        <w:tc>
          <w:tcPr>
            <w:tcW w:w="246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0.669</w:t>
            </w:r>
          </w:p>
        </w:tc>
        <w:tc>
          <w:tcPr>
            <w:tcW w:w="22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0.094</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0.763</w:t>
            </w:r>
          </w:p>
        </w:tc>
      </w:tr>
    </w:tbl>
    <w:p>
      <w:pPr>
        <w:spacing w:after="0" w:line="5" w:lineRule="exact"/>
        <w:rPr>
          <w:sz w:val="20"/>
          <w:szCs w:val="20"/>
          <w:color w:val="auto"/>
        </w:rPr>
      </w:pPr>
    </w:p>
    <w:p>
      <w:pPr>
        <w:ind w:left="43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43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tbl>
      <w:tblPr>
        <w:tblLayout w:type="fixed"/>
        <w:tblInd w:w="430" w:type="dxa"/>
        <w:tblCellMar>
          <w:top w:w="0" w:type="dxa"/>
          <w:left w:w="0" w:type="dxa"/>
          <w:bottom w:w="0" w:type="dxa"/>
          <w:right w:w="0" w:type="dxa"/>
        </w:tblCellMar>
      </w:tblPr>
      <w:tr>
        <w:trPr>
          <w:trHeight w:val="170"/>
        </w:trPr>
        <w:tc>
          <w:tcPr>
            <w:tcW w:w="376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24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for the year</w:t>
            </w:r>
          </w:p>
        </w:tc>
        <w:tc>
          <w:tcPr>
            <w:tcW w:w="246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2,571</w:t>
            </w:r>
          </w:p>
        </w:tc>
        <w:tc>
          <w:tcPr>
            <w:tcW w:w="22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453</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3,024</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per Series "B" shares</w:t>
            </w:r>
          </w:p>
        </w:tc>
        <w:tc>
          <w:tcPr>
            <w:tcW w:w="246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0.429</w:t>
            </w:r>
          </w:p>
        </w:tc>
        <w:tc>
          <w:tcPr>
            <w:tcW w:w="22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0.076</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0.505</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per Series "D" shares</w:t>
            </w:r>
          </w:p>
        </w:tc>
        <w:tc>
          <w:tcPr>
            <w:tcW w:w="246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0.537</w:t>
            </w:r>
          </w:p>
        </w:tc>
        <w:tc>
          <w:tcPr>
            <w:tcW w:w="22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0.095</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0.632</w:t>
            </w:r>
          </w:p>
        </w:tc>
      </w:tr>
    </w:tbl>
    <w:p>
      <w:pPr>
        <w:spacing w:after="0" w:line="5" w:lineRule="exact"/>
        <w:rPr>
          <w:sz w:val="20"/>
          <w:szCs w:val="20"/>
          <w:color w:val="auto"/>
        </w:rPr>
      </w:pPr>
    </w:p>
    <w:p>
      <w:pPr>
        <w:ind w:left="430"/>
        <w:spacing w:after="0"/>
        <w:rPr>
          <w:sz w:val="20"/>
          <w:szCs w:val="20"/>
          <w:color w:val="auto"/>
        </w:rPr>
      </w:pPr>
      <w:r>
        <w:rPr>
          <w:rFonts w:ascii="Courier New" w:cs="Courier New" w:eastAsia="Courier New" w:hAnsi="Courier New"/>
          <w:sz w:val="14"/>
          <w:szCs w:val="14"/>
          <w:color w:val="auto"/>
        </w:rPr>
        <w:t>---------------------------------------------------------------------------------------------------------------</w:t>
      </w:r>
    </w:p>
    <w:p>
      <w:pPr>
        <w:spacing w:after="0" w:line="346" w:lineRule="exact"/>
        <w:rPr>
          <w:sz w:val="20"/>
          <w:szCs w:val="20"/>
          <w:color w:val="auto"/>
        </w:rPr>
      </w:pPr>
    </w:p>
    <w:p>
      <w:pPr>
        <w:ind w:left="430" w:right="3239"/>
        <w:spacing w:after="0" w:line="255" w:lineRule="auto"/>
        <w:rPr>
          <w:sz w:val="20"/>
          <w:szCs w:val="20"/>
          <w:color w:val="auto"/>
        </w:rPr>
      </w:pPr>
      <w:r>
        <w:rPr>
          <w:rFonts w:ascii="Courier New" w:cs="Courier New" w:eastAsia="Courier New" w:hAnsi="Courier New"/>
          <w:sz w:val="14"/>
          <w:szCs w:val="14"/>
          <w:color w:val="auto"/>
        </w:rPr>
        <w:t>As a result of the adoption of this standard, the Company performed an impairment test as of January 1, 2002 and found no impairment. Subsequent impairment tests will be performed annually by the Company, unless an event occurs or circumstances change that would more likely than not reduce the fair value of a reporting unit below its carrying amount, in which case an impairment test would be performed between annual tests. As mentioned in Note 3, due to significant adverse changes in the Argentine economy during 2002, on July 1, 2002 the Company recognized an impairment of the goodwill generated by the acquisition of Coca-Cola FEMSA Buenos Aires.</w:t>
      </w:r>
    </w:p>
    <w:p>
      <w:pPr>
        <w:spacing w:after="0" w:line="159" w:lineRule="exact"/>
        <w:rPr>
          <w:sz w:val="20"/>
          <w:szCs w:val="20"/>
          <w:color w:val="auto"/>
        </w:rPr>
      </w:pPr>
    </w:p>
    <w:p>
      <w:pPr>
        <w:ind w:left="350" w:hanging="350"/>
        <w:spacing w:after="0"/>
        <w:tabs>
          <w:tab w:leader="none" w:pos="350"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Restatement of Imported Equipment:</w:t>
      </w:r>
    </w:p>
    <w:p>
      <w:pPr>
        <w:spacing w:after="0" w:line="172" w:lineRule="exact"/>
        <w:rPr>
          <w:rFonts w:ascii="Courier New" w:cs="Courier New" w:eastAsia="Courier New" w:hAnsi="Courier New"/>
          <w:sz w:val="15"/>
          <w:szCs w:val="15"/>
          <w:color w:val="auto"/>
        </w:rPr>
      </w:pPr>
    </w:p>
    <w:p>
      <w:pPr>
        <w:ind w:left="350" w:right="33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As explained in Note 4 g), under Mexican GAAP, imported machinery and equipment have been restated by applying the inflation rate of the country of origin, then translated at the year-end exchange rate of the Mexican peso.</w:t>
      </w:r>
    </w:p>
    <w:p>
      <w:pPr>
        <w:spacing w:after="0" w:line="175" w:lineRule="exact"/>
        <w:rPr>
          <w:rFonts w:ascii="Courier New" w:cs="Courier New" w:eastAsia="Courier New" w:hAnsi="Courier New"/>
          <w:sz w:val="15"/>
          <w:szCs w:val="15"/>
          <w:color w:val="auto"/>
        </w:rPr>
      </w:pPr>
    </w:p>
    <w:p>
      <w:pPr>
        <w:ind w:left="350" w:right="331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Under US GAAP, the restatement of machinery and equipment is not required. However, the Company applies the SEC regulations which require that all machinery and equipment, both domestic and imported, be restated using NCPI factors.</w:t>
      </w:r>
    </w:p>
    <w:p>
      <w:pPr>
        <w:spacing w:after="0" w:line="168" w:lineRule="exact"/>
        <w:rPr>
          <w:rFonts w:ascii="Courier New" w:cs="Courier New" w:eastAsia="Courier New" w:hAnsi="Courier New"/>
          <w:sz w:val="15"/>
          <w:szCs w:val="15"/>
          <w:color w:val="auto"/>
        </w:rPr>
      </w:pPr>
    </w:p>
    <w:p>
      <w:pPr>
        <w:ind w:left="270" w:hanging="270"/>
        <w:spacing w:after="0"/>
        <w:tabs>
          <w:tab w:leader="none" w:pos="270"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Capitalization of the Integral Result of Financing:</w:t>
      </w:r>
    </w:p>
    <w:p>
      <w:pPr>
        <w:spacing w:after="0" w:line="173" w:lineRule="exact"/>
        <w:rPr>
          <w:sz w:val="20"/>
          <w:szCs w:val="20"/>
          <w:color w:val="auto"/>
        </w:rPr>
      </w:pPr>
    </w:p>
    <w:p>
      <w:pPr>
        <w:ind w:left="350" w:right="3319"/>
        <w:spacing w:after="0" w:line="235" w:lineRule="auto"/>
        <w:rPr>
          <w:sz w:val="20"/>
          <w:szCs w:val="20"/>
          <w:color w:val="auto"/>
        </w:rPr>
      </w:pPr>
      <w:r>
        <w:rPr>
          <w:rFonts w:ascii="Courier New" w:cs="Courier New" w:eastAsia="Courier New" w:hAnsi="Courier New"/>
          <w:sz w:val="15"/>
          <w:szCs w:val="15"/>
          <w:color w:val="auto"/>
        </w:rPr>
        <w:t>Under Mexican GAAP, the capitalization of the integral result of financing (interest, foreign exchange and monetary position) generated by loan agreements obtained to finance investment projects is optional. The Company does not capitalize the integral result of financing.</w:t>
      </w:r>
    </w:p>
    <w:p>
      <w:pPr>
        <w:spacing w:after="0" w:line="175" w:lineRule="exact"/>
        <w:rPr>
          <w:sz w:val="20"/>
          <w:szCs w:val="20"/>
          <w:color w:val="auto"/>
        </w:rPr>
      </w:pPr>
    </w:p>
    <w:p>
      <w:pPr>
        <w:ind w:left="350" w:right="3239"/>
        <w:spacing w:after="0" w:line="236" w:lineRule="auto"/>
        <w:rPr>
          <w:sz w:val="20"/>
          <w:szCs w:val="20"/>
          <w:color w:val="auto"/>
        </w:rPr>
      </w:pPr>
      <w:r>
        <w:rPr>
          <w:rFonts w:ascii="Courier New" w:cs="Courier New" w:eastAsia="Courier New" w:hAnsi="Courier New"/>
          <w:sz w:val="15"/>
          <w:szCs w:val="15"/>
          <w:color w:val="auto"/>
        </w:rPr>
        <w:t>In accordance with US GAAP, if interest is incurred during the construction of qualifying assets, capitalization is required as part of the cost of such assets. Accordingly, a reconciling item for the capitalization of a portion of the integral result of financing is included in the US GAAP reconciliation of the majority net income and majority stockholders' equity. If the borrowings are denominated in US dollars, the weighted-average interest rate on all such outstanding debt is applied to the balance of construction-in-progress to determine the amount to be capitalized. If the borrowings are denominated in Mexican pesos, the amount of capitalizable interest determined as noted above is reduced by the gain on monetary position associated with the debt.</w:t>
      </w:r>
    </w:p>
    <w:p>
      <w:pPr>
        <w:spacing w:after="0" w:line="342" w:lineRule="exact"/>
        <w:rPr>
          <w:sz w:val="20"/>
          <w:szCs w:val="20"/>
          <w:color w:val="auto"/>
        </w:rPr>
      </w:pPr>
    </w:p>
    <w:p>
      <w:pPr>
        <w:ind w:left="3330"/>
        <w:spacing w:after="0"/>
        <w:rPr>
          <w:sz w:val="20"/>
          <w:szCs w:val="20"/>
          <w:color w:val="auto"/>
        </w:rPr>
      </w:pPr>
      <w:r>
        <w:rPr>
          <w:rFonts w:ascii="Courier New" w:cs="Courier New" w:eastAsia="Courier New" w:hAnsi="Courier New"/>
          <w:sz w:val="15"/>
          <w:szCs w:val="15"/>
          <w:color w:val="auto"/>
        </w:rPr>
        <w:t>F-35</w:t>
      </w:r>
    </w:p>
    <w:p>
      <w:pPr>
        <w:sectPr>
          <w:pgSz w:w="11900" w:h="16838" w:orient="portrait"/>
          <w:cols w:equalWidth="0" w:num="1">
            <w:col w:w="10229"/>
          </w:cols>
          <w:pgMar w:left="230" w:top="624" w:right="1440" w:bottom="1440" w:gutter="0" w:footer="0" w:header="0"/>
        </w:sectPr>
      </w:pPr>
    </w:p>
    <w:bookmarkStart w:id="198" w:name="page199"/>
    <w:bookmarkEnd w:id="198"/>
    <w:p>
      <w:pPr>
        <w:spacing w:after="0"/>
        <w:rPr>
          <w:sz w:val="20"/>
          <w:szCs w:val="20"/>
          <w:color w:val="auto"/>
        </w:rPr>
      </w:pPr>
      <w:r>
        <w:rPr>
          <w:rFonts w:ascii="Courier New" w:cs="Courier New" w:eastAsia="Courier New" w:hAnsi="Courier New"/>
          <w:sz w:val="15"/>
          <w:szCs w:val="15"/>
          <w:color w:val="auto"/>
        </w:rPr>
        <w:t>h) Financial Instruments:</w:t>
      </w:r>
    </w:p>
    <w:p>
      <w:pPr>
        <w:spacing w:after="0" w:line="173" w:lineRule="exact"/>
        <w:rPr>
          <w:sz w:val="20"/>
          <w:szCs w:val="20"/>
          <w:color w:val="auto"/>
        </w:rPr>
      </w:pPr>
    </w:p>
    <w:p>
      <w:pPr>
        <w:ind w:left="360" w:right="3579"/>
        <w:spacing w:after="0" w:line="234" w:lineRule="auto"/>
        <w:rPr>
          <w:sz w:val="20"/>
          <w:szCs w:val="20"/>
          <w:color w:val="auto"/>
        </w:rPr>
      </w:pPr>
      <w:r>
        <w:rPr>
          <w:rFonts w:ascii="Courier New" w:cs="Courier New" w:eastAsia="Courier New" w:hAnsi="Courier New"/>
          <w:sz w:val="15"/>
          <w:szCs w:val="15"/>
          <w:color w:val="auto"/>
        </w:rPr>
        <w:t>In accordance with Mexican GAAP, as mentioned in Note 4 o), beginning in January 2001 Bulletin C-2 became effective.</w:t>
      </w:r>
    </w:p>
    <w:p>
      <w:pPr>
        <w:spacing w:after="0" w:line="173" w:lineRule="exact"/>
        <w:rPr>
          <w:sz w:val="20"/>
          <w:szCs w:val="20"/>
          <w:color w:val="auto"/>
        </w:rPr>
      </w:pPr>
    </w:p>
    <w:p>
      <w:pPr>
        <w:ind w:left="360" w:right="3239"/>
        <w:spacing w:after="0" w:line="255" w:lineRule="auto"/>
        <w:rPr>
          <w:sz w:val="20"/>
          <w:szCs w:val="20"/>
          <w:color w:val="auto"/>
        </w:rPr>
      </w:pPr>
      <w:r>
        <w:rPr>
          <w:rFonts w:ascii="Courier New" w:cs="Courier New" w:eastAsia="Courier New" w:hAnsi="Courier New"/>
          <w:sz w:val="14"/>
          <w:szCs w:val="14"/>
          <w:color w:val="auto"/>
        </w:rPr>
        <w:t>Under US GAAP, SFAS No. 133, "Accounting for Derivative Instruments and Hedging Activities", also became effective in 2001. SFAS No. 133, was amended, establishes accounting and reporting standards requiring that every derivative instrument (including certain derivative instruments embedded in other contracts) be recorded in the balance sheet as either an asset or liability measured at its fair value. SFAS No. 133 requires that changes in the fair value of the derivative instrument be recognized in:</w:t>
      </w:r>
    </w:p>
    <w:p>
      <w:pPr>
        <w:spacing w:after="0" w:line="16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o The net income of the year; or</w:t>
      </w:r>
    </w:p>
    <w:p>
      <w:pPr>
        <w:spacing w:after="0" w:line="5" w:lineRule="exact"/>
        <w:rPr>
          <w:sz w:val="20"/>
          <w:szCs w:val="20"/>
          <w:color w:val="auto"/>
        </w:rPr>
      </w:pPr>
    </w:p>
    <w:p>
      <w:pPr>
        <w:ind w:left="540" w:right="3319" w:hanging="174"/>
        <w:spacing w:after="0" w:line="234" w:lineRule="auto"/>
        <w:rPr>
          <w:sz w:val="20"/>
          <w:szCs w:val="20"/>
          <w:color w:val="auto"/>
        </w:rPr>
      </w:pPr>
      <w:r>
        <w:rPr>
          <w:rFonts w:ascii="Courier New" w:cs="Courier New" w:eastAsia="Courier New" w:hAnsi="Courier New"/>
          <w:sz w:val="15"/>
          <w:szCs w:val="15"/>
          <w:color w:val="auto"/>
        </w:rPr>
        <w:t>o Other comprehensive income, if the instruments represent cash flow hedges that qualify for hedge accounting.</w:t>
      </w:r>
    </w:p>
    <w:p>
      <w:pPr>
        <w:spacing w:after="0" w:line="173" w:lineRule="exact"/>
        <w:rPr>
          <w:sz w:val="20"/>
          <w:szCs w:val="20"/>
          <w:color w:val="auto"/>
        </w:rPr>
      </w:pPr>
    </w:p>
    <w:p>
      <w:pPr>
        <w:ind w:left="360" w:right="3239"/>
        <w:spacing w:after="0" w:line="236" w:lineRule="auto"/>
        <w:rPr>
          <w:sz w:val="20"/>
          <w:szCs w:val="20"/>
          <w:color w:val="auto"/>
        </w:rPr>
      </w:pPr>
      <w:r>
        <w:rPr>
          <w:rFonts w:ascii="Courier New" w:cs="Courier New" w:eastAsia="Courier New" w:hAnsi="Courier New"/>
          <w:sz w:val="15"/>
          <w:szCs w:val="15"/>
          <w:color w:val="auto"/>
        </w:rPr>
        <w:t>For purposes of SFAS No. 133, the Company elected not to designate its financial instruments as hedges for the derivative instruments and accordingly the entire effect of the valuation of those instruments contracted before January 1, 2001, was recognized in the income statement as a change in accounting principle under US GAAP at January 1, 2001.</w:t>
      </w:r>
    </w:p>
    <w:p>
      <w:pPr>
        <w:spacing w:after="0" w:line="174" w:lineRule="exact"/>
        <w:rPr>
          <w:sz w:val="20"/>
          <w:szCs w:val="20"/>
          <w:color w:val="auto"/>
        </w:rPr>
      </w:pPr>
    </w:p>
    <w:p>
      <w:pPr>
        <w:ind w:left="360" w:right="3239"/>
        <w:spacing w:after="0" w:line="236" w:lineRule="auto"/>
        <w:rPr>
          <w:sz w:val="20"/>
          <w:szCs w:val="20"/>
          <w:color w:val="auto"/>
        </w:rPr>
      </w:pPr>
      <w:r>
        <w:rPr>
          <w:rFonts w:ascii="Courier New" w:cs="Courier New" w:eastAsia="Courier New" w:hAnsi="Courier New"/>
          <w:sz w:val="15"/>
          <w:szCs w:val="15"/>
          <w:color w:val="auto"/>
        </w:rPr>
        <w:t>Prior to 2001, in accordance with Mexican GAAP, the income statement effect of forward contracts was recorded at the maturity of each contract. In accordance with US GAAP, the income statement effect was determined by the difference between the exchange rate at the date the contract was signed and the forward exchange rate, amortizing such difference on a straight-line basis over the term of the contract.</w:t>
      </w:r>
    </w:p>
    <w:p>
      <w:pPr>
        <w:spacing w:after="0" w:line="175" w:lineRule="exact"/>
        <w:rPr>
          <w:sz w:val="20"/>
          <w:szCs w:val="20"/>
          <w:color w:val="auto"/>
        </w:rPr>
      </w:pPr>
    </w:p>
    <w:p>
      <w:pPr>
        <w:ind w:left="360" w:right="3239"/>
        <w:spacing w:after="0" w:line="255" w:lineRule="auto"/>
        <w:rPr>
          <w:sz w:val="20"/>
          <w:szCs w:val="20"/>
          <w:color w:val="auto"/>
        </w:rPr>
      </w:pPr>
      <w:r>
        <w:rPr>
          <w:rFonts w:ascii="Courier New" w:cs="Courier New" w:eastAsia="Courier New" w:hAnsi="Courier New"/>
          <w:sz w:val="14"/>
          <w:szCs w:val="14"/>
          <w:color w:val="auto"/>
        </w:rPr>
        <w:t>Under Mexican GAAP, the swap agreements for natural gas and aluminum prices, as well as cash-settled options contracted by the Company (see Note 17), have been designated as hedges and accordingly valued using the same valuation criteria applied to the underlying asset or liability, which are registered in the income statement when the consumption or payment takes place. However, under US GAAP, these agreements must be adjusted to their market value, recognizing the corresponding asset or liability. Since the hedging relationship required by US GAAP has not been adequately documented, a reconciling item has been included in the US GAAP reconciliation to adjust earnings for this difference in valuation method.</w:t>
      </w:r>
    </w:p>
    <w:p>
      <w:pPr>
        <w:spacing w:after="0" w:line="327" w:lineRule="exact"/>
        <w:rPr>
          <w:sz w:val="20"/>
          <w:szCs w:val="20"/>
          <w:color w:val="auto"/>
        </w:rPr>
      </w:pPr>
    </w:p>
    <w:p>
      <w:pPr>
        <w:ind w:left="360" w:hanging="350"/>
        <w:spacing w:after="0"/>
        <w:tabs>
          <w:tab w:leader="none" w:pos="360"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Deferred Income Taxes and Employee Profit Sharing:</w:t>
      </w:r>
    </w:p>
    <w:p>
      <w:pPr>
        <w:spacing w:after="0" w:line="173" w:lineRule="exact"/>
        <w:rPr>
          <w:sz w:val="20"/>
          <w:szCs w:val="20"/>
          <w:color w:val="auto"/>
        </w:rPr>
      </w:pPr>
    </w:p>
    <w:p>
      <w:pPr>
        <w:ind w:left="360" w:right="3239"/>
        <w:spacing w:after="0" w:line="234" w:lineRule="auto"/>
        <w:rPr>
          <w:sz w:val="20"/>
          <w:szCs w:val="20"/>
          <w:color w:val="auto"/>
        </w:rPr>
      </w:pPr>
      <w:r>
        <w:rPr>
          <w:rFonts w:ascii="Courier New" w:cs="Courier New" w:eastAsia="Courier New" w:hAnsi="Courier New"/>
          <w:sz w:val="15"/>
          <w:szCs w:val="15"/>
          <w:color w:val="auto"/>
        </w:rPr>
        <w:t>The Company follows SFAS No. 109, "Accounting for Income Taxes", for US GAAP purposes, which differs from Mexican GAAP as follows:</w:t>
      </w:r>
    </w:p>
    <w:p>
      <w:pPr>
        <w:spacing w:after="0" w:line="173" w:lineRule="exact"/>
        <w:rPr>
          <w:sz w:val="20"/>
          <w:szCs w:val="20"/>
          <w:color w:val="auto"/>
        </w:rPr>
      </w:pPr>
    </w:p>
    <w:p>
      <w:pPr>
        <w:ind w:left="440" w:right="3579" w:hanging="430"/>
        <w:spacing w:after="0" w:line="235" w:lineRule="auto"/>
        <w:tabs>
          <w:tab w:leader="none" w:pos="440"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 Mexican GAAP, deferred taxes are classified as non-current, while under US GAAP are based on the classification of the related asset or liability.</w:t>
      </w:r>
    </w:p>
    <w:p>
      <w:pPr>
        <w:spacing w:after="0" w:line="173" w:lineRule="exact"/>
        <w:rPr>
          <w:rFonts w:ascii="Courier New" w:cs="Courier New" w:eastAsia="Courier New" w:hAnsi="Courier New"/>
          <w:sz w:val="15"/>
          <w:szCs w:val="15"/>
          <w:color w:val="auto"/>
        </w:rPr>
      </w:pPr>
    </w:p>
    <w:p>
      <w:pPr>
        <w:ind w:left="440" w:right="3399" w:hanging="430"/>
        <w:spacing w:after="0" w:line="236" w:lineRule="auto"/>
        <w:tabs>
          <w:tab w:leader="none" w:pos="440"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 Mexican GAAP, the effects of inflation on the deferred tax balance generated by monetary items are recognized in the result on monetary position. Under US GAAP, the deferred tax balance is classified as a non-monetary item. As a result, the consolidated income statement differs with respect to the presentation of the gain (loss) on monetary position and deferred income tax provision.</w:t>
      </w:r>
    </w:p>
    <w:p>
      <w:pPr>
        <w:spacing w:after="0" w:line="174" w:lineRule="exact"/>
        <w:rPr>
          <w:rFonts w:ascii="Courier New" w:cs="Courier New" w:eastAsia="Courier New" w:hAnsi="Courier New"/>
          <w:sz w:val="15"/>
          <w:szCs w:val="15"/>
          <w:color w:val="auto"/>
        </w:rPr>
      </w:pPr>
    </w:p>
    <w:p>
      <w:pPr>
        <w:ind w:left="440" w:right="3239" w:hanging="430"/>
        <w:spacing w:after="0" w:line="236" w:lineRule="auto"/>
        <w:tabs>
          <w:tab w:leader="none" w:pos="440"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 Mexican GAAP, the change in statutory income tax rate (see Note 21 a) approved early in 2002 prior to issuance of the financial statements was considered in the calculation of deferred taxes at December 31, 2001. Under US GAAP, a change in statutory tax rate may not be considered until the enactment date, which was January 1, 2002.</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F-36</w:t>
      </w:r>
    </w:p>
    <w:p>
      <w:pPr>
        <w:sectPr>
          <w:pgSz w:w="11900" w:h="16838" w:orient="portrait"/>
          <w:cols w:equalWidth="0" w:num="1">
            <w:col w:w="10239"/>
          </w:cols>
          <w:pgMar w:left="220" w:top="617" w:right="1440" w:bottom="1440" w:gutter="0" w:footer="0" w:header="0"/>
        </w:sectPr>
      </w:pPr>
    </w:p>
    <w:bookmarkStart w:id="199" w:name="page200"/>
    <w:bookmarkEnd w:id="199"/>
    <w:p>
      <w:pPr>
        <w:ind w:left="440" w:right="3420" w:hanging="430"/>
        <w:spacing w:after="0" w:line="236" w:lineRule="auto"/>
        <w:tabs>
          <w:tab w:leader="none" w:pos="440"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 Mexican GAAP, deferred employee profit sharing is calculated considering only those temporary differences that arise during the year and which are expected to turn around within a defined period, while under US GAAP, the same liability method as used for deferred income taxes is applied.</w:t>
      </w:r>
    </w:p>
    <w:p>
      <w:pPr>
        <w:spacing w:after="0" w:line="173" w:lineRule="exact"/>
        <w:rPr>
          <w:rFonts w:ascii="Courier New" w:cs="Courier New" w:eastAsia="Courier New" w:hAnsi="Courier New"/>
          <w:sz w:val="15"/>
          <w:szCs w:val="15"/>
          <w:color w:val="auto"/>
        </w:rPr>
      </w:pPr>
    </w:p>
    <w:p>
      <w:pPr>
        <w:ind w:left="440" w:right="3420" w:hanging="430"/>
        <w:spacing w:after="0" w:line="236" w:lineRule="auto"/>
        <w:tabs>
          <w:tab w:leader="none" w:pos="440"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differences in the restatement of imported machinery and equipment, the capitalization of financing costs, the pension plan and financial instruments mentioned in Note 24 f), g), h) and j) generate a difference calculating the deferred income tax under US GAAP compared to the one presented under Mexican GAAP (see Note 21 d).</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20" w:type="dxa"/>
            <w:vAlign w:val="bottom"/>
          </w:tcPr>
          <w:p>
            <w:pPr>
              <w:spacing w:after="0"/>
              <w:rPr>
                <w:sz w:val="20"/>
                <w:szCs w:val="20"/>
                <w:color w:val="auto"/>
              </w:rPr>
            </w:pPr>
            <w:r>
              <w:rPr>
                <w:rFonts w:ascii="Courier New" w:cs="Courier New" w:eastAsia="Courier New" w:hAnsi="Courier New"/>
                <w:sz w:val="15"/>
                <w:szCs w:val="15"/>
                <w:color w:val="auto"/>
              </w:rPr>
              <w:t>Reconciliation of Deferred Income Taxes</w:t>
            </w:r>
          </w:p>
        </w:tc>
        <w:tc>
          <w:tcPr>
            <w:tcW w:w="33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2002</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2001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20" w:type="dxa"/>
            <w:vAlign w:val="bottom"/>
          </w:tcPr>
          <w:p>
            <w:pPr>
              <w:spacing w:after="0"/>
              <w:rPr>
                <w:sz w:val="20"/>
                <w:szCs w:val="20"/>
                <w:color w:val="auto"/>
              </w:rPr>
            </w:pPr>
            <w:r>
              <w:rPr>
                <w:rFonts w:ascii="Courier New" w:cs="Courier New" w:eastAsia="Courier New" w:hAnsi="Courier New"/>
                <w:sz w:val="15"/>
                <w:szCs w:val="15"/>
                <w:color w:val="auto"/>
              </w:rPr>
              <w:t>Deferred income taxes under Mexican GAAP</w:t>
            </w:r>
          </w:p>
        </w:tc>
        <w:tc>
          <w:tcPr>
            <w:tcW w:w="2020" w:type="dxa"/>
            <w:vAlign w:val="bottom"/>
          </w:tcPr>
          <w:p>
            <w:pPr>
              <w:ind w:left="1440"/>
              <w:spacing w:after="0"/>
              <w:rPr>
                <w:sz w:val="20"/>
                <w:szCs w:val="20"/>
                <w:color w:val="auto"/>
              </w:rPr>
            </w:pPr>
            <w:r>
              <w:rPr>
                <w:rFonts w:ascii="Courier New" w:cs="Courier New" w:eastAsia="Courier New" w:hAnsi="Courier New"/>
                <w:sz w:val="15"/>
                <w:szCs w:val="15"/>
                <w:color w:val="auto"/>
              </w:rPr>
              <w:t>Ps.</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3,987</w:t>
            </w:r>
          </w:p>
        </w:tc>
        <w:tc>
          <w:tcPr>
            <w:tcW w:w="700" w:type="dxa"/>
            <w:vAlign w:val="bottom"/>
          </w:tcPr>
          <w:p>
            <w:pPr>
              <w:ind w:left="220"/>
              <w:spacing w:after="0"/>
              <w:rPr>
                <w:sz w:val="20"/>
                <w:szCs w:val="20"/>
                <w:color w:val="auto"/>
              </w:rPr>
            </w:pPr>
            <w:r>
              <w:rPr>
                <w:rFonts w:ascii="Courier New" w:cs="Courier New" w:eastAsia="Courier New" w:hAnsi="Courier New"/>
                <w:sz w:val="15"/>
                <w:szCs w:val="15"/>
                <w:color w:val="auto"/>
              </w:rPr>
              <w:t>Ps.</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3,943</w:t>
            </w:r>
          </w:p>
        </w:tc>
      </w:tr>
      <w:tr>
        <w:trPr>
          <w:trHeight w:val="168"/>
        </w:trPr>
        <w:tc>
          <w:tcPr>
            <w:tcW w:w="5820" w:type="dxa"/>
            <w:vAlign w:val="bottom"/>
          </w:tcPr>
          <w:p>
            <w:pPr>
              <w:spacing w:after="0" w:line="168" w:lineRule="exact"/>
              <w:rPr>
                <w:sz w:val="20"/>
                <w:szCs w:val="20"/>
                <w:color w:val="auto"/>
              </w:rPr>
            </w:pPr>
            <w:r>
              <w:rPr>
                <w:rFonts w:ascii="Courier New" w:cs="Courier New" w:eastAsia="Courier New" w:hAnsi="Courier New"/>
                <w:sz w:val="15"/>
                <w:szCs w:val="15"/>
                <w:color w:val="auto"/>
              </w:rPr>
              <w:t>US GAAP adjustments:</w:t>
            </w:r>
          </w:p>
        </w:tc>
        <w:tc>
          <w:tcPr>
            <w:tcW w:w="2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5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Property, plant and equipment</w:t>
            </w:r>
          </w:p>
        </w:tc>
        <w:tc>
          <w:tcPr>
            <w:tcW w:w="202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379</w:t>
            </w:r>
          </w:p>
        </w:tc>
        <w:tc>
          <w:tcPr>
            <w:tcW w:w="70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889</w:t>
            </w:r>
          </w:p>
        </w:tc>
      </w:tr>
      <w:tr>
        <w:trPr>
          <w:trHeight w:val="168"/>
        </w:trPr>
        <w:tc>
          <w:tcPr>
            <w:tcW w:w="5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Capitalization of integral result of financing</w:t>
            </w:r>
          </w:p>
        </w:tc>
        <w:tc>
          <w:tcPr>
            <w:tcW w:w="202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166</w:t>
            </w:r>
          </w:p>
        </w:tc>
        <w:tc>
          <w:tcPr>
            <w:tcW w:w="70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184</w:t>
            </w:r>
          </w:p>
        </w:tc>
      </w:tr>
      <w:tr>
        <w:trPr>
          <w:trHeight w:val="168"/>
        </w:trPr>
        <w:tc>
          <w:tcPr>
            <w:tcW w:w="5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Start-up expenses</w:t>
            </w:r>
          </w:p>
        </w:tc>
        <w:tc>
          <w:tcPr>
            <w:tcW w:w="202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w:t>
            </w:r>
          </w:p>
        </w:tc>
        <w:tc>
          <w:tcPr>
            <w:tcW w:w="70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w:t>
            </w:r>
          </w:p>
        </w:tc>
      </w:tr>
      <w:tr>
        <w:trPr>
          <w:trHeight w:val="168"/>
        </w:trPr>
        <w:tc>
          <w:tcPr>
            <w:tcW w:w="5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Pension plan</w:t>
            </w:r>
          </w:p>
        </w:tc>
        <w:tc>
          <w:tcPr>
            <w:tcW w:w="202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w:t>
            </w:r>
          </w:p>
        </w:tc>
        <w:tc>
          <w:tcPr>
            <w:tcW w:w="70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w:t>
            </w:r>
          </w:p>
        </w:tc>
      </w:tr>
      <w:tr>
        <w:trPr>
          <w:trHeight w:val="168"/>
        </w:trPr>
        <w:tc>
          <w:tcPr>
            <w:tcW w:w="5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Financial instruments</w:t>
            </w:r>
          </w:p>
        </w:tc>
        <w:tc>
          <w:tcPr>
            <w:tcW w:w="202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w:t>
            </w:r>
          </w:p>
        </w:tc>
        <w:tc>
          <w:tcPr>
            <w:tcW w:w="70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Restatement effect</w:t>
            </w:r>
          </w:p>
        </w:tc>
        <w:tc>
          <w:tcPr>
            <w:tcW w:w="202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00" w:type="dxa"/>
            <w:vAlign w:val="bottom"/>
          </w:tcPr>
          <w:p>
            <w:pPr>
              <w:spacing w:after="0"/>
              <w:rPr>
                <w:sz w:val="20"/>
                <w:szCs w:val="20"/>
                <w:color w:val="auto"/>
              </w:rPr>
            </w:pPr>
            <w:r>
              <w:rPr>
                <w:rFonts w:ascii="Courier New" w:cs="Courier New" w:eastAsia="Courier New" w:hAnsi="Courier New"/>
                <w:sz w:val="15"/>
                <w:szCs w:val="15"/>
                <w:color w:val="auto"/>
              </w:rPr>
              <w:t>Total Adjustments</w:t>
            </w:r>
          </w:p>
        </w:tc>
        <w:tc>
          <w:tcPr>
            <w:tcW w:w="42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537</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1,111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tabs>
          <w:tab w:leader="none" w:pos="7240" w:val="left"/>
          <w:tab w:leader="none" w:pos="8120" w:val="left"/>
          <w:tab w:leader="none" w:pos="9000" w:val="left"/>
          <w:tab w:leader="none" w:pos="9700" w:val="left"/>
        </w:tabs>
        <w:rPr>
          <w:sz w:val="20"/>
          <w:szCs w:val="20"/>
          <w:color w:val="auto"/>
        </w:rPr>
      </w:pPr>
      <w:r>
        <w:rPr>
          <w:rFonts w:ascii="Courier New" w:cs="Courier New" w:eastAsia="Courier New" w:hAnsi="Courier New"/>
          <w:sz w:val="15"/>
          <w:szCs w:val="15"/>
          <w:color w:val="auto"/>
        </w:rPr>
        <w:t>Deferred income taxes under US GAAP</w:t>
      </w:r>
      <w:r>
        <w:rPr>
          <w:sz w:val="20"/>
          <w:szCs w:val="20"/>
          <w:color w:val="auto"/>
        </w:rPr>
        <w:tab/>
      </w:r>
      <w:r>
        <w:rPr>
          <w:rFonts w:ascii="Courier New" w:cs="Courier New" w:eastAsia="Courier New" w:hAnsi="Courier New"/>
          <w:sz w:val="15"/>
          <w:szCs w:val="15"/>
          <w:color w:val="auto"/>
        </w:rPr>
        <w:t>Ps.</w:t>
      </w:r>
      <w:r>
        <w:rPr>
          <w:sz w:val="20"/>
          <w:szCs w:val="20"/>
          <w:color w:val="auto"/>
        </w:rPr>
        <w:tab/>
      </w:r>
      <w:r>
        <w:rPr>
          <w:rFonts w:ascii="Courier New" w:cs="Courier New" w:eastAsia="Courier New" w:hAnsi="Courier New"/>
          <w:sz w:val="15"/>
          <w:szCs w:val="15"/>
          <w:color w:val="auto"/>
        </w:rPr>
        <w:t>4,524</w:t>
      </w:r>
      <w:r>
        <w:rPr>
          <w:sz w:val="20"/>
          <w:szCs w:val="20"/>
          <w:color w:val="auto"/>
        </w:rPr>
        <w:tab/>
      </w:r>
      <w:r>
        <w:rPr>
          <w:rFonts w:ascii="Courier New" w:cs="Courier New" w:eastAsia="Courier New" w:hAnsi="Courier New"/>
          <w:sz w:val="15"/>
          <w:szCs w:val="15"/>
          <w:color w:val="auto"/>
        </w:rPr>
        <w:t>Ps.</w:t>
      </w:r>
      <w:r>
        <w:rPr>
          <w:sz w:val="20"/>
          <w:szCs w:val="20"/>
          <w:color w:val="auto"/>
        </w:rPr>
        <w:tab/>
      </w:r>
      <w:r>
        <w:rPr>
          <w:rFonts w:ascii="Courier New" w:cs="Courier New" w:eastAsia="Courier New" w:hAnsi="Courier New"/>
          <w:sz w:val="14"/>
          <w:szCs w:val="14"/>
          <w:color w:val="auto"/>
        </w:rPr>
        <w:t>5,054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6" w:lineRule="exact"/>
        <w:rPr>
          <w:sz w:val="20"/>
          <w:szCs w:val="20"/>
          <w:color w:val="auto"/>
        </w:rPr>
      </w:pPr>
    </w:p>
    <w:p>
      <w:pPr>
        <w:ind w:right="3500"/>
        <w:spacing w:after="0" w:line="235" w:lineRule="auto"/>
        <w:rPr>
          <w:sz w:val="20"/>
          <w:szCs w:val="20"/>
          <w:color w:val="auto"/>
        </w:rPr>
      </w:pPr>
      <w:r>
        <w:rPr>
          <w:rFonts w:ascii="Courier New" w:cs="Courier New" w:eastAsia="Courier New" w:hAnsi="Courier New"/>
          <w:sz w:val="15"/>
          <w:szCs w:val="15"/>
          <w:color w:val="auto"/>
        </w:rPr>
        <w:t>The total deferred income taxes under US GAAP include the corresponding current portion as of December 31, 2002 and 2001 of Ps. 1,408 and Ps. 1,367, respectively.</w:t>
      </w:r>
    </w:p>
    <w:p>
      <w:pPr>
        <w:spacing w:after="0" w:line="174" w:lineRule="exact"/>
        <w:rPr>
          <w:sz w:val="20"/>
          <w:szCs w:val="20"/>
          <w:color w:val="auto"/>
        </w:rPr>
      </w:pPr>
    </w:p>
    <w:p>
      <w:pPr>
        <w:ind w:right="3860"/>
        <w:spacing w:after="0" w:line="234" w:lineRule="auto"/>
        <w:rPr>
          <w:sz w:val="20"/>
          <w:szCs w:val="20"/>
          <w:color w:val="auto"/>
        </w:rPr>
      </w:pPr>
      <w:r>
        <w:rPr>
          <w:rFonts w:ascii="Courier New" w:cs="Courier New" w:eastAsia="Courier New" w:hAnsi="Courier New"/>
          <w:sz w:val="15"/>
          <w:szCs w:val="15"/>
          <w:color w:val="auto"/>
        </w:rPr>
        <w:t>The changes in the balance of the deferred income taxes for the year are as follows:</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8240"/>
        <w:spacing w:after="0"/>
        <w:tabs>
          <w:tab w:leader="none" w:pos="9780" w:val="left"/>
        </w:tabs>
        <w:rPr>
          <w:sz w:val="20"/>
          <w:szCs w:val="20"/>
          <w:color w:val="auto"/>
        </w:rPr>
      </w:pPr>
      <w:r>
        <w:rPr>
          <w:rFonts w:ascii="Courier New" w:cs="Courier New" w:eastAsia="Courier New" w:hAnsi="Courier New"/>
          <w:sz w:val="15"/>
          <w:szCs w:val="15"/>
          <w:color w:val="auto"/>
        </w:rPr>
        <w:t>2002</w:t>
      </w:r>
      <w:r>
        <w:rPr>
          <w:sz w:val="20"/>
          <w:szCs w:val="20"/>
          <w:color w:val="auto"/>
        </w:rPr>
        <w:tab/>
      </w:r>
      <w:r>
        <w:rPr>
          <w:rFonts w:ascii="Courier New" w:cs="Courier New" w:eastAsia="Courier New" w:hAnsi="Courier New"/>
          <w:sz w:val="15"/>
          <w:szCs w:val="15"/>
          <w:color w:val="auto"/>
        </w:rPr>
        <w:t>2001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100" w:type="dxa"/>
        <w:tblCellMar>
          <w:top w:w="0" w:type="dxa"/>
          <w:left w:w="0" w:type="dxa"/>
          <w:bottom w:w="0" w:type="dxa"/>
          <w:right w:w="0" w:type="dxa"/>
        </w:tblCellMar>
      </w:tblP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rPr>
              <w:t>Balance at beginning of the year</w:t>
            </w:r>
          </w:p>
        </w:tc>
        <w:tc>
          <w:tcPr>
            <w:tcW w:w="2460" w:type="dxa"/>
            <w:vAlign w:val="bottom"/>
          </w:tcPr>
          <w:p>
            <w:pPr>
              <w:ind w:left="1880"/>
              <w:spacing w:after="0"/>
              <w:rPr>
                <w:sz w:val="20"/>
                <w:szCs w:val="20"/>
                <w:color w:val="auto"/>
              </w:rPr>
            </w:pPr>
            <w:r>
              <w:rPr>
                <w:rFonts w:ascii="Courier New" w:cs="Courier New" w:eastAsia="Courier New" w:hAnsi="Courier New"/>
                <w:sz w:val="15"/>
                <w:szCs w:val="15"/>
                <w:color w:val="auto"/>
              </w:rPr>
              <w:t>Ps.</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5,054</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Ps.</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5,194</w:t>
            </w:r>
          </w:p>
        </w:tc>
      </w:tr>
      <w:tr>
        <w:trPr>
          <w:trHeight w:val="168"/>
        </w:trPr>
        <w:tc>
          <w:tcPr>
            <w:tcW w:w="528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 for the year</w:t>
            </w:r>
          </w:p>
        </w:tc>
        <w:tc>
          <w:tcPr>
            <w:tcW w:w="246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(201)</w:t>
            </w:r>
          </w:p>
        </w:tc>
        <w:tc>
          <w:tcPr>
            <w:tcW w:w="7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(145)</w:t>
            </w:r>
          </w:p>
        </w:tc>
      </w:tr>
      <w:tr>
        <w:trPr>
          <w:trHeight w:val="168"/>
        </w:trPr>
        <w:tc>
          <w:tcPr>
            <w:tcW w:w="5280" w:type="dxa"/>
            <w:vAlign w:val="bottom"/>
          </w:tcPr>
          <w:p>
            <w:pPr>
              <w:spacing w:after="0" w:line="168" w:lineRule="exact"/>
              <w:rPr>
                <w:sz w:val="20"/>
                <w:szCs w:val="20"/>
                <w:color w:val="auto"/>
              </w:rPr>
            </w:pPr>
            <w:r>
              <w:rPr>
                <w:rFonts w:ascii="Courier New" w:cs="Courier New" w:eastAsia="Courier New" w:hAnsi="Courier New"/>
                <w:sz w:val="15"/>
                <w:szCs w:val="15"/>
                <w:color w:val="auto"/>
              </w:rPr>
              <w:t>Change in the statutory income tax rate</w:t>
            </w:r>
          </w:p>
        </w:tc>
        <w:tc>
          <w:tcPr>
            <w:tcW w:w="246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(275)</w:t>
            </w:r>
          </w:p>
        </w:tc>
        <w:tc>
          <w:tcPr>
            <w:tcW w:w="7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80" w:type="dxa"/>
            <w:vAlign w:val="bottom"/>
          </w:tcPr>
          <w:p>
            <w:pPr>
              <w:spacing w:after="0" w:line="168" w:lineRule="exact"/>
              <w:rPr>
                <w:sz w:val="20"/>
                <w:szCs w:val="20"/>
                <w:color w:val="auto"/>
              </w:rPr>
            </w:pPr>
            <w:r>
              <w:rPr>
                <w:rFonts w:ascii="Courier New" w:cs="Courier New" w:eastAsia="Courier New" w:hAnsi="Courier New"/>
                <w:sz w:val="15"/>
                <w:szCs w:val="15"/>
                <w:color w:val="auto"/>
              </w:rPr>
              <w:t>Cumulative translation adjustment</w:t>
            </w:r>
          </w:p>
        </w:tc>
        <w:tc>
          <w:tcPr>
            <w:tcW w:w="246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(66)</w:t>
            </w:r>
          </w:p>
        </w:tc>
        <w:tc>
          <w:tcPr>
            <w:tcW w:w="7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80" w:type="dxa"/>
            <w:vAlign w:val="bottom"/>
          </w:tcPr>
          <w:p>
            <w:pPr>
              <w:spacing w:after="0" w:line="168" w:lineRule="exact"/>
              <w:rPr>
                <w:sz w:val="20"/>
                <w:szCs w:val="20"/>
                <w:color w:val="auto"/>
              </w:rPr>
            </w:pPr>
            <w:r>
              <w:rPr>
                <w:rFonts w:ascii="Courier New" w:cs="Courier New" w:eastAsia="Courier New" w:hAnsi="Courier New"/>
                <w:sz w:val="15"/>
                <w:szCs w:val="15"/>
                <w:color w:val="auto"/>
              </w:rPr>
              <w:t>Inflation adjustment</w:t>
            </w:r>
          </w:p>
        </w:tc>
        <w:tc>
          <w:tcPr>
            <w:tcW w:w="246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w:t>
            </w:r>
          </w:p>
        </w:tc>
        <w:tc>
          <w:tcPr>
            <w:tcW w:w="7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100"/>
        <w:spacing w:after="0"/>
        <w:tabs>
          <w:tab w:leader="none" w:pos="7240" w:val="left"/>
          <w:tab w:leader="none" w:pos="8120" w:val="left"/>
          <w:tab w:leader="none" w:pos="8920" w:val="left"/>
          <w:tab w:leader="none" w:pos="9700" w:val="left"/>
        </w:tabs>
        <w:rPr>
          <w:sz w:val="20"/>
          <w:szCs w:val="20"/>
          <w:color w:val="auto"/>
        </w:rPr>
      </w:pPr>
      <w:r>
        <w:rPr>
          <w:rFonts w:ascii="Courier New" w:cs="Courier New" w:eastAsia="Courier New" w:hAnsi="Courier New"/>
          <w:sz w:val="15"/>
          <w:szCs w:val="15"/>
          <w:color w:val="auto"/>
        </w:rPr>
        <w:t>Balance at end of the year</w:t>
      </w:r>
      <w:r>
        <w:rPr>
          <w:sz w:val="20"/>
          <w:szCs w:val="20"/>
          <w:color w:val="auto"/>
        </w:rPr>
        <w:tab/>
      </w:r>
      <w:r>
        <w:rPr>
          <w:rFonts w:ascii="Courier New" w:cs="Courier New" w:eastAsia="Courier New" w:hAnsi="Courier New"/>
          <w:sz w:val="15"/>
          <w:szCs w:val="15"/>
          <w:color w:val="auto"/>
        </w:rPr>
        <w:t>Ps.</w:t>
      </w:r>
      <w:r>
        <w:rPr>
          <w:sz w:val="20"/>
          <w:szCs w:val="20"/>
          <w:color w:val="auto"/>
        </w:rPr>
        <w:tab/>
      </w:r>
      <w:r>
        <w:rPr>
          <w:rFonts w:ascii="Courier New" w:cs="Courier New" w:eastAsia="Courier New" w:hAnsi="Courier New"/>
          <w:sz w:val="15"/>
          <w:szCs w:val="15"/>
          <w:color w:val="auto"/>
        </w:rPr>
        <w:t>4,524</w:t>
      </w:r>
      <w:r>
        <w:rPr>
          <w:sz w:val="20"/>
          <w:szCs w:val="20"/>
          <w:color w:val="auto"/>
        </w:rPr>
        <w:tab/>
      </w:r>
      <w:r>
        <w:rPr>
          <w:rFonts w:ascii="Courier New" w:cs="Courier New" w:eastAsia="Courier New" w:hAnsi="Courier New"/>
          <w:sz w:val="15"/>
          <w:szCs w:val="15"/>
          <w:color w:val="auto"/>
        </w:rPr>
        <w:t>Ps.</w:t>
      </w:r>
      <w:r>
        <w:rPr>
          <w:sz w:val="20"/>
          <w:szCs w:val="20"/>
          <w:color w:val="auto"/>
        </w:rPr>
        <w:tab/>
      </w:r>
      <w:r>
        <w:rPr>
          <w:rFonts w:ascii="Courier New" w:cs="Courier New" w:eastAsia="Courier New" w:hAnsi="Courier New"/>
          <w:sz w:val="14"/>
          <w:szCs w:val="14"/>
          <w:color w:val="auto"/>
        </w:rPr>
        <w:t>5,054</w:t>
      </w:r>
    </w:p>
    <w:p>
      <w:pPr>
        <w:spacing w:after="0" w:line="5" w:lineRule="exact"/>
        <w:rPr>
          <w:sz w:val="20"/>
          <w:szCs w:val="20"/>
          <w:color w:val="auto"/>
        </w:rPr>
      </w:pPr>
    </w:p>
    <w:p>
      <w:pPr>
        <w:ind w:left="180" w:hanging="170"/>
        <w:spacing w:after="0"/>
        <w:tabs>
          <w:tab w:leader="none" w:pos="180"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9" w:lineRule="exact"/>
        <w:rPr>
          <w:rFonts w:ascii="Courier New" w:cs="Courier New" w:eastAsia="Courier New" w:hAnsi="Courier New"/>
          <w:sz w:val="14"/>
          <w:szCs w:val="14"/>
          <w:color w:val="auto"/>
        </w:rPr>
      </w:pPr>
    </w:p>
    <w:p>
      <w:pPr>
        <w:ind w:left="33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F-37</w:t>
      </w:r>
    </w:p>
    <w:p>
      <w:pPr>
        <w:sectPr>
          <w:pgSz w:w="11900" w:h="16838" w:orient="portrait"/>
          <w:cols w:equalWidth="0" w:num="1">
            <w:col w:w="10420"/>
          </w:cols>
          <w:pgMar w:left="220" w:top="624" w:right="1259" w:bottom="1440" w:gutter="0" w:footer="0" w:header="0"/>
        </w:sectPr>
      </w:pPr>
    </w:p>
    <w:bookmarkStart w:id="200" w:name="page201"/>
    <w:bookmarkEnd w:id="200"/>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60" w:type="dxa"/>
            <w:vAlign w:val="bottom"/>
          </w:tcPr>
          <w:p>
            <w:pPr>
              <w:spacing w:after="0"/>
              <w:rPr>
                <w:sz w:val="20"/>
                <w:szCs w:val="20"/>
                <w:color w:val="auto"/>
              </w:rPr>
            </w:pPr>
            <w:r>
              <w:rPr>
                <w:rFonts w:ascii="Courier New" w:cs="Courier New" w:eastAsia="Courier New" w:hAnsi="Courier New"/>
                <w:sz w:val="15"/>
                <w:szCs w:val="15"/>
                <w:color w:val="auto"/>
              </w:rPr>
              <w:t>Reconciliation of Deferred Employee Profit Sharing</w:t>
            </w:r>
          </w:p>
        </w:tc>
        <w:tc>
          <w:tcPr>
            <w:tcW w:w="2880" w:type="dxa"/>
            <w:vAlign w:val="bottom"/>
          </w:tcPr>
          <w:p>
            <w:pPr>
              <w:jc w:val="right"/>
              <w:ind w:right="567"/>
              <w:spacing w:after="0"/>
              <w:rPr>
                <w:sz w:val="20"/>
                <w:szCs w:val="20"/>
                <w:color w:val="auto"/>
              </w:rPr>
            </w:pPr>
            <w:r>
              <w:rPr>
                <w:rFonts w:ascii="Courier New" w:cs="Courier New" w:eastAsia="Courier New" w:hAnsi="Courier New"/>
                <w:sz w:val="15"/>
                <w:szCs w:val="15"/>
                <w:color w:val="auto"/>
              </w:rPr>
              <w:t>2002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2001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60" w:type="dxa"/>
            <w:vAlign w:val="bottom"/>
          </w:tcPr>
          <w:p>
            <w:pPr>
              <w:spacing w:after="0"/>
              <w:rPr>
                <w:sz w:val="20"/>
                <w:szCs w:val="20"/>
                <w:color w:val="auto"/>
              </w:rPr>
            </w:pPr>
            <w:r>
              <w:rPr>
                <w:rFonts w:ascii="Courier New" w:cs="Courier New" w:eastAsia="Courier New" w:hAnsi="Courier New"/>
                <w:sz w:val="15"/>
                <w:szCs w:val="15"/>
                <w:color w:val="auto"/>
              </w:rPr>
              <w:t>Deferred employee profit sharing under Mexican GAAP</w:t>
            </w:r>
          </w:p>
        </w:tc>
        <w:tc>
          <w:tcPr>
            <w:tcW w:w="1940" w:type="dxa"/>
            <w:vAlign w:val="bottom"/>
          </w:tcPr>
          <w:p>
            <w:pPr>
              <w:ind w:left="1400"/>
              <w:spacing w:after="0"/>
              <w:rPr>
                <w:sz w:val="20"/>
                <w:szCs w:val="20"/>
                <w:color w:val="auto"/>
              </w:rPr>
            </w:pPr>
            <w:r>
              <w:rPr>
                <w:rFonts w:ascii="Courier New" w:cs="Courier New" w:eastAsia="Courier New" w:hAnsi="Courier New"/>
                <w:sz w:val="15"/>
                <w:szCs w:val="15"/>
                <w:color w:val="auto"/>
              </w:rPr>
              <w:t>Ps.</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w:t>
            </w:r>
          </w:p>
        </w:tc>
        <w:tc>
          <w:tcPr>
            <w:tcW w:w="740" w:type="dxa"/>
            <w:vAlign w:val="bottom"/>
          </w:tcPr>
          <w:p>
            <w:pPr>
              <w:ind w:left="220"/>
              <w:spacing w:after="0"/>
              <w:rPr>
                <w:sz w:val="20"/>
                <w:szCs w:val="20"/>
                <w:color w:val="auto"/>
              </w:rPr>
            </w:pPr>
            <w:r>
              <w:rPr>
                <w:rFonts w:ascii="Courier New" w:cs="Courier New" w:eastAsia="Courier New" w:hAnsi="Courier New"/>
                <w:sz w:val="15"/>
                <w:szCs w:val="15"/>
                <w:color w:val="auto"/>
              </w:rPr>
              <w:t>Ps.</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US GAAP adjustments:</w:t>
            </w:r>
          </w:p>
        </w:tc>
        <w:tc>
          <w:tcPr>
            <w:tcW w:w="1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w:t>
            </w:r>
          </w:p>
        </w:tc>
        <w:tc>
          <w:tcPr>
            <w:tcW w:w="1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Allowance for doubtful accounts</w:t>
            </w:r>
          </w:p>
        </w:tc>
        <w:tc>
          <w:tcPr>
            <w:tcW w:w="194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w:t>
            </w:r>
          </w:p>
        </w:tc>
        <w:tc>
          <w:tcPr>
            <w:tcW w:w="7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w:t>
            </w:r>
          </w:p>
        </w:tc>
      </w:tr>
      <w:tr>
        <w:trPr>
          <w:trHeight w:val="168"/>
        </w:trPr>
        <w:tc>
          <w:tcPr>
            <w:tcW w:w="5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Inventories</w:t>
            </w:r>
          </w:p>
        </w:tc>
        <w:tc>
          <w:tcPr>
            <w:tcW w:w="194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414</w:t>
            </w:r>
          </w:p>
        </w:tc>
        <w:tc>
          <w:tcPr>
            <w:tcW w:w="7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395</w:t>
            </w:r>
          </w:p>
        </w:tc>
      </w:tr>
      <w:tr>
        <w:trPr>
          <w:trHeight w:val="168"/>
        </w:trPr>
        <w:tc>
          <w:tcPr>
            <w:tcW w:w="5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Prepaid expenses</w:t>
            </w:r>
          </w:p>
        </w:tc>
        <w:tc>
          <w:tcPr>
            <w:tcW w:w="194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w:t>
            </w:r>
          </w:p>
        </w:tc>
        <w:tc>
          <w:tcPr>
            <w:tcW w:w="7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Non-current:</w:t>
            </w:r>
          </w:p>
        </w:tc>
        <w:tc>
          <w:tcPr>
            <w:tcW w:w="1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Property, plant and equipment</w:t>
            </w:r>
          </w:p>
        </w:tc>
        <w:tc>
          <w:tcPr>
            <w:tcW w:w="194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1,309</w:t>
            </w:r>
          </w:p>
        </w:tc>
        <w:tc>
          <w:tcPr>
            <w:tcW w:w="7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1,217</w:t>
            </w:r>
          </w:p>
        </w:tc>
      </w:tr>
      <w:tr>
        <w:trPr>
          <w:trHeight w:val="168"/>
        </w:trPr>
        <w:tc>
          <w:tcPr>
            <w:tcW w:w="5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Capitalization of interest expense</w:t>
            </w:r>
          </w:p>
        </w:tc>
        <w:tc>
          <w:tcPr>
            <w:tcW w:w="194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w:t>
            </w:r>
          </w:p>
        </w:tc>
        <w:tc>
          <w:tcPr>
            <w:tcW w:w="7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w:t>
            </w:r>
          </w:p>
        </w:tc>
      </w:tr>
      <w:tr>
        <w:trPr>
          <w:trHeight w:val="168"/>
        </w:trPr>
        <w:tc>
          <w:tcPr>
            <w:tcW w:w="5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Deferred charges</w:t>
            </w:r>
          </w:p>
        </w:tc>
        <w:tc>
          <w:tcPr>
            <w:tcW w:w="194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w:t>
            </w:r>
          </w:p>
        </w:tc>
        <w:tc>
          <w:tcPr>
            <w:tcW w:w="7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5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Pension plan</w:t>
            </w:r>
          </w:p>
        </w:tc>
        <w:tc>
          <w:tcPr>
            <w:tcW w:w="194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w:t>
            </w:r>
          </w:p>
        </w:tc>
        <w:tc>
          <w:tcPr>
            <w:tcW w:w="7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w:t>
            </w:r>
          </w:p>
        </w:tc>
      </w:tr>
      <w:tr>
        <w:trPr>
          <w:trHeight w:val="168"/>
        </w:trPr>
        <w:tc>
          <w:tcPr>
            <w:tcW w:w="5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Seniority premiums</w:t>
            </w:r>
          </w:p>
        </w:tc>
        <w:tc>
          <w:tcPr>
            <w:tcW w:w="194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w:t>
            </w:r>
          </w:p>
        </w:tc>
        <w:tc>
          <w:tcPr>
            <w:tcW w:w="7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5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Medical services</w:t>
            </w:r>
          </w:p>
        </w:tc>
        <w:tc>
          <w:tcPr>
            <w:tcW w:w="194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w:t>
            </w:r>
          </w:p>
        </w:tc>
        <w:tc>
          <w:tcPr>
            <w:tcW w:w="7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5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Foreign exchange effect</w:t>
            </w:r>
          </w:p>
        </w:tc>
        <w:tc>
          <w:tcPr>
            <w:tcW w:w="194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5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Other reserves</w:t>
            </w:r>
          </w:p>
        </w:tc>
        <w:tc>
          <w:tcPr>
            <w:tcW w:w="194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w:t>
            </w:r>
          </w:p>
        </w:tc>
        <w:tc>
          <w:tcPr>
            <w:tcW w:w="7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80" w:type="dxa"/>
            <w:vAlign w:val="bottom"/>
          </w:tcPr>
          <w:p>
            <w:pPr>
              <w:spacing w:after="0"/>
              <w:rPr>
                <w:sz w:val="20"/>
                <w:szCs w:val="20"/>
                <w:color w:val="auto"/>
              </w:rPr>
            </w:pPr>
            <w:r>
              <w:rPr>
                <w:rFonts w:ascii="Courier New" w:cs="Courier New" w:eastAsia="Courier New" w:hAnsi="Courier New"/>
                <w:sz w:val="15"/>
                <w:szCs w:val="15"/>
                <w:color w:val="auto"/>
              </w:rPr>
              <w:t>Total Adjustments</w:t>
            </w:r>
          </w:p>
        </w:tc>
        <w:tc>
          <w:tcPr>
            <w:tcW w:w="43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1,638</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1,587</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tabs>
          <w:tab w:leader="none" w:pos="7240" w:val="left"/>
          <w:tab w:leader="none" w:pos="8040" w:val="left"/>
          <w:tab w:leader="none" w:pos="8920" w:val="left"/>
          <w:tab w:leader="none" w:pos="9700" w:val="left"/>
        </w:tabs>
        <w:rPr>
          <w:sz w:val="20"/>
          <w:szCs w:val="20"/>
          <w:color w:val="auto"/>
        </w:rPr>
      </w:pPr>
      <w:r>
        <w:rPr>
          <w:rFonts w:ascii="Courier New" w:cs="Courier New" w:eastAsia="Courier New" w:hAnsi="Courier New"/>
          <w:sz w:val="15"/>
          <w:szCs w:val="15"/>
          <w:color w:val="auto"/>
        </w:rPr>
        <w:t>Deferred employee profit sharing under US GAAP</w:t>
      </w:r>
      <w:r>
        <w:rPr>
          <w:sz w:val="20"/>
          <w:szCs w:val="20"/>
          <w:color w:val="auto"/>
        </w:rPr>
        <w:tab/>
      </w:r>
      <w:r>
        <w:rPr>
          <w:rFonts w:ascii="Courier New" w:cs="Courier New" w:eastAsia="Courier New" w:hAnsi="Courier New"/>
          <w:sz w:val="15"/>
          <w:szCs w:val="15"/>
          <w:color w:val="auto"/>
        </w:rPr>
        <w:t>Ps.</w:t>
      </w:r>
      <w:r>
        <w:rPr>
          <w:sz w:val="20"/>
          <w:szCs w:val="20"/>
          <w:color w:val="auto"/>
        </w:rPr>
        <w:tab/>
      </w:r>
      <w:r>
        <w:rPr>
          <w:rFonts w:ascii="Courier New" w:cs="Courier New" w:eastAsia="Courier New" w:hAnsi="Courier New"/>
          <w:sz w:val="15"/>
          <w:szCs w:val="15"/>
          <w:color w:val="auto"/>
        </w:rPr>
        <w:t>1,630</w:t>
      </w:r>
      <w:r>
        <w:rPr>
          <w:sz w:val="20"/>
          <w:szCs w:val="20"/>
          <w:color w:val="auto"/>
        </w:rPr>
        <w:tab/>
      </w:r>
      <w:r>
        <w:rPr>
          <w:rFonts w:ascii="Courier New" w:cs="Courier New" w:eastAsia="Courier New" w:hAnsi="Courier New"/>
          <w:sz w:val="15"/>
          <w:szCs w:val="15"/>
          <w:color w:val="auto"/>
        </w:rPr>
        <w:t>Ps.</w:t>
      </w:r>
      <w:r>
        <w:rPr>
          <w:sz w:val="20"/>
          <w:szCs w:val="20"/>
          <w:color w:val="auto"/>
        </w:rPr>
        <w:tab/>
      </w:r>
      <w:r>
        <w:rPr>
          <w:rFonts w:ascii="Courier New" w:cs="Courier New" w:eastAsia="Courier New" w:hAnsi="Courier New"/>
          <w:sz w:val="14"/>
          <w:szCs w:val="14"/>
          <w:color w:val="auto"/>
        </w:rPr>
        <w:t>1,587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6" w:lineRule="exact"/>
        <w:rPr>
          <w:sz w:val="20"/>
          <w:szCs w:val="20"/>
          <w:color w:val="auto"/>
        </w:rPr>
      </w:pPr>
    </w:p>
    <w:p>
      <w:pPr>
        <w:ind w:right="3500"/>
        <w:spacing w:after="0" w:line="234" w:lineRule="auto"/>
        <w:rPr>
          <w:sz w:val="20"/>
          <w:szCs w:val="20"/>
          <w:color w:val="auto"/>
        </w:rPr>
      </w:pPr>
      <w:r>
        <w:rPr>
          <w:rFonts w:ascii="Courier New" w:cs="Courier New" w:eastAsia="Courier New" w:hAnsi="Courier New"/>
          <w:sz w:val="15"/>
          <w:szCs w:val="15"/>
          <w:color w:val="auto"/>
        </w:rPr>
        <w:t>The changes in the balance of the deferred employee profit sharing for the year are as follows:</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8140"/>
        <w:spacing w:after="0"/>
        <w:tabs>
          <w:tab w:leader="none" w:pos="9780" w:val="left"/>
        </w:tabs>
        <w:rPr>
          <w:sz w:val="20"/>
          <w:szCs w:val="20"/>
          <w:color w:val="auto"/>
        </w:rPr>
      </w:pPr>
      <w:r>
        <w:rPr>
          <w:rFonts w:ascii="Courier New" w:cs="Courier New" w:eastAsia="Courier New" w:hAnsi="Courier New"/>
          <w:sz w:val="15"/>
          <w:szCs w:val="15"/>
          <w:color w:val="auto"/>
        </w:rPr>
        <w:t>2002</w:t>
      </w:r>
      <w:r>
        <w:rPr>
          <w:sz w:val="20"/>
          <w:szCs w:val="20"/>
          <w:color w:val="auto"/>
        </w:rPr>
        <w:tab/>
      </w:r>
      <w:r>
        <w:rPr>
          <w:rFonts w:ascii="Courier New" w:cs="Courier New" w:eastAsia="Courier New" w:hAnsi="Courier New"/>
          <w:sz w:val="15"/>
          <w:szCs w:val="15"/>
          <w:color w:val="auto"/>
        </w:rPr>
        <w:t>2001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4860" w:type="dxa"/>
            <w:vAlign w:val="bottom"/>
          </w:tcPr>
          <w:p>
            <w:pPr>
              <w:spacing w:after="0"/>
              <w:rPr>
                <w:sz w:val="20"/>
                <w:szCs w:val="20"/>
                <w:color w:val="auto"/>
              </w:rPr>
            </w:pPr>
            <w:r>
              <w:rPr>
                <w:rFonts w:ascii="Courier New" w:cs="Courier New" w:eastAsia="Courier New" w:hAnsi="Courier New"/>
                <w:sz w:val="15"/>
                <w:szCs w:val="15"/>
                <w:color w:val="auto"/>
              </w:rPr>
              <w:t>Balance at beginning of the year</w:t>
            </w:r>
          </w:p>
        </w:tc>
        <w:tc>
          <w:tcPr>
            <w:tcW w:w="2580" w:type="dxa"/>
            <w:vAlign w:val="bottom"/>
          </w:tcPr>
          <w:p>
            <w:pPr>
              <w:ind w:left="2040"/>
              <w:spacing w:after="0"/>
              <w:rPr>
                <w:sz w:val="20"/>
                <w:szCs w:val="20"/>
                <w:color w:val="auto"/>
              </w:rPr>
            </w:pPr>
            <w:r>
              <w:rPr>
                <w:rFonts w:ascii="Courier New" w:cs="Courier New" w:eastAsia="Courier New" w:hAnsi="Courier New"/>
                <w:sz w:val="15"/>
                <w:szCs w:val="15"/>
                <w:color w:val="auto"/>
              </w:rPr>
              <w:t>Ps.</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1,587</w:t>
            </w:r>
          </w:p>
        </w:tc>
        <w:tc>
          <w:tcPr>
            <w:tcW w:w="740" w:type="dxa"/>
            <w:vAlign w:val="bottom"/>
          </w:tcPr>
          <w:p>
            <w:pPr>
              <w:ind w:left="220"/>
              <w:spacing w:after="0"/>
              <w:rPr>
                <w:sz w:val="20"/>
                <w:szCs w:val="20"/>
                <w:color w:val="auto"/>
              </w:rPr>
            </w:pPr>
            <w:r>
              <w:rPr>
                <w:rFonts w:ascii="Courier New" w:cs="Courier New" w:eastAsia="Courier New" w:hAnsi="Courier New"/>
                <w:sz w:val="15"/>
                <w:szCs w:val="15"/>
                <w:color w:val="auto"/>
              </w:rPr>
              <w:t>Ps.</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1,595</w:t>
            </w: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 for the year</w:t>
            </w:r>
          </w:p>
        </w:tc>
        <w:tc>
          <w:tcPr>
            <w:tcW w:w="25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w:t>
            </w:r>
          </w:p>
        </w:tc>
        <w:tc>
          <w:tcPr>
            <w:tcW w:w="7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Inflation adjustment</w:t>
            </w:r>
          </w:p>
        </w:tc>
        <w:tc>
          <w:tcPr>
            <w:tcW w:w="25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360"/>
        <w:spacing w:after="0"/>
        <w:tabs>
          <w:tab w:leader="none" w:pos="7240" w:val="left"/>
          <w:tab w:leader="none" w:pos="8040" w:val="left"/>
          <w:tab w:leader="none" w:pos="8920" w:val="left"/>
          <w:tab w:leader="none" w:pos="9700" w:val="left"/>
        </w:tabs>
        <w:rPr>
          <w:sz w:val="20"/>
          <w:szCs w:val="20"/>
          <w:color w:val="auto"/>
        </w:rPr>
      </w:pPr>
      <w:r>
        <w:rPr>
          <w:rFonts w:ascii="Courier New" w:cs="Courier New" w:eastAsia="Courier New" w:hAnsi="Courier New"/>
          <w:sz w:val="15"/>
          <w:szCs w:val="15"/>
          <w:color w:val="auto"/>
        </w:rPr>
        <w:t>Balance at end of the year</w:t>
      </w:r>
      <w:r>
        <w:rPr>
          <w:sz w:val="20"/>
          <w:szCs w:val="20"/>
          <w:color w:val="auto"/>
        </w:rPr>
        <w:tab/>
      </w:r>
      <w:r>
        <w:rPr>
          <w:rFonts w:ascii="Courier New" w:cs="Courier New" w:eastAsia="Courier New" w:hAnsi="Courier New"/>
          <w:sz w:val="15"/>
          <w:szCs w:val="15"/>
          <w:color w:val="auto"/>
        </w:rPr>
        <w:t>Ps.</w:t>
      </w:r>
      <w:r>
        <w:rPr>
          <w:sz w:val="20"/>
          <w:szCs w:val="20"/>
          <w:color w:val="auto"/>
        </w:rPr>
        <w:tab/>
      </w:r>
      <w:r>
        <w:rPr>
          <w:rFonts w:ascii="Courier New" w:cs="Courier New" w:eastAsia="Courier New" w:hAnsi="Courier New"/>
          <w:sz w:val="15"/>
          <w:szCs w:val="15"/>
          <w:color w:val="auto"/>
        </w:rPr>
        <w:t>1,630</w:t>
      </w:r>
      <w:r>
        <w:rPr>
          <w:sz w:val="20"/>
          <w:szCs w:val="20"/>
          <w:color w:val="auto"/>
        </w:rPr>
        <w:tab/>
      </w:r>
      <w:r>
        <w:rPr>
          <w:rFonts w:ascii="Courier New" w:cs="Courier New" w:eastAsia="Courier New" w:hAnsi="Courier New"/>
          <w:sz w:val="15"/>
          <w:szCs w:val="15"/>
          <w:color w:val="auto"/>
        </w:rPr>
        <w:t>Ps.</w:t>
      </w:r>
      <w:r>
        <w:rPr>
          <w:sz w:val="20"/>
          <w:szCs w:val="20"/>
          <w:color w:val="auto"/>
        </w:rPr>
        <w:tab/>
      </w:r>
      <w:r>
        <w:rPr>
          <w:rFonts w:ascii="Courier New" w:cs="Courier New" w:eastAsia="Courier New" w:hAnsi="Courier New"/>
          <w:sz w:val="14"/>
          <w:szCs w:val="14"/>
          <w:color w:val="auto"/>
        </w:rPr>
        <w:t>1,587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0"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5"/>
          <w:szCs w:val="15"/>
          <w:color w:val="auto"/>
        </w:rPr>
        <w:t>j)</w:t>
        <w:tab/>
        <w:t>Pension Plan:</w:t>
      </w:r>
    </w:p>
    <w:p>
      <w:pPr>
        <w:spacing w:after="0" w:line="173" w:lineRule="exact"/>
        <w:rPr>
          <w:sz w:val="20"/>
          <w:szCs w:val="20"/>
          <w:color w:val="auto"/>
        </w:rPr>
      </w:pPr>
    </w:p>
    <w:p>
      <w:pPr>
        <w:ind w:left="360" w:right="3500"/>
        <w:spacing w:after="0" w:line="255" w:lineRule="auto"/>
        <w:rPr>
          <w:sz w:val="20"/>
          <w:szCs w:val="20"/>
          <w:color w:val="auto"/>
        </w:rPr>
      </w:pPr>
      <w:r>
        <w:rPr>
          <w:rFonts w:ascii="Courier New" w:cs="Courier New" w:eastAsia="Courier New" w:hAnsi="Courier New"/>
          <w:sz w:val="14"/>
          <w:szCs w:val="14"/>
          <w:color w:val="auto"/>
        </w:rPr>
        <w:t>Under Mexican GAAP, the liabilities for employee benefits are determined using actuarial computations in accordance with Bulletin D-3, "Obligaciones Laborales" (Labor Obligations), which is substantially the same as US GAAP SFAS No. 87, "Employers' Accounting for Pensions", except for the initial year of application of both bulletins, which generates a difference in the unamortized prior service costs and in the amortization expense.</w:t>
      </w:r>
    </w:p>
    <w:p>
      <w:pPr>
        <w:spacing w:after="0" w:line="166" w:lineRule="exact"/>
        <w:rPr>
          <w:sz w:val="20"/>
          <w:szCs w:val="20"/>
          <w:color w:val="auto"/>
        </w:rPr>
      </w:pPr>
    </w:p>
    <w:p>
      <w:pPr>
        <w:ind w:left="360" w:right="3680"/>
        <w:spacing w:after="0" w:line="261" w:lineRule="auto"/>
        <w:rPr>
          <w:sz w:val="20"/>
          <w:szCs w:val="20"/>
          <w:color w:val="auto"/>
        </w:rPr>
      </w:pPr>
      <w:r>
        <w:rPr>
          <w:rFonts w:ascii="Courier New" w:cs="Courier New" w:eastAsia="Courier New" w:hAnsi="Courier New"/>
          <w:sz w:val="14"/>
          <w:szCs w:val="14"/>
          <w:color w:val="auto"/>
        </w:rPr>
        <w:t>Under Mexican GAAP and US GAAP, there is no difference in the liabilities for seniority premiums and postretirement medical benefits.</w:t>
      </w:r>
    </w:p>
    <w:p>
      <w:pPr>
        <w:spacing w:after="0" w:line="160" w:lineRule="exact"/>
        <w:rPr>
          <w:sz w:val="20"/>
          <w:szCs w:val="20"/>
          <w:color w:val="auto"/>
        </w:rPr>
      </w:pPr>
    </w:p>
    <w:p>
      <w:pPr>
        <w:ind w:left="360" w:right="3420"/>
        <w:spacing w:after="0" w:line="235" w:lineRule="auto"/>
        <w:rPr>
          <w:sz w:val="20"/>
          <w:szCs w:val="20"/>
          <w:color w:val="auto"/>
        </w:rPr>
      </w:pPr>
      <w:r>
        <w:rPr>
          <w:rFonts w:ascii="Courier New" w:cs="Courier New" w:eastAsia="Courier New" w:hAnsi="Courier New"/>
          <w:sz w:val="15"/>
          <w:szCs w:val="15"/>
          <w:color w:val="auto"/>
        </w:rPr>
        <w:t>The Company has prepared a study of pension costs under US GAAP based on actuarial calculations using the same assumptions applied under Mexican GAAP (see Note 14).</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F-38</w:t>
      </w:r>
    </w:p>
    <w:p>
      <w:pPr>
        <w:sectPr>
          <w:pgSz w:w="11900" w:h="16838" w:orient="portrait"/>
          <w:cols w:equalWidth="0" w:num="1">
            <w:col w:w="10420"/>
          </w:cols>
          <w:pgMar w:left="220" w:top="960" w:right="1259" w:bottom="1440" w:gutter="0" w:footer="0" w:header="0"/>
        </w:sectPr>
      </w:pPr>
    </w:p>
    <w:bookmarkStart w:id="201" w:name="page202"/>
    <w:bookmarkEnd w:id="201"/>
    <w:p>
      <w:pPr>
        <w:ind w:left="360"/>
        <w:spacing w:after="0"/>
        <w:rPr>
          <w:sz w:val="20"/>
          <w:szCs w:val="20"/>
          <w:color w:val="auto"/>
        </w:rPr>
      </w:pPr>
      <w:r>
        <w:rPr>
          <w:rFonts w:ascii="Courier New" w:cs="Courier New" w:eastAsia="Courier New" w:hAnsi="Courier New"/>
          <w:sz w:val="15"/>
          <w:szCs w:val="15"/>
          <w:color w:val="auto"/>
        </w:rPr>
        <w:t>The required disclosures under SFAS No. 87 are as follows:</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40" w:type="dxa"/>
            <w:vAlign w:val="bottom"/>
          </w:tcPr>
          <w:p>
            <w:pPr>
              <w:spacing w:after="0"/>
              <w:rPr>
                <w:sz w:val="20"/>
                <w:szCs w:val="20"/>
                <w:color w:val="auto"/>
              </w:rPr>
            </w:pPr>
            <w:r>
              <w:rPr>
                <w:rFonts w:ascii="Courier New" w:cs="Courier New" w:eastAsia="Courier New" w:hAnsi="Courier New"/>
                <w:sz w:val="15"/>
                <w:szCs w:val="15"/>
                <w:color w:val="auto"/>
              </w:rPr>
              <w:t>Net Pension Cost</w:t>
            </w:r>
          </w:p>
        </w:tc>
        <w:tc>
          <w:tcPr>
            <w:tcW w:w="3540" w:type="dxa"/>
            <w:vAlign w:val="bottom"/>
          </w:tcPr>
          <w:p>
            <w:pPr>
              <w:jc w:val="right"/>
              <w:ind w:right="567"/>
              <w:spacing w:after="0"/>
              <w:rPr>
                <w:sz w:val="20"/>
                <w:szCs w:val="20"/>
                <w:color w:val="auto"/>
              </w:rPr>
            </w:pPr>
            <w:r>
              <w:rPr>
                <w:rFonts w:ascii="Courier New" w:cs="Courier New" w:eastAsia="Courier New" w:hAnsi="Courier New"/>
                <w:sz w:val="15"/>
                <w:szCs w:val="15"/>
                <w:color w:val="auto"/>
              </w:rPr>
              <w:t>2002</w:t>
            </w:r>
          </w:p>
        </w:tc>
        <w:tc>
          <w:tcPr>
            <w:tcW w:w="1660" w:type="dxa"/>
            <w:vAlign w:val="bottom"/>
          </w:tcPr>
          <w:p>
            <w:pPr>
              <w:jc w:val="right"/>
              <w:ind w:right="567"/>
              <w:spacing w:after="0"/>
              <w:rPr>
                <w:sz w:val="20"/>
                <w:szCs w:val="20"/>
                <w:color w:val="auto"/>
              </w:rPr>
            </w:pPr>
            <w:r>
              <w:rPr>
                <w:rFonts w:ascii="Courier New" w:cs="Courier New" w:eastAsia="Courier New" w:hAnsi="Courier New"/>
                <w:sz w:val="15"/>
                <w:szCs w:val="15"/>
                <w:color w:val="auto"/>
              </w:rPr>
              <w:t>2001</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40" w:type="dxa"/>
            <w:vAlign w:val="bottom"/>
          </w:tcPr>
          <w:p>
            <w:pPr>
              <w:spacing w:after="0"/>
              <w:rPr>
                <w:sz w:val="20"/>
                <w:szCs w:val="20"/>
                <w:color w:val="auto"/>
              </w:rPr>
            </w:pPr>
            <w:r>
              <w:rPr>
                <w:rFonts w:ascii="Courier New" w:cs="Courier New" w:eastAsia="Courier New" w:hAnsi="Courier New"/>
                <w:sz w:val="15"/>
                <w:szCs w:val="15"/>
                <w:color w:val="auto"/>
              </w:rPr>
              <w:t>Service cost</w:t>
            </w:r>
          </w:p>
        </w:tc>
        <w:tc>
          <w:tcPr>
            <w:tcW w:w="1840" w:type="dxa"/>
            <w:vAlign w:val="bottom"/>
          </w:tcPr>
          <w:p>
            <w:pPr>
              <w:ind w:left="1260"/>
              <w:spacing w:after="0"/>
              <w:rPr>
                <w:sz w:val="20"/>
                <w:szCs w:val="20"/>
                <w:color w:val="auto"/>
              </w:rPr>
            </w:pPr>
            <w:r>
              <w:rPr>
                <w:rFonts w:ascii="Courier New" w:cs="Courier New" w:eastAsia="Courier New" w:hAnsi="Courier New"/>
                <w:sz w:val="15"/>
                <w:szCs w:val="15"/>
                <w:color w:val="auto"/>
              </w:rPr>
              <w:t>Ps.</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72</w:t>
            </w:r>
          </w:p>
        </w:tc>
        <w:tc>
          <w:tcPr>
            <w:tcW w:w="780" w:type="dxa"/>
            <w:vAlign w:val="bottom"/>
          </w:tcPr>
          <w:p>
            <w:pPr>
              <w:ind w:left="200"/>
              <w:spacing w:after="0"/>
              <w:rPr>
                <w:sz w:val="20"/>
                <w:szCs w:val="20"/>
                <w:color w:val="auto"/>
              </w:rPr>
            </w:pPr>
            <w:r>
              <w:rPr>
                <w:rFonts w:ascii="Courier New" w:cs="Courier New" w:eastAsia="Courier New" w:hAnsi="Courier New"/>
                <w:sz w:val="15"/>
                <w:szCs w:val="15"/>
                <w:color w:val="auto"/>
              </w:rPr>
              <w:t>Ps.</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63</w:t>
            </w:r>
          </w:p>
        </w:tc>
        <w:tc>
          <w:tcPr>
            <w:tcW w:w="780" w:type="dxa"/>
            <w:vAlign w:val="bottom"/>
          </w:tcPr>
          <w:p>
            <w:pPr>
              <w:ind w:left="220"/>
              <w:spacing w:after="0"/>
              <w:rPr>
                <w:sz w:val="20"/>
                <w:szCs w:val="20"/>
                <w:color w:val="auto"/>
              </w:rPr>
            </w:pPr>
            <w:r>
              <w:rPr>
                <w:rFonts w:ascii="Courier New" w:cs="Courier New" w:eastAsia="Courier New" w:hAnsi="Courier New"/>
                <w:sz w:val="15"/>
                <w:szCs w:val="15"/>
                <w:color w:val="auto"/>
              </w:rPr>
              <w:t>Ps.</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86</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cost</w:t>
            </w:r>
          </w:p>
        </w:tc>
        <w:tc>
          <w:tcPr>
            <w:tcW w:w="184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129</w:t>
            </w:r>
          </w:p>
        </w:tc>
        <w:tc>
          <w:tcPr>
            <w:tcW w:w="78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117</w:t>
            </w:r>
          </w:p>
        </w:tc>
        <w:tc>
          <w:tcPr>
            <w:tcW w:w="78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130</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Actual return on pension plan funds</w:t>
            </w:r>
          </w:p>
        </w:tc>
        <w:tc>
          <w:tcPr>
            <w:tcW w:w="184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(93)</w:t>
            </w:r>
          </w:p>
        </w:tc>
        <w:tc>
          <w:tcPr>
            <w:tcW w:w="78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(91)</w:t>
            </w:r>
          </w:p>
        </w:tc>
        <w:tc>
          <w:tcPr>
            <w:tcW w:w="78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amortization and deferral</w:t>
            </w:r>
          </w:p>
        </w:tc>
        <w:tc>
          <w:tcPr>
            <w:tcW w:w="184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w:t>
            </w:r>
          </w:p>
        </w:tc>
        <w:tc>
          <w:tcPr>
            <w:tcW w:w="78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w:t>
            </w:r>
          </w:p>
        </w:tc>
        <w:tc>
          <w:tcPr>
            <w:tcW w:w="78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0" w:type="dxa"/>
            <w:vAlign w:val="bottom"/>
          </w:tcPr>
          <w:p>
            <w:pPr>
              <w:spacing w:after="0"/>
              <w:rPr>
                <w:sz w:val="20"/>
                <w:szCs w:val="20"/>
                <w:color w:val="auto"/>
              </w:rPr>
            </w:pPr>
            <w:r>
              <w:rPr>
                <w:rFonts w:ascii="Courier New" w:cs="Courier New" w:eastAsia="Courier New" w:hAnsi="Courier New"/>
                <w:sz w:val="15"/>
                <w:szCs w:val="15"/>
                <w:color w:val="auto"/>
              </w:rPr>
              <w:t>Net</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pension</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cost</w:t>
            </w:r>
          </w:p>
        </w:tc>
        <w:tc>
          <w:tcPr>
            <w:tcW w:w="3580" w:type="dxa"/>
            <w:vAlign w:val="bottom"/>
          </w:tcPr>
          <w:p>
            <w:pPr>
              <w:ind w:left="40"/>
              <w:spacing w:after="0"/>
              <w:rPr>
                <w:sz w:val="20"/>
                <w:szCs w:val="20"/>
                <w:color w:val="auto"/>
              </w:rPr>
            </w:pPr>
            <w:r>
              <w:rPr>
                <w:rFonts w:ascii="Courier New" w:cs="Courier New" w:eastAsia="Courier New" w:hAnsi="Courier New"/>
                <w:sz w:val="15"/>
                <w:szCs w:val="15"/>
                <w:color w:val="auto"/>
              </w:rPr>
              <w:t>(US GAAP)</w:t>
            </w:r>
          </w:p>
        </w:tc>
        <w:tc>
          <w:tcPr>
            <w:tcW w:w="25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140</w:t>
            </w:r>
          </w:p>
        </w:tc>
        <w:tc>
          <w:tcPr>
            <w:tcW w:w="16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125</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162</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Net</w:t>
            </w:r>
          </w:p>
        </w:tc>
        <w:tc>
          <w:tcPr>
            <w:tcW w:w="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pension</w:t>
            </w:r>
          </w:p>
        </w:tc>
        <w:tc>
          <w:tcPr>
            <w:tcW w:w="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cost</w:t>
            </w:r>
          </w:p>
        </w:tc>
        <w:tc>
          <w:tcPr>
            <w:tcW w:w="3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recorded (Mexican GAAP)</w:t>
            </w:r>
          </w:p>
        </w:tc>
        <w:tc>
          <w:tcPr>
            <w:tcW w:w="25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124</w:t>
            </w:r>
          </w:p>
        </w:tc>
        <w:tc>
          <w:tcPr>
            <w:tcW w:w="16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100</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138</w:t>
            </w:r>
          </w:p>
        </w:tc>
      </w:tr>
    </w:tbl>
    <w:p>
      <w:pPr>
        <w:spacing w:after="0" w:line="5" w:lineRule="exact"/>
        <w:rPr>
          <w:sz w:val="20"/>
          <w:szCs w:val="20"/>
          <w:color w:val="auto"/>
        </w:rPr>
      </w:pPr>
    </w:p>
    <w:p>
      <w:pPr>
        <w:ind w:left="180" w:hanging="170"/>
        <w:spacing w:after="0"/>
        <w:tabs>
          <w:tab w:leader="none" w:pos="180"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Additional expense that must be recognized under</w:t>
      </w:r>
    </w:p>
    <w:p>
      <w:pPr>
        <w:ind w:left="360"/>
        <w:spacing w:after="0" w:line="238" w:lineRule="auto"/>
        <w:tabs>
          <w:tab w:leader="none" w:pos="5500" w:val="left"/>
          <w:tab w:leader="none" w:pos="6640" w:val="left"/>
          <w:tab w:leader="none" w:pos="7160" w:val="left"/>
          <w:tab w:leader="none" w:pos="8300" w:val="left"/>
          <w:tab w:leader="none" w:pos="8820" w:val="left"/>
          <w:tab w:leader="none" w:pos="9960" w:val="left"/>
        </w:tabs>
        <w:rPr>
          <w:sz w:val="20"/>
          <w:szCs w:val="20"/>
          <w:color w:val="auto"/>
        </w:rPr>
      </w:pPr>
      <w:r>
        <w:rPr>
          <w:rFonts w:ascii="Courier New" w:cs="Courier New" w:eastAsia="Courier New" w:hAnsi="Courier New"/>
          <w:sz w:val="15"/>
          <w:szCs w:val="15"/>
          <w:color w:val="auto"/>
        </w:rPr>
        <w:t>US GAAP</w:t>
      </w:r>
      <w:r>
        <w:rPr>
          <w:sz w:val="20"/>
          <w:szCs w:val="20"/>
          <w:color w:val="auto"/>
        </w:rPr>
        <w:tab/>
      </w:r>
      <w:r>
        <w:rPr>
          <w:rFonts w:ascii="Courier New" w:cs="Courier New" w:eastAsia="Courier New" w:hAnsi="Courier New"/>
          <w:sz w:val="15"/>
          <w:szCs w:val="15"/>
          <w:color w:val="auto"/>
        </w:rPr>
        <w:t>Ps.</w:t>
      </w:r>
      <w:r>
        <w:rPr>
          <w:sz w:val="20"/>
          <w:szCs w:val="20"/>
          <w:color w:val="auto"/>
        </w:rPr>
        <w:tab/>
      </w:r>
      <w:r>
        <w:rPr>
          <w:rFonts w:ascii="Courier New" w:cs="Courier New" w:eastAsia="Courier New" w:hAnsi="Courier New"/>
          <w:sz w:val="15"/>
          <w:szCs w:val="15"/>
          <w:color w:val="auto"/>
        </w:rPr>
        <w:t>16</w:t>
      </w:r>
      <w:r>
        <w:rPr>
          <w:sz w:val="20"/>
          <w:szCs w:val="20"/>
          <w:color w:val="auto"/>
        </w:rPr>
        <w:tab/>
      </w:r>
      <w:r>
        <w:rPr>
          <w:rFonts w:ascii="Courier New" w:cs="Courier New" w:eastAsia="Courier New" w:hAnsi="Courier New"/>
          <w:sz w:val="15"/>
          <w:szCs w:val="15"/>
          <w:color w:val="auto"/>
        </w:rPr>
        <w:t>Ps.</w:t>
      </w:r>
      <w:r>
        <w:rPr>
          <w:sz w:val="20"/>
          <w:szCs w:val="20"/>
          <w:color w:val="auto"/>
        </w:rPr>
        <w:tab/>
      </w:r>
      <w:r>
        <w:rPr>
          <w:rFonts w:ascii="Courier New" w:cs="Courier New" w:eastAsia="Courier New" w:hAnsi="Courier New"/>
          <w:sz w:val="15"/>
          <w:szCs w:val="15"/>
          <w:color w:val="auto"/>
        </w:rPr>
        <w:t>25</w:t>
      </w:r>
      <w:r>
        <w:rPr>
          <w:sz w:val="20"/>
          <w:szCs w:val="20"/>
          <w:color w:val="auto"/>
        </w:rPr>
        <w:tab/>
      </w:r>
      <w:r>
        <w:rPr>
          <w:rFonts w:ascii="Courier New" w:cs="Courier New" w:eastAsia="Courier New" w:hAnsi="Courier New"/>
          <w:sz w:val="15"/>
          <w:szCs w:val="15"/>
          <w:color w:val="auto"/>
        </w:rPr>
        <w:t>Ps.</w:t>
      </w:r>
      <w:r>
        <w:rPr>
          <w:sz w:val="20"/>
          <w:szCs w:val="20"/>
          <w:color w:val="auto"/>
        </w:rPr>
        <w:tab/>
      </w:r>
      <w:r>
        <w:rPr>
          <w:rFonts w:ascii="Courier New" w:cs="Courier New" w:eastAsia="Courier New" w:hAnsi="Courier New"/>
          <w:sz w:val="15"/>
          <w:szCs w:val="15"/>
          <w:color w:val="auto"/>
        </w:rPr>
        <w:t>24</w:t>
      </w:r>
    </w:p>
    <w:p>
      <w:pPr>
        <w:spacing w:after="0" w:line="5" w:lineRule="exact"/>
        <w:rPr>
          <w:sz w:val="20"/>
          <w:szCs w:val="20"/>
          <w:color w:val="auto"/>
        </w:rPr>
      </w:pPr>
    </w:p>
    <w:p>
      <w:pPr>
        <w:ind w:left="180" w:hanging="170"/>
        <w:spacing w:after="0"/>
        <w:tabs>
          <w:tab w:leader="none" w:pos="180"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314"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20" w:type="dxa"/>
            <w:vAlign w:val="bottom"/>
          </w:tcPr>
          <w:p>
            <w:pPr>
              <w:spacing w:after="0"/>
              <w:rPr>
                <w:sz w:val="20"/>
                <w:szCs w:val="20"/>
                <w:color w:val="auto"/>
              </w:rPr>
            </w:pPr>
            <w:r>
              <w:rPr>
                <w:rFonts w:ascii="Courier New" w:cs="Courier New" w:eastAsia="Courier New" w:hAnsi="Courier New"/>
                <w:sz w:val="15"/>
                <w:szCs w:val="15"/>
                <w:color w:val="auto"/>
              </w:rPr>
              <w:t>Pension Liability</w:t>
            </w:r>
          </w:p>
        </w:tc>
        <w:tc>
          <w:tcPr>
            <w:tcW w:w="4320" w:type="dxa"/>
            <w:vAlign w:val="bottom"/>
          </w:tcPr>
          <w:p>
            <w:pPr>
              <w:jc w:val="right"/>
              <w:ind w:right="567"/>
              <w:spacing w:after="0"/>
              <w:rPr>
                <w:sz w:val="20"/>
                <w:szCs w:val="20"/>
                <w:color w:val="auto"/>
              </w:rPr>
            </w:pPr>
            <w:r>
              <w:rPr>
                <w:rFonts w:ascii="Courier New" w:cs="Courier New" w:eastAsia="Courier New" w:hAnsi="Courier New"/>
                <w:sz w:val="15"/>
                <w:szCs w:val="15"/>
                <w:color w:val="auto"/>
              </w:rPr>
              <w:t>2002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2001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40" w:type="dxa"/>
            <w:vAlign w:val="bottom"/>
          </w:tcPr>
          <w:p>
            <w:pPr>
              <w:spacing w:after="0"/>
              <w:rPr>
                <w:sz w:val="20"/>
                <w:szCs w:val="20"/>
                <w:color w:val="auto"/>
              </w:rPr>
            </w:pPr>
            <w:r>
              <w:rPr>
                <w:rFonts w:ascii="Courier New" w:cs="Courier New" w:eastAsia="Courier New" w:hAnsi="Courier New"/>
                <w:sz w:val="15"/>
                <w:szCs w:val="15"/>
                <w:color w:val="auto"/>
              </w:rPr>
              <w:t>Projected benefit obligation</w:t>
            </w:r>
          </w:p>
        </w:tc>
        <w:tc>
          <w:tcPr>
            <w:tcW w:w="2660" w:type="dxa"/>
            <w:vAlign w:val="bottom"/>
          </w:tcPr>
          <w:p>
            <w:pPr>
              <w:ind w:left="2220"/>
              <w:spacing w:after="0"/>
              <w:rPr>
                <w:sz w:val="20"/>
                <w:szCs w:val="20"/>
                <w:color w:val="auto"/>
              </w:rPr>
            </w:pPr>
            <w:r>
              <w:rPr>
                <w:rFonts w:ascii="Courier New" w:cs="Courier New" w:eastAsia="Courier New" w:hAnsi="Courier New"/>
                <w:sz w:val="15"/>
                <w:szCs w:val="15"/>
                <w:color w:val="auto"/>
              </w:rPr>
              <w:t>Ps.</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2,488</w:t>
            </w:r>
          </w:p>
        </w:tc>
        <w:tc>
          <w:tcPr>
            <w:tcW w:w="640" w:type="dxa"/>
            <w:vAlign w:val="bottom"/>
          </w:tcPr>
          <w:p>
            <w:pPr>
              <w:ind w:left="220"/>
              <w:spacing w:after="0"/>
              <w:rPr>
                <w:sz w:val="20"/>
                <w:szCs w:val="20"/>
                <w:color w:val="auto"/>
              </w:rPr>
            </w:pPr>
            <w:r>
              <w:rPr>
                <w:rFonts w:ascii="Courier New" w:cs="Courier New" w:eastAsia="Courier New" w:hAnsi="Courier New"/>
                <w:sz w:val="15"/>
                <w:szCs w:val="15"/>
                <w:color w:val="auto"/>
              </w:rPr>
              <w:t>Ps.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2,232</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Pension plan funds at fair value</w:t>
            </w:r>
          </w:p>
        </w:tc>
        <w:tc>
          <w:tcPr>
            <w:tcW w:w="266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(1,581)</w:t>
            </w:r>
          </w:p>
        </w:tc>
        <w:tc>
          <w:tcPr>
            <w:tcW w:w="64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(1,559)</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00" w:type="dxa"/>
            <w:vAlign w:val="bottom"/>
            <w:gridSpan w:val="2"/>
          </w:tcPr>
          <w:p>
            <w:pPr>
              <w:spacing w:after="0"/>
              <w:rPr>
                <w:sz w:val="20"/>
                <w:szCs w:val="20"/>
                <w:color w:val="auto"/>
              </w:rPr>
            </w:pPr>
            <w:r>
              <w:rPr>
                <w:rFonts w:ascii="Courier New" w:cs="Courier New" w:eastAsia="Courier New" w:hAnsi="Courier New"/>
                <w:sz w:val="15"/>
                <w:szCs w:val="15"/>
                <w:color w:val="auto"/>
              </w:rPr>
              <w:t>Unfunded projected benefit obligation</w:t>
            </w:r>
          </w:p>
        </w:tc>
        <w:tc>
          <w:tcPr>
            <w:tcW w:w="34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907</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673</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Unrecognized</w:t>
            </w:r>
          </w:p>
        </w:tc>
        <w:tc>
          <w:tcPr>
            <w:tcW w:w="46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net transition obligation</w:t>
            </w:r>
          </w:p>
        </w:tc>
        <w:tc>
          <w:tcPr>
            <w:tcW w:w="34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(386)</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(441)</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Unrecognized</w:t>
            </w:r>
          </w:p>
        </w:tc>
        <w:tc>
          <w:tcPr>
            <w:tcW w:w="46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actuarial gain</w:t>
            </w:r>
          </w:p>
        </w:tc>
        <w:tc>
          <w:tcPr>
            <w:tcW w:w="34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217</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780" w:type="dxa"/>
            <w:vAlign w:val="bottom"/>
          </w:tcPr>
          <w:p>
            <w:pPr>
              <w:ind w:left="40"/>
              <w:spacing w:after="0"/>
              <w:rPr>
                <w:sz w:val="20"/>
                <w:szCs w:val="20"/>
                <w:color w:val="auto"/>
              </w:rPr>
            </w:pPr>
            <w:r>
              <w:rPr>
                <w:rFonts w:ascii="Courier New" w:cs="Courier New" w:eastAsia="Courier New" w:hAnsi="Courier New"/>
                <w:sz w:val="15"/>
                <w:szCs w:val="15"/>
                <w:color w:val="auto"/>
                <w:w w:val="99"/>
              </w:rPr>
              <w:t>unfunded</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accrued</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pension</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liability</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under</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US GAAP</w:t>
            </w:r>
          </w:p>
        </w:tc>
        <w:tc>
          <w:tcPr>
            <w:tcW w:w="1920" w:type="dxa"/>
            <w:vAlign w:val="bottom"/>
          </w:tcPr>
          <w:p>
            <w:pPr>
              <w:spacing w:after="0"/>
              <w:rPr>
                <w:sz w:val="14"/>
                <w:szCs w:val="14"/>
                <w:color w:val="auto"/>
              </w:rPr>
            </w:pPr>
          </w:p>
        </w:tc>
        <w:tc>
          <w:tcPr>
            <w:tcW w:w="25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521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449</w:t>
            </w:r>
          </w:p>
        </w:tc>
      </w:tr>
      <w:tr>
        <w:trPr>
          <w:trHeight w:val="168"/>
        </w:trPr>
        <w:tc>
          <w:tcPr>
            <w:tcW w:w="50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w:t>
            </w:r>
          </w:p>
        </w:tc>
        <w:tc>
          <w:tcPr>
            <w:tcW w:w="7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unfunded</w:t>
            </w:r>
          </w:p>
        </w:tc>
        <w:tc>
          <w:tcPr>
            <w:tcW w:w="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accrued</w:t>
            </w:r>
          </w:p>
        </w:tc>
        <w:tc>
          <w:tcPr>
            <w:tcW w:w="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pension</w:t>
            </w:r>
          </w:p>
        </w:tc>
        <w:tc>
          <w:tcPr>
            <w:tcW w:w="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liability</w:t>
            </w:r>
          </w:p>
        </w:tc>
        <w:tc>
          <w:tcPr>
            <w:tcW w:w="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under</w:t>
            </w:r>
          </w:p>
        </w:tc>
        <w:tc>
          <w:tcPr>
            <w:tcW w:w="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Mexican</w:t>
            </w:r>
          </w:p>
        </w:tc>
        <w:tc>
          <w:tcPr>
            <w:tcW w:w="1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GAAP</w:t>
            </w:r>
          </w:p>
        </w:tc>
        <w:tc>
          <w:tcPr>
            <w:tcW w:w="25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584</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527</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tabs>
          <w:tab w:leader="none" w:pos="7240" w:val="left"/>
          <w:tab w:leader="none" w:pos="8120" w:val="left"/>
          <w:tab w:leader="none" w:pos="8920" w:val="left"/>
          <w:tab w:leader="none" w:pos="9780" w:val="left"/>
        </w:tabs>
        <w:rPr>
          <w:sz w:val="20"/>
          <w:szCs w:val="20"/>
          <w:color w:val="auto"/>
        </w:rPr>
      </w:pPr>
      <w:r>
        <w:rPr>
          <w:rFonts w:ascii="Courier New" w:cs="Courier New" w:eastAsia="Courier New" w:hAnsi="Courier New"/>
          <w:sz w:val="15"/>
          <w:szCs w:val="15"/>
          <w:color w:val="auto"/>
        </w:rPr>
        <w:t>Liability that must be canceled under US GAAP</w:t>
      </w:r>
      <w:r>
        <w:rPr>
          <w:sz w:val="20"/>
          <w:szCs w:val="20"/>
          <w:color w:val="auto"/>
        </w:rPr>
        <w:tab/>
      </w:r>
      <w:r>
        <w:rPr>
          <w:rFonts w:ascii="Courier New" w:cs="Courier New" w:eastAsia="Courier New" w:hAnsi="Courier New"/>
          <w:sz w:val="15"/>
          <w:szCs w:val="15"/>
          <w:color w:val="auto"/>
        </w:rPr>
        <w:t>Ps.</w:t>
      </w:r>
      <w:r>
        <w:rPr>
          <w:sz w:val="20"/>
          <w:szCs w:val="20"/>
          <w:color w:val="auto"/>
        </w:rPr>
        <w:tab/>
      </w:r>
      <w:r>
        <w:rPr>
          <w:rFonts w:ascii="Courier New" w:cs="Courier New" w:eastAsia="Courier New" w:hAnsi="Courier New"/>
          <w:sz w:val="15"/>
          <w:szCs w:val="15"/>
          <w:color w:val="auto"/>
        </w:rPr>
        <w:t>(63)</w:t>
      </w:r>
      <w:r>
        <w:rPr>
          <w:sz w:val="20"/>
          <w:szCs w:val="20"/>
          <w:color w:val="auto"/>
        </w:rPr>
        <w:tab/>
      </w:r>
      <w:r>
        <w:rPr>
          <w:rFonts w:ascii="Courier New" w:cs="Courier New" w:eastAsia="Courier New" w:hAnsi="Courier New"/>
          <w:sz w:val="15"/>
          <w:szCs w:val="15"/>
          <w:color w:val="auto"/>
        </w:rPr>
        <w:t>Ps.</w:t>
      </w:r>
      <w:r>
        <w:rPr>
          <w:sz w:val="20"/>
          <w:szCs w:val="20"/>
          <w:color w:val="auto"/>
        </w:rPr>
        <w:tab/>
      </w:r>
      <w:r>
        <w:rPr>
          <w:rFonts w:ascii="Courier New" w:cs="Courier New" w:eastAsia="Courier New" w:hAnsi="Courier New"/>
          <w:sz w:val="15"/>
          <w:szCs w:val="15"/>
          <w:color w:val="auto"/>
        </w:rPr>
        <w:t>(78)</w:t>
      </w:r>
    </w:p>
    <w:p>
      <w:pPr>
        <w:spacing w:after="0" w:line="5" w:lineRule="exact"/>
        <w:rPr>
          <w:sz w:val="20"/>
          <w:szCs w:val="20"/>
          <w:color w:val="auto"/>
        </w:rPr>
      </w:pPr>
    </w:p>
    <w:p>
      <w:pPr>
        <w:ind w:left="180" w:hanging="170"/>
        <w:spacing w:after="0"/>
        <w:tabs>
          <w:tab w:leader="none" w:pos="180"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40" w:type="dxa"/>
            <w:vAlign w:val="bottom"/>
          </w:tcPr>
          <w:p>
            <w:pPr>
              <w:spacing w:after="0"/>
              <w:rPr>
                <w:sz w:val="20"/>
                <w:szCs w:val="20"/>
                <w:color w:val="auto"/>
              </w:rPr>
            </w:pPr>
            <w:r>
              <w:rPr>
                <w:rFonts w:ascii="Courier New" w:cs="Courier New" w:eastAsia="Courier New" w:hAnsi="Courier New"/>
                <w:sz w:val="15"/>
                <w:szCs w:val="15"/>
                <w:color w:val="auto"/>
              </w:rPr>
              <w:t>Change in Projected Benefit Obligation</w:t>
            </w:r>
          </w:p>
        </w:tc>
        <w:tc>
          <w:tcPr>
            <w:tcW w:w="3400" w:type="dxa"/>
            <w:vAlign w:val="bottom"/>
          </w:tcPr>
          <w:p>
            <w:pPr>
              <w:jc w:val="right"/>
              <w:ind w:right="567"/>
              <w:spacing w:after="0"/>
              <w:rPr>
                <w:sz w:val="20"/>
                <w:szCs w:val="20"/>
                <w:color w:val="auto"/>
              </w:rPr>
            </w:pPr>
            <w:r>
              <w:rPr>
                <w:rFonts w:ascii="Courier New" w:cs="Courier New" w:eastAsia="Courier New" w:hAnsi="Courier New"/>
                <w:sz w:val="15"/>
                <w:szCs w:val="15"/>
                <w:color w:val="auto"/>
              </w:rPr>
              <w:t>2002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2001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80" w:type="dxa"/>
            <w:vAlign w:val="bottom"/>
          </w:tcPr>
          <w:p>
            <w:pPr>
              <w:spacing w:after="0"/>
              <w:rPr>
                <w:sz w:val="20"/>
                <w:szCs w:val="20"/>
                <w:color w:val="auto"/>
              </w:rPr>
            </w:pPr>
            <w:r>
              <w:rPr>
                <w:rFonts w:ascii="Courier New" w:cs="Courier New" w:eastAsia="Courier New" w:hAnsi="Courier New"/>
                <w:sz w:val="15"/>
                <w:szCs w:val="15"/>
                <w:color w:val="auto"/>
              </w:rPr>
              <w:t>Obligation at the beginning of the year</w:t>
            </w:r>
          </w:p>
        </w:tc>
        <w:tc>
          <w:tcPr>
            <w:tcW w:w="2380" w:type="dxa"/>
            <w:vAlign w:val="bottom"/>
          </w:tcPr>
          <w:p>
            <w:pPr>
              <w:ind w:left="1800"/>
              <w:spacing w:after="0"/>
              <w:rPr>
                <w:sz w:val="20"/>
                <w:szCs w:val="20"/>
                <w:color w:val="auto"/>
              </w:rPr>
            </w:pPr>
            <w:r>
              <w:rPr>
                <w:rFonts w:ascii="Courier New" w:cs="Courier New" w:eastAsia="Courier New" w:hAnsi="Courier New"/>
                <w:sz w:val="15"/>
                <w:szCs w:val="15"/>
                <w:color w:val="auto"/>
              </w:rPr>
              <w:t>Ps.</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2,232</w:t>
            </w:r>
          </w:p>
        </w:tc>
        <w:tc>
          <w:tcPr>
            <w:tcW w:w="740" w:type="dxa"/>
            <w:vAlign w:val="bottom"/>
          </w:tcPr>
          <w:p>
            <w:pPr>
              <w:ind w:left="220"/>
              <w:spacing w:after="0"/>
              <w:rPr>
                <w:sz w:val="20"/>
                <w:szCs w:val="20"/>
                <w:color w:val="auto"/>
              </w:rPr>
            </w:pPr>
            <w:r>
              <w:rPr>
                <w:rFonts w:ascii="Courier New" w:cs="Courier New" w:eastAsia="Courier New" w:hAnsi="Courier New"/>
                <w:sz w:val="15"/>
                <w:szCs w:val="15"/>
                <w:color w:val="auto"/>
              </w:rPr>
              <w:t>Ps.</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2,501</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Service cost</w:t>
            </w:r>
          </w:p>
        </w:tc>
        <w:tc>
          <w:tcPr>
            <w:tcW w:w="238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72</w:t>
            </w:r>
          </w:p>
        </w:tc>
        <w:tc>
          <w:tcPr>
            <w:tcW w:w="7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cost</w:t>
            </w:r>
          </w:p>
        </w:tc>
        <w:tc>
          <w:tcPr>
            <w:tcW w:w="238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129</w:t>
            </w:r>
          </w:p>
        </w:tc>
        <w:tc>
          <w:tcPr>
            <w:tcW w:w="7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117</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Actuarial loss</w:t>
            </w:r>
          </w:p>
        </w:tc>
        <w:tc>
          <w:tcPr>
            <w:tcW w:w="238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165</w:t>
            </w:r>
          </w:p>
        </w:tc>
        <w:tc>
          <w:tcPr>
            <w:tcW w:w="7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142</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Adjustment in projected benefit (Note 14)</w:t>
            </w:r>
          </w:p>
        </w:tc>
        <w:tc>
          <w:tcPr>
            <w:tcW w:w="238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(444)</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Benefits paid on pension plan funds</w:t>
            </w:r>
          </w:p>
        </w:tc>
        <w:tc>
          <w:tcPr>
            <w:tcW w:w="238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(110)</w:t>
            </w:r>
          </w:p>
        </w:tc>
        <w:tc>
          <w:tcPr>
            <w:tcW w:w="7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(147)</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tabs>
          <w:tab w:leader="none" w:pos="7160" w:val="left"/>
          <w:tab w:leader="none" w:pos="8040" w:val="left"/>
          <w:tab w:leader="none" w:pos="8920" w:val="left"/>
          <w:tab w:leader="none" w:pos="9700" w:val="left"/>
        </w:tabs>
        <w:rPr>
          <w:sz w:val="20"/>
          <w:szCs w:val="20"/>
          <w:color w:val="auto"/>
        </w:rPr>
      </w:pPr>
      <w:r>
        <w:rPr>
          <w:rFonts w:ascii="Courier New" w:cs="Courier New" w:eastAsia="Courier New" w:hAnsi="Courier New"/>
          <w:sz w:val="15"/>
          <w:szCs w:val="15"/>
          <w:color w:val="auto"/>
        </w:rPr>
        <w:t>Obligation at the end of the year</w:t>
      </w:r>
      <w:r>
        <w:rPr>
          <w:sz w:val="20"/>
          <w:szCs w:val="20"/>
          <w:color w:val="auto"/>
        </w:rPr>
        <w:tab/>
      </w:r>
      <w:r>
        <w:rPr>
          <w:rFonts w:ascii="Courier New" w:cs="Courier New" w:eastAsia="Courier New" w:hAnsi="Courier New"/>
          <w:sz w:val="15"/>
          <w:szCs w:val="15"/>
          <w:color w:val="auto"/>
        </w:rPr>
        <w:t>Ps.</w:t>
      </w:r>
      <w:r>
        <w:rPr>
          <w:sz w:val="20"/>
          <w:szCs w:val="20"/>
          <w:color w:val="auto"/>
        </w:rPr>
        <w:tab/>
      </w:r>
      <w:r>
        <w:rPr>
          <w:rFonts w:ascii="Courier New" w:cs="Courier New" w:eastAsia="Courier New" w:hAnsi="Courier New"/>
          <w:sz w:val="15"/>
          <w:szCs w:val="15"/>
          <w:color w:val="auto"/>
        </w:rPr>
        <w:t>2,488</w:t>
      </w:r>
      <w:r>
        <w:rPr>
          <w:sz w:val="20"/>
          <w:szCs w:val="20"/>
          <w:color w:val="auto"/>
        </w:rPr>
        <w:tab/>
      </w:r>
      <w:r>
        <w:rPr>
          <w:rFonts w:ascii="Courier New" w:cs="Courier New" w:eastAsia="Courier New" w:hAnsi="Courier New"/>
          <w:sz w:val="15"/>
          <w:szCs w:val="15"/>
          <w:color w:val="auto"/>
        </w:rPr>
        <w:t>Ps.</w:t>
      </w:r>
      <w:r>
        <w:rPr>
          <w:sz w:val="20"/>
          <w:szCs w:val="20"/>
          <w:color w:val="auto"/>
        </w:rPr>
        <w:tab/>
      </w:r>
      <w:r>
        <w:rPr>
          <w:rFonts w:ascii="Courier New" w:cs="Courier New" w:eastAsia="Courier New" w:hAnsi="Courier New"/>
          <w:sz w:val="14"/>
          <w:szCs w:val="14"/>
          <w:color w:val="auto"/>
        </w:rPr>
        <w:t>2,232</w:t>
      </w:r>
    </w:p>
    <w:p>
      <w:pPr>
        <w:spacing w:after="0" w:line="5" w:lineRule="exact"/>
        <w:rPr>
          <w:sz w:val="20"/>
          <w:szCs w:val="20"/>
          <w:color w:val="auto"/>
        </w:rPr>
      </w:pPr>
    </w:p>
    <w:p>
      <w:pPr>
        <w:ind w:left="180" w:hanging="170"/>
        <w:spacing w:after="0"/>
        <w:tabs>
          <w:tab w:leader="none" w:pos="180"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00" w:type="dxa"/>
            <w:vAlign w:val="bottom"/>
          </w:tcPr>
          <w:p>
            <w:pPr>
              <w:spacing w:after="0"/>
              <w:rPr>
                <w:sz w:val="20"/>
                <w:szCs w:val="20"/>
                <w:color w:val="auto"/>
              </w:rPr>
            </w:pPr>
            <w:r>
              <w:rPr>
                <w:rFonts w:ascii="Courier New" w:cs="Courier New" w:eastAsia="Courier New" w:hAnsi="Courier New"/>
                <w:sz w:val="15"/>
                <w:szCs w:val="15"/>
                <w:color w:val="auto"/>
              </w:rPr>
              <w:t>Change in Pension Plan Funds</w:t>
            </w:r>
          </w:p>
        </w:tc>
        <w:tc>
          <w:tcPr>
            <w:tcW w:w="3840" w:type="dxa"/>
            <w:vAlign w:val="bottom"/>
          </w:tcPr>
          <w:p>
            <w:pPr>
              <w:jc w:val="right"/>
              <w:ind w:right="567"/>
              <w:spacing w:after="0"/>
              <w:rPr>
                <w:sz w:val="20"/>
                <w:szCs w:val="20"/>
                <w:color w:val="auto"/>
              </w:rPr>
            </w:pPr>
            <w:r>
              <w:rPr>
                <w:rFonts w:ascii="Courier New" w:cs="Courier New" w:eastAsia="Courier New" w:hAnsi="Courier New"/>
                <w:sz w:val="15"/>
                <w:szCs w:val="15"/>
                <w:color w:val="auto"/>
              </w:rPr>
              <w:t>2002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2001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80" w:type="dxa"/>
            <w:vAlign w:val="bottom"/>
          </w:tcPr>
          <w:p>
            <w:pPr>
              <w:spacing w:after="0"/>
              <w:rPr>
                <w:sz w:val="20"/>
                <w:szCs w:val="20"/>
                <w:color w:val="auto"/>
              </w:rPr>
            </w:pPr>
            <w:r>
              <w:rPr>
                <w:rFonts w:ascii="Courier New" w:cs="Courier New" w:eastAsia="Courier New" w:hAnsi="Courier New"/>
                <w:sz w:val="15"/>
                <w:szCs w:val="15"/>
                <w:color w:val="auto"/>
              </w:rPr>
              <w:t>Balance at the beginning of the year</w:t>
            </w:r>
          </w:p>
        </w:tc>
        <w:tc>
          <w:tcPr>
            <w:tcW w:w="2280" w:type="dxa"/>
            <w:vAlign w:val="bottom"/>
          </w:tcPr>
          <w:p>
            <w:pPr>
              <w:ind w:left="1700"/>
              <w:spacing w:after="0"/>
              <w:rPr>
                <w:sz w:val="20"/>
                <w:szCs w:val="20"/>
                <w:color w:val="auto"/>
              </w:rPr>
            </w:pPr>
            <w:r>
              <w:rPr>
                <w:rFonts w:ascii="Courier New" w:cs="Courier New" w:eastAsia="Courier New" w:hAnsi="Courier New"/>
                <w:sz w:val="15"/>
                <w:szCs w:val="15"/>
                <w:color w:val="auto"/>
              </w:rPr>
              <w:t>Ps.</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1,559</w:t>
            </w:r>
          </w:p>
        </w:tc>
        <w:tc>
          <w:tcPr>
            <w:tcW w:w="740" w:type="dxa"/>
            <w:vAlign w:val="bottom"/>
          </w:tcPr>
          <w:p>
            <w:pPr>
              <w:ind w:left="220"/>
              <w:spacing w:after="0"/>
              <w:rPr>
                <w:sz w:val="20"/>
                <w:szCs w:val="20"/>
                <w:color w:val="auto"/>
              </w:rPr>
            </w:pPr>
            <w:r>
              <w:rPr>
                <w:rFonts w:ascii="Courier New" w:cs="Courier New" w:eastAsia="Courier New" w:hAnsi="Courier New"/>
                <w:sz w:val="15"/>
                <w:szCs w:val="15"/>
                <w:color w:val="auto"/>
              </w:rPr>
              <w:t>Ps.</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1,512</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Actual return on plan assets in real terms</w:t>
            </w:r>
          </w:p>
        </w:tc>
        <w:tc>
          <w:tcPr>
            <w:tcW w:w="228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93</w:t>
            </w:r>
          </w:p>
        </w:tc>
        <w:tc>
          <w:tcPr>
            <w:tcW w:w="7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91</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Actuarial gain</w:t>
            </w:r>
          </w:p>
        </w:tc>
        <w:tc>
          <w:tcPr>
            <w:tcW w:w="228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w:t>
            </w:r>
          </w:p>
        </w:tc>
        <w:tc>
          <w:tcPr>
            <w:tcW w:w="7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Employer contribution on pension plan funds</w:t>
            </w:r>
          </w:p>
        </w:tc>
        <w:tc>
          <w:tcPr>
            <w:tcW w:w="228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Benefits paid on pension plan funds</w:t>
            </w:r>
          </w:p>
        </w:tc>
        <w:tc>
          <w:tcPr>
            <w:tcW w:w="228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(110)</w:t>
            </w:r>
          </w:p>
        </w:tc>
        <w:tc>
          <w:tcPr>
            <w:tcW w:w="7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(147)</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tabs>
          <w:tab w:leader="none" w:pos="7160" w:val="left"/>
          <w:tab w:leader="none" w:pos="8040" w:val="left"/>
          <w:tab w:leader="none" w:pos="8920" w:val="left"/>
          <w:tab w:leader="none" w:pos="9700" w:val="left"/>
        </w:tabs>
        <w:rPr>
          <w:sz w:val="20"/>
          <w:szCs w:val="20"/>
          <w:color w:val="auto"/>
        </w:rPr>
      </w:pPr>
      <w:r>
        <w:rPr>
          <w:rFonts w:ascii="Courier New" w:cs="Courier New" w:eastAsia="Courier New" w:hAnsi="Courier New"/>
          <w:sz w:val="15"/>
          <w:szCs w:val="15"/>
          <w:color w:val="auto"/>
        </w:rPr>
        <w:t>Balance at the end of the year</w:t>
      </w:r>
      <w:r>
        <w:rPr>
          <w:sz w:val="20"/>
          <w:szCs w:val="20"/>
          <w:color w:val="auto"/>
        </w:rPr>
        <w:tab/>
      </w:r>
      <w:r>
        <w:rPr>
          <w:rFonts w:ascii="Courier New" w:cs="Courier New" w:eastAsia="Courier New" w:hAnsi="Courier New"/>
          <w:sz w:val="15"/>
          <w:szCs w:val="15"/>
          <w:color w:val="auto"/>
        </w:rPr>
        <w:t>Ps.</w:t>
      </w:r>
      <w:r>
        <w:rPr>
          <w:sz w:val="20"/>
          <w:szCs w:val="20"/>
          <w:color w:val="auto"/>
        </w:rPr>
        <w:tab/>
      </w:r>
      <w:r>
        <w:rPr>
          <w:rFonts w:ascii="Courier New" w:cs="Courier New" w:eastAsia="Courier New" w:hAnsi="Courier New"/>
          <w:sz w:val="15"/>
          <w:szCs w:val="15"/>
          <w:color w:val="auto"/>
        </w:rPr>
        <w:t>1,581</w:t>
      </w:r>
      <w:r>
        <w:rPr>
          <w:sz w:val="20"/>
          <w:szCs w:val="20"/>
          <w:color w:val="auto"/>
        </w:rPr>
        <w:tab/>
      </w:r>
      <w:r>
        <w:rPr>
          <w:rFonts w:ascii="Courier New" w:cs="Courier New" w:eastAsia="Courier New" w:hAnsi="Courier New"/>
          <w:sz w:val="15"/>
          <w:szCs w:val="15"/>
          <w:color w:val="auto"/>
        </w:rPr>
        <w:t>Ps.</w:t>
      </w:r>
      <w:r>
        <w:rPr>
          <w:sz w:val="20"/>
          <w:szCs w:val="20"/>
          <w:color w:val="auto"/>
        </w:rPr>
        <w:tab/>
      </w:r>
      <w:r>
        <w:rPr>
          <w:rFonts w:ascii="Courier New" w:cs="Courier New" w:eastAsia="Courier New" w:hAnsi="Courier New"/>
          <w:sz w:val="14"/>
          <w:szCs w:val="14"/>
          <w:color w:val="auto"/>
        </w:rPr>
        <w:t>1,559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0"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5"/>
          <w:szCs w:val="15"/>
          <w:color w:val="auto"/>
        </w:rPr>
        <w:t>k)</w:t>
        <w:tab/>
        <w:t>Minority Interest:</w:t>
      </w:r>
    </w:p>
    <w:p>
      <w:pPr>
        <w:spacing w:after="0" w:line="173" w:lineRule="exact"/>
        <w:rPr>
          <w:sz w:val="20"/>
          <w:szCs w:val="20"/>
          <w:color w:val="auto"/>
        </w:rPr>
      </w:pPr>
    </w:p>
    <w:p>
      <w:pPr>
        <w:ind w:left="360" w:right="3680"/>
        <w:spacing w:after="0" w:line="235" w:lineRule="auto"/>
        <w:rPr>
          <w:sz w:val="20"/>
          <w:szCs w:val="20"/>
          <w:color w:val="auto"/>
        </w:rPr>
      </w:pPr>
      <w:r>
        <w:rPr>
          <w:rFonts w:ascii="Courier New" w:cs="Courier New" w:eastAsia="Courier New" w:hAnsi="Courier New"/>
          <w:sz w:val="15"/>
          <w:szCs w:val="15"/>
          <w:color w:val="auto"/>
        </w:rPr>
        <w:t>Under Mexican GAAP, the minority interest in consolidated subsidiaries is presented as a separate component within stockholders' equity in the consolidated balance sheet.</w:t>
      </w:r>
    </w:p>
    <w:p>
      <w:pPr>
        <w:spacing w:after="0" w:line="174" w:lineRule="exact"/>
        <w:rPr>
          <w:sz w:val="20"/>
          <w:szCs w:val="20"/>
          <w:color w:val="auto"/>
        </w:rPr>
      </w:pPr>
    </w:p>
    <w:p>
      <w:pPr>
        <w:ind w:left="360" w:right="3580"/>
        <w:spacing w:after="0" w:line="235" w:lineRule="auto"/>
        <w:rPr>
          <w:sz w:val="20"/>
          <w:szCs w:val="20"/>
          <w:color w:val="auto"/>
        </w:rPr>
      </w:pPr>
      <w:r>
        <w:rPr>
          <w:rFonts w:ascii="Courier New" w:cs="Courier New" w:eastAsia="Courier New" w:hAnsi="Courier New"/>
          <w:sz w:val="15"/>
          <w:szCs w:val="15"/>
          <w:color w:val="auto"/>
        </w:rPr>
        <w:t>Under US GAAP, this item must be excluded from consolidated stockholders' equity in the consolidated balance sheet. Additionally, the minority interest in the net earnings of consolidated subsidiaries is excluded from consolidated net income.</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F-39</w:t>
      </w:r>
    </w:p>
    <w:p>
      <w:pPr>
        <w:sectPr>
          <w:pgSz w:w="11900" w:h="16838" w:orient="portrait"/>
          <w:cols w:equalWidth="0" w:num="1">
            <w:col w:w="10420"/>
          </w:cols>
          <w:pgMar w:left="220" w:top="786" w:right="1259" w:bottom="1440" w:gutter="0" w:footer="0" w:header="0"/>
        </w:sectPr>
      </w:pPr>
    </w:p>
    <w:bookmarkStart w:id="202" w:name="page203"/>
    <w:bookmarkEnd w:id="202"/>
    <w:p>
      <w:pPr>
        <w:ind w:left="360" w:right="3500"/>
        <w:spacing w:after="0" w:line="235" w:lineRule="auto"/>
        <w:rPr>
          <w:sz w:val="20"/>
          <w:szCs w:val="20"/>
          <w:color w:val="auto"/>
        </w:rPr>
      </w:pPr>
      <w:r>
        <w:rPr>
          <w:rFonts w:ascii="Courier New" w:cs="Courier New" w:eastAsia="Courier New" w:hAnsi="Courier New"/>
          <w:sz w:val="15"/>
          <w:szCs w:val="15"/>
          <w:color w:val="auto"/>
        </w:rPr>
        <w:t>The US GAAP adjustments shown in Note 25 a) and b) are calculated on a consolidated basis. Therefore, the minority interest effect is presented as a separate line item, in order to obtain net income and stockholders' equity.</w:t>
      </w:r>
    </w:p>
    <w:p>
      <w:pPr>
        <w:spacing w:after="0" w:line="169"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The minority interest in US GAAP adjustments is as follows:</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40" w:type="dxa"/>
            <w:vAlign w:val="bottom"/>
          </w:tcPr>
          <w:p>
            <w:pPr>
              <w:spacing w:after="0"/>
              <w:rPr>
                <w:sz w:val="20"/>
                <w:szCs w:val="20"/>
                <w:color w:val="auto"/>
              </w:rPr>
            </w:pPr>
            <w:r>
              <w:rPr>
                <w:rFonts w:ascii="Courier New" w:cs="Courier New" w:eastAsia="Courier New" w:hAnsi="Courier New"/>
                <w:sz w:val="15"/>
                <w:szCs w:val="15"/>
                <w:color w:val="auto"/>
              </w:rPr>
              <w:t>Income Statement</w:t>
            </w:r>
          </w:p>
        </w:tc>
        <w:tc>
          <w:tcPr>
            <w:tcW w:w="3540" w:type="dxa"/>
            <w:vAlign w:val="bottom"/>
          </w:tcPr>
          <w:p>
            <w:pPr>
              <w:jc w:val="right"/>
              <w:ind w:right="567"/>
              <w:spacing w:after="0"/>
              <w:rPr>
                <w:sz w:val="20"/>
                <w:szCs w:val="20"/>
                <w:color w:val="auto"/>
              </w:rPr>
            </w:pPr>
            <w:r>
              <w:rPr>
                <w:rFonts w:ascii="Courier New" w:cs="Courier New" w:eastAsia="Courier New" w:hAnsi="Courier New"/>
                <w:sz w:val="15"/>
                <w:szCs w:val="15"/>
                <w:color w:val="auto"/>
              </w:rPr>
              <w:t>2002</w:t>
            </w:r>
          </w:p>
        </w:tc>
        <w:tc>
          <w:tcPr>
            <w:tcW w:w="1660" w:type="dxa"/>
            <w:vAlign w:val="bottom"/>
          </w:tcPr>
          <w:p>
            <w:pPr>
              <w:jc w:val="right"/>
              <w:ind w:right="567"/>
              <w:spacing w:after="0"/>
              <w:rPr>
                <w:sz w:val="20"/>
                <w:szCs w:val="20"/>
                <w:color w:val="auto"/>
              </w:rPr>
            </w:pPr>
            <w:r>
              <w:rPr>
                <w:rFonts w:ascii="Courier New" w:cs="Courier New" w:eastAsia="Courier New" w:hAnsi="Courier New"/>
                <w:sz w:val="15"/>
                <w:szCs w:val="15"/>
                <w:color w:val="auto"/>
              </w:rPr>
              <w:t>2001</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0" w:type="dxa"/>
            <w:vAlign w:val="bottom"/>
          </w:tcPr>
          <w:p>
            <w:pPr>
              <w:spacing w:after="0"/>
              <w:rPr>
                <w:sz w:val="20"/>
                <w:szCs w:val="20"/>
                <w:color w:val="auto"/>
              </w:rPr>
            </w:pPr>
            <w:r>
              <w:rPr>
                <w:rFonts w:ascii="Courier New" w:cs="Courier New" w:eastAsia="Courier New" w:hAnsi="Courier New"/>
                <w:sz w:val="15"/>
                <w:szCs w:val="15"/>
                <w:color w:val="auto"/>
              </w:rPr>
              <w:t>Restatement of imported machinery and equipment</w:t>
            </w:r>
          </w:p>
        </w:tc>
        <w:tc>
          <w:tcPr>
            <w:tcW w:w="1140" w:type="dxa"/>
            <w:vAlign w:val="bottom"/>
          </w:tcPr>
          <w:p>
            <w:pPr>
              <w:ind w:left="600"/>
              <w:spacing w:after="0"/>
              <w:rPr>
                <w:sz w:val="20"/>
                <w:szCs w:val="20"/>
                <w:color w:val="auto"/>
              </w:rPr>
            </w:pPr>
            <w:r>
              <w:rPr>
                <w:rFonts w:ascii="Courier New" w:cs="Courier New" w:eastAsia="Courier New" w:hAnsi="Courier New"/>
                <w:sz w:val="15"/>
                <w:szCs w:val="15"/>
                <w:color w:val="auto"/>
              </w:rPr>
              <w:t>Ps.</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w:t>
            </w:r>
          </w:p>
        </w:tc>
        <w:tc>
          <w:tcPr>
            <w:tcW w:w="860" w:type="dxa"/>
            <w:vAlign w:val="bottom"/>
          </w:tcPr>
          <w:p>
            <w:pPr>
              <w:ind w:left="200"/>
              <w:spacing w:after="0"/>
              <w:rPr>
                <w:sz w:val="20"/>
                <w:szCs w:val="20"/>
                <w:color w:val="auto"/>
              </w:rPr>
            </w:pPr>
            <w:r>
              <w:rPr>
                <w:rFonts w:ascii="Courier New" w:cs="Courier New" w:eastAsia="Courier New" w:hAnsi="Courier New"/>
                <w:sz w:val="15"/>
                <w:szCs w:val="15"/>
                <w:color w:val="auto"/>
              </w:rPr>
              <w:t>Ps.</w:t>
            </w: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13</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Ps.</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Capitalization of the integral result of financing</w:t>
            </w:r>
          </w:p>
        </w:tc>
        <w:tc>
          <w:tcPr>
            <w:tcW w:w="114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w:t>
            </w:r>
          </w:p>
        </w:tc>
        <w:tc>
          <w:tcPr>
            <w:tcW w:w="860" w:type="dxa"/>
            <w:vAlign w:val="bottom"/>
          </w:tcPr>
          <w:p>
            <w:pPr>
              <w:spacing w:after="0"/>
              <w:rPr>
                <w:sz w:val="14"/>
                <w:szCs w:val="14"/>
                <w:color w:val="auto"/>
              </w:rPr>
            </w:pP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Financial instruments</w:t>
            </w:r>
          </w:p>
        </w:tc>
        <w:tc>
          <w:tcPr>
            <w:tcW w:w="114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w:t>
            </w:r>
          </w:p>
        </w:tc>
        <w:tc>
          <w:tcPr>
            <w:tcW w:w="860" w:type="dxa"/>
            <w:vAlign w:val="bottom"/>
          </w:tcPr>
          <w:p>
            <w:pPr>
              <w:spacing w:after="0"/>
              <w:rPr>
                <w:sz w:val="14"/>
                <w:szCs w:val="14"/>
                <w:color w:val="auto"/>
              </w:rPr>
            </w:pP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114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(103)</w:t>
            </w:r>
          </w:p>
        </w:tc>
        <w:tc>
          <w:tcPr>
            <w:tcW w:w="860" w:type="dxa"/>
            <w:vAlign w:val="bottom"/>
          </w:tcPr>
          <w:p>
            <w:pPr>
              <w:spacing w:after="0"/>
              <w:rPr>
                <w:sz w:val="14"/>
                <w:szCs w:val="14"/>
                <w:color w:val="auto"/>
              </w:rPr>
            </w:pP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40</w:t>
            </w:r>
          </w:p>
        </w:tc>
        <w:tc>
          <w:tcPr>
            <w:tcW w:w="8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employee profit sharing</w:t>
            </w:r>
          </w:p>
        </w:tc>
        <w:tc>
          <w:tcPr>
            <w:tcW w:w="114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w:t>
            </w:r>
          </w:p>
        </w:tc>
        <w:tc>
          <w:tcPr>
            <w:tcW w:w="860" w:type="dxa"/>
            <w:vAlign w:val="bottom"/>
          </w:tcPr>
          <w:p>
            <w:pPr>
              <w:spacing w:after="0"/>
              <w:rPr>
                <w:sz w:val="14"/>
                <w:szCs w:val="14"/>
                <w:color w:val="auto"/>
              </w:rPr>
            </w:pP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31</w:t>
            </w:r>
          </w:p>
        </w:tc>
        <w:tc>
          <w:tcPr>
            <w:tcW w:w="8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Goodwill</w:t>
            </w:r>
          </w:p>
        </w:tc>
        <w:tc>
          <w:tcPr>
            <w:tcW w:w="114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w:t>
            </w:r>
          </w:p>
        </w:tc>
        <w:tc>
          <w:tcPr>
            <w:tcW w:w="860" w:type="dxa"/>
            <w:vAlign w:val="bottom"/>
          </w:tcPr>
          <w:p>
            <w:pPr>
              <w:spacing w:after="0"/>
              <w:rPr>
                <w:sz w:val="14"/>
                <w:szCs w:val="14"/>
                <w:color w:val="auto"/>
              </w:rPr>
            </w:pP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Pension plan cost</w:t>
            </w:r>
          </w:p>
        </w:tc>
        <w:tc>
          <w:tcPr>
            <w:tcW w:w="114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w:t>
            </w:r>
          </w:p>
        </w:tc>
        <w:tc>
          <w:tcPr>
            <w:tcW w:w="860" w:type="dxa"/>
            <w:vAlign w:val="bottom"/>
          </w:tcPr>
          <w:p>
            <w:pPr>
              <w:spacing w:after="0"/>
              <w:rPr>
                <w:sz w:val="14"/>
                <w:szCs w:val="14"/>
                <w:color w:val="auto"/>
              </w:rPr>
            </w:pP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w:t>
            </w:r>
          </w:p>
        </w:tc>
        <w:tc>
          <w:tcPr>
            <w:tcW w:w="8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86</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promotional expense</w:t>
            </w:r>
          </w:p>
        </w:tc>
        <w:tc>
          <w:tcPr>
            <w:tcW w:w="114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w:t>
            </w:r>
          </w:p>
        </w:tc>
        <w:tc>
          <w:tcPr>
            <w:tcW w:w="860" w:type="dxa"/>
            <w:vAlign w:val="bottom"/>
          </w:tcPr>
          <w:p>
            <w:pPr>
              <w:spacing w:after="0"/>
              <w:rPr>
                <w:sz w:val="14"/>
                <w:szCs w:val="14"/>
                <w:color w:val="auto"/>
              </w:rPr>
            </w:pP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5600"/>
        <w:spacing w:after="0"/>
        <w:tabs>
          <w:tab w:leader="none" w:pos="6460" w:val="left"/>
          <w:tab w:leader="none" w:pos="7240" w:val="left"/>
          <w:tab w:leader="none" w:pos="8300" w:val="left"/>
          <w:tab w:leader="none" w:pos="8820" w:val="left"/>
          <w:tab w:leader="none" w:pos="9780" w:val="left"/>
        </w:tabs>
        <w:rPr>
          <w:sz w:val="20"/>
          <w:szCs w:val="20"/>
          <w:color w:val="auto"/>
        </w:rPr>
      </w:pPr>
      <w:r>
        <w:rPr>
          <w:rFonts w:ascii="Courier New" w:cs="Courier New" w:eastAsia="Courier New" w:hAnsi="Courier New"/>
          <w:sz w:val="15"/>
          <w:szCs w:val="15"/>
          <w:color w:val="auto"/>
        </w:rPr>
        <w:t>Ps.</w:t>
      </w:r>
      <w:r>
        <w:rPr>
          <w:sz w:val="20"/>
          <w:szCs w:val="20"/>
          <w:color w:val="auto"/>
        </w:rPr>
        <w:tab/>
      </w:r>
      <w:r>
        <w:rPr>
          <w:rFonts w:ascii="Courier New" w:cs="Courier New" w:eastAsia="Courier New" w:hAnsi="Courier New"/>
          <w:sz w:val="15"/>
          <w:szCs w:val="15"/>
          <w:color w:val="auto"/>
        </w:rPr>
        <w:t>(28)</w:t>
      </w:r>
      <w:r>
        <w:rPr>
          <w:sz w:val="20"/>
          <w:szCs w:val="20"/>
          <w:color w:val="auto"/>
        </w:rPr>
        <w:tab/>
      </w:r>
      <w:r>
        <w:rPr>
          <w:rFonts w:ascii="Courier New" w:cs="Courier New" w:eastAsia="Courier New" w:hAnsi="Courier New"/>
          <w:sz w:val="15"/>
          <w:szCs w:val="15"/>
          <w:color w:val="auto"/>
        </w:rPr>
        <w:t>Ps.</w:t>
      </w:r>
      <w:r>
        <w:rPr>
          <w:sz w:val="20"/>
          <w:szCs w:val="20"/>
          <w:color w:val="auto"/>
        </w:rPr>
        <w:tab/>
      </w:r>
      <w:r>
        <w:rPr>
          <w:rFonts w:ascii="Courier New" w:cs="Courier New" w:eastAsia="Courier New" w:hAnsi="Courier New"/>
          <w:sz w:val="15"/>
          <w:szCs w:val="15"/>
          <w:color w:val="auto"/>
        </w:rPr>
        <w:t>87</w:t>
      </w:r>
      <w:r>
        <w:rPr>
          <w:sz w:val="20"/>
          <w:szCs w:val="20"/>
          <w:color w:val="auto"/>
        </w:rPr>
        <w:tab/>
      </w:r>
      <w:r>
        <w:rPr>
          <w:rFonts w:ascii="Courier New" w:cs="Courier New" w:eastAsia="Courier New" w:hAnsi="Courier New"/>
          <w:sz w:val="15"/>
          <w:szCs w:val="15"/>
          <w:color w:val="auto"/>
        </w:rPr>
        <w:t>Ps.</w:t>
      </w:r>
      <w:r>
        <w:rPr>
          <w:sz w:val="20"/>
          <w:szCs w:val="20"/>
          <w:color w:val="auto"/>
        </w:rPr>
        <w:tab/>
      </w:r>
      <w:r>
        <w:rPr>
          <w:rFonts w:ascii="Courier New" w:cs="Courier New" w:eastAsia="Courier New" w:hAnsi="Courier New"/>
          <w:sz w:val="15"/>
          <w:szCs w:val="15"/>
          <w:color w:val="auto"/>
        </w:rPr>
        <w:t>(28)</w:t>
      </w:r>
    </w:p>
    <w:p>
      <w:pPr>
        <w:spacing w:after="0" w:line="5" w:lineRule="exact"/>
        <w:rPr>
          <w:sz w:val="20"/>
          <w:szCs w:val="20"/>
          <w:color w:val="auto"/>
        </w:rPr>
      </w:pPr>
    </w:p>
    <w:p>
      <w:pPr>
        <w:ind w:left="180" w:hanging="170"/>
        <w:spacing w:after="0"/>
        <w:tabs>
          <w:tab w:leader="none" w:pos="180" w:val="left"/>
        </w:tabs>
        <w:numPr>
          <w:ilvl w:val="0"/>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6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4180" w:type="dxa"/>
            <w:vAlign w:val="bottom"/>
          </w:tcPr>
          <w:p>
            <w:pPr>
              <w:jc w:val="right"/>
              <w:ind w:right="567"/>
              <w:spacing w:after="0"/>
              <w:rPr>
                <w:sz w:val="20"/>
                <w:szCs w:val="20"/>
                <w:color w:val="auto"/>
              </w:rPr>
            </w:pPr>
            <w:r>
              <w:rPr>
                <w:rFonts w:ascii="Courier New" w:cs="Courier New" w:eastAsia="Courier New" w:hAnsi="Courier New"/>
                <w:sz w:val="15"/>
                <w:szCs w:val="15"/>
                <w:color w:val="auto"/>
              </w:rPr>
              <w:t>2002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2001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20" w:type="dxa"/>
            <w:vAlign w:val="bottom"/>
          </w:tcPr>
          <w:p>
            <w:pPr>
              <w:spacing w:after="0"/>
              <w:rPr>
                <w:sz w:val="20"/>
                <w:szCs w:val="20"/>
                <w:color w:val="auto"/>
              </w:rPr>
            </w:pPr>
            <w:r>
              <w:rPr>
                <w:rFonts w:ascii="Courier New" w:cs="Courier New" w:eastAsia="Courier New" w:hAnsi="Courier New"/>
                <w:sz w:val="15"/>
                <w:szCs w:val="15"/>
                <w:color w:val="auto"/>
              </w:rPr>
              <w:t>Restatement of imported machinery and equipment</w:t>
            </w:r>
          </w:p>
        </w:tc>
        <w:tc>
          <w:tcPr>
            <w:tcW w:w="1980" w:type="dxa"/>
            <w:vAlign w:val="bottom"/>
          </w:tcPr>
          <w:p>
            <w:pPr>
              <w:ind w:left="1440"/>
              <w:spacing w:after="0"/>
              <w:rPr>
                <w:sz w:val="20"/>
                <w:szCs w:val="20"/>
                <w:color w:val="auto"/>
              </w:rPr>
            </w:pPr>
            <w:r>
              <w:rPr>
                <w:rFonts w:ascii="Courier New" w:cs="Courier New" w:eastAsia="Courier New" w:hAnsi="Courier New"/>
                <w:sz w:val="15"/>
                <w:szCs w:val="15"/>
                <w:color w:val="auto"/>
              </w:rPr>
              <w:t>Ps.</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(213)</w:t>
            </w:r>
          </w:p>
        </w:tc>
        <w:tc>
          <w:tcPr>
            <w:tcW w:w="740" w:type="dxa"/>
            <w:vAlign w:val="bottom"/>
          </w:tcPr>
          <w:p>
            <w:pPr>
              <w:ind w:left="220"/>
              <w:spacing w:after="0"/>
              <w:rPr>
                <w:sz w:val="20"/>
                <w:szCs w:val="20"/>
                <w:color w:val="auto"/>
              </w:rPr>
            </w:pPr>
            <w:r>
              <w:rPr>
                <w:rFonts w:ascii="Courier New" w:cs="Courier New" w:eastAsia="Courier New" w:hAnsi="Courier New"/>
                <w:sz w:val="15"/>
                <w:szCs w:val="15"/>
                <w:color w:val="auto"/>
              </w:rPr>
              <w:t>Ps.</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(398)</w:t>
            </w:r>
          </w:p>
        </w:tc>
      </w:tr>
      <w:tr>
        <w:trPr>
          <w:trHeight w:val="168"/>
        </w:trPr>
        <w:tc>
          <w:tcPr>
            <w:tcW w:w="582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Capitalization of the integral result of financing</w:t>
            </w:r>
          </w:p>
        </w:tc>
        <w:tc>
          <w:tcPr>
            <w:tcW w:w="19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(159)</w:t>
            </w:r>
          </w:p>
        </w:tc>
        <w:tc>
          <w:tcPr>
            <w:tcW w:w="7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(171)</w:t>
            </w:r>
          </w:p>
        </w:tc>
      </w:tr>
      <w:tr>
        <w:trPr>
          <w:trHeight w:val="168"/>
        </w:trPr>
        <w:tc>
          <w:tcPr>
            <w:tcW w:w="5820" w:type="dxa"/>
            <w:vAlign w:val="bottom"/>
          </w:tcPr>
          <w:p>
            <w:pPr>
              <w:spacing w:after="0" w:line="168" w:lineRule="exact"/>
              <w:rPr>
                <w:sz w:val="20"/>
                <w:szCs w:val="20"/>
                <w:color w:val="auto"/>
              </w:rPr>
            </w:pPr>
            <w:r>
              <w:rPr>
                <w:rFonts w:ascii="Courier New" w:cs="Courier New" w:eastAsia="Courier New" w:hAnsi="Courier New"/>
                <w:sz w:val="15"/>
                <w:szCs w:val="15"/>
                <w:color w:val="auto"/>
              </w:rPr>
              <w:t>Financial instruments</w:t>
            </w:r>
          </w:p>
        </w:tc>
        <w:tc>
          <w:tcPr>
            <w:tcW w:w="19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w:t>
            </w:r>
          </w:p>
        </w:tc>
        <w:tc>
          <w:tcPr>
            <w:tcW w:w="7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2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19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126</w:t>
            </w:r>
          </w:p>
        </w:tc>
        <w:tc>
          <w:tcPr>
            <w:tcW w:w="7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268</w:t>
            </w:r>
          </w:p>
        </w:tc>
      </w:tr>
      <w:tr>
        <w:trPr>
          <w:trHeight w:val="168"/>
        </w:trPr>
        <w:tc>
          <w:tcPr>
            <w:tcW w:w="582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employee profit sharing</w:t>
            </w:r>
          </w:p>
        </w:tc>
        <w:tc>
          <w:tcPr>
            <w:tcW w:w="19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444</w:t>
            </w:r>
          </w:p>
        </w:tc>
        <w:tc>
          <w:tcPr>
            <w:tcW w:w="7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398</w:t>
            </w:r>
          </w:p>
        </w:tc>
      </w:tr>
      <w:tr>
        <w:trPr>
          <w:trHeight w:val="168"/>
        </w:trPr>
        <w:tc>
          <w:tcPr>
            <w:tcW w:w="5820" w:type="dxa"/>
            <w:vAlign w:val="bottom"/>
          </w:tcPr>
          <w:p>
            <w:pPr>
              <w:spacing w:after="0" w:line="168" w:lineRule="exact"/>
              <w:rPr>
                <w:sz w:val="20"/>
                <w:szCs w:val="20"/>
                <w:color w:val="auto"/>
              </w:rPr>
            </w:pPr>
            <w:r>
              <w:rPr>
                <w:rFonts w:ascii="Courier New" w:cs="Courier New" w:eastAsia="Courier New" w:hAnsi="Courier New"/>
                <w:sz w:val="15"/>
                <w:szCs w:val="15"/>
                <w:color w:val="auto"/>
              </w:rPr>
              <w:t>Goodwill</w:t>
            </w:r>
          </w:p>
        </w:tc>
        <w:tc>
          <w:tcPr>
            <w:tcW w:w="19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w:t>
            </w:r>
          </w:p>
        </w:tc>
        <w:tc>
          <w:tcPr>
            <w:tcW w:w="7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20" w:type="dxa"/>
            <w:vAlign w:val="bottom"/>
          </w:tcPr>
          <w:p>
            <w:pPr>
              <w:spacing w:after="0" w:line="168" w:lineRule="exact"/>
              <w:rPr>
                <w:sz w:val="20"/>
                <w:szCs w:val="20"/>
                <w:color w:val="auto"/>
              </w:rPr>
            </w:pPr>
            <w:r>
              <w:rPr>
                <w:rFonts w:ascii="Courier New" w:cs="Courier New" w:eastAsia="Courier New" w:hAnsi="Courier New"/>
                <w:sz w:val="15"/>
                <w:szCs w:val="15"/>
                <w:color w:val="auto"/>
              </w:rPr>
              <w:t>Accumulated pension plan liability</w:t>
            </w:r>
          </w:p>
        </w:tc>
        <w:tc>
          <w:tcPr>
            <w:tcW w:w="19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w:t>
            </w:r>
          </w:p>
        </w:tc>
        <w:tc>
          <w:tcPr>
            <w:tcW w:w="7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582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promotional expense</w:t>
            </w:r>
          </w:p>
        </w:tc>
        <w:tc>
          <w:tcPr>
            <w:tcW w:w="19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w:t>
            </w:r>
          </w:p>
        </w:tc>
        <w:tc>
          <w:tcPr>
            <w:tcW w:w="7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7880"/>
        <w:spacing w:after="0"/>
        <w:tabs>
          <w:tab w:leader="none" w:pos="8920" w:val="left"/>
          <w:tab w:leader="none" w:pos="9960" w:val="left"/>
        </w:tabs>
        <w:rPr>
          <w:sz w:val="20"/>
          <w:szCs w:val="20"/>
          <w:color w:val="auto"/>
        </w:rPr>
      </w:pPr>
      <w:r>
        <w:rPr>
          <w:rFonts w:ascii="Courier New" w:cs="Courier New" w:eastAsia="Courier New" w:hAnsi="Courier New"/>
          <w:sz w:val="15"/>
          <w:szCs w:val="15"/>
          <w:color w:val="auto"/>
        </w:rPr>
        <w:t>Ps. 193</w:t>
      </w:r>
      <w:r>
        <w:rPr>
          <w:sz w:val="20"/>
          <w:szCs w:val="20"/>
          <w:color w:val="auto"/>
        </w:rPr>
        <w:tab/>
      </w:r>
      <w:r>
        <w:rPr>
          <w:rFonts w:ascii="Courier New" w:cs="Courier New" w:eastAsia="Courier New" w:hAnsi="Courier New"/>
          <w:sz w:val="15"/>
          <w:szCs w:val="15"/>
          <w:color w:val="auto"/>
        </w:rPr>
        <w:t>Ps.</w:t>
      </w:r>
      <w:r>
        <w:rPr>
          <w:sz w:val="20"/>
          <w:szCs w:val="20"/>
          <w:color w:val="auto"/>
        </w:rPr>
        <w:tab/>
      </w:r>
      <w:r>
        <w:rPr>
          <w:rFonts w:ascii="Courier New" w:cs="Courier New" w:eastAsia="Courier New" w:hAnsi="Courier New"/>
          <w:sz w:val="15"/>
          <w:szCs w:val="15"/>
          <w:color w:val="auto"/>
        </w:rPr>
        <w:t>90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8"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5"/>
          <w:szCs w:val="15"/>
          <w:color w:val="auto"/>
        </w:rPr>
        <w:t>l)</w:t>
        <w:tab/>
        <w:t>Acquisition of Minority Interest:</w:t>
      </w:r>
    </w:p>
    <w:p>
      <w:pPr>
        <w:spacing w:after="0" w:line="173" w:lineRule="exact"/>
        <w:rPr>
          <w:sz w:val="20"/>
          <w:szCs w:val="20"/>
          <w:color w:val="auto"/>
        </w:rPr>
      </w:pPr>
    </w:p>
    <w:p>
      <w:pPr>
        <w:ind w:left="360" w:right="3420"/>
        <w:spacing w:after="0" w:line="236" w:lineRule="auto"/>
        <w:rPr>
          <w:sz w:val="20"/>
          <w:szCs w:val="20"/>
          <w:color w:val="auto"/>
        </w:rPr>
      </w:pPr>
      <w:r>
        <w:rPr>
          <w:rFonts w:ascii="Courier New" w:cs="Courier New" w:eastAsia="Courier New" w:hAnsi="Courier New"/>
          <w:sz w:val="15"/>
          <w:szCs w:val="15"/>
          <w:color w:val="auto"/>
        </w:rPr>
        <w:t>In accordance with Mexican GAAP, the Company applied the entity theory to the acquisition of the minority interest by FEMSA in May 1998, through the Exchange Offer. Accordingly, no goodwill was created as a result of such acquisition and the difference between the book value of the shares acquired by FEMSA and the FEMSA shares exchanged was recorded as additional paid-in capital. The direct out-of-pocket costs identified with the purchase of minority interest are treated as an additional purchase cost and included in other expenses.</w:t>
      </w:r>
    </w:p>
    <w:p>
      <w:pPr>
        <w:spacing w:after="0" w:line="177" w:lineRule="exact"/>
        <w:rPr>
          <w:sz w:val="20"/>
          <w:szCs w:val="20"/>
          <w:color w:val="auto"/>
        </w:rPr>
      </w:pPr>
    </w:p>
    <w:p>
      <w:pPr>
        <w:ind w:left="360" w:right="3420"/>
        <w:spacing w:after="0" w:line="236" w:lineRule="auto"/>
        <w:rPr>
          <w:sz w:val="20"/>
          <w:szCs w:val="20"/>
          <w:color w:val="auto"/>
        </w:rPr>
      </w:pPr>
      <w:r>
        <w:rPr>
          <w:rFonts w:ascii="Courier New" w:cs="Courier New" w:eastAsia="Courier New" w:hAnsi="Courier New"/>
          <w:sz w:val="15"/>
          <w:szCs w:val="15"/>
          <w:color w:val="auto"/>
        </w:rPr>
        <w:t>In accordance with US GAAP, the acquisition of a minority interest must be accounted under the purchase method, using the market value of shares received by FEMSA in the Exchange Offer to determine the cost of the acquisition of such minority interest and the related goodwill. Until December 2001, goodwill was amortized over a period of 40 years, and beginning 2002, in accordance with SFAS No. 142 (see Note 24 e), goodwill is no longer amortizable. Under US GAAP, the direct out-of-pocket costs identified with the purchase of minority interest are treated as additional goodwill.</w:t>
      </w:r>
    </w:p>
    <w:p>
      <w:pPr>
        <w:spacing w:after="0" w:line="17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F-40</w:t>
      </w:r>
    </w:p>
    <w:p>
      <w:pPr>
        <w:sectPr>
          <w:pgSz w:w="11900" w:h="16838" w:orient="portrait"/>
          <w:cols w:equalWidth="0" w:num="1">
            <w:col w:w="10420"/>
          </w:cols>
          <w:pgMar w:left="220" w:top="624" w:right="1259" w:bottom="1440" w:gutter="0" w:footer="0" w:header="0"/>
        </w:sectPr>
      </w:pPr>
    </w:p>
    <w:bookmarkStart w:id="203" w:name="page204"/>
    <w:bookmarkEnd w:id="203"/>
    <w:p>
      <w:pPr>
        <w:jc w:val="both"/>
        <w:ind w:left="440" w:right="3580"/>
        <w:spacing w:after="0" w:line="258" w:lineRule="auto"/>
        <w:rPr>
          <w:sz w:val="20"/>
          <w:szCs w:val="20"/>
          <w:color w:val="auto"/>
        </w:rPr>
      </w:pPr>
      <w:r>
        <w:rPr>
          <w:rFonts w:ascii="Courier New" w:cs="Courier New" w:eastAsia="Courier New" w:hAnsi="Courier New"/>
          <w:sz w:val="14"/>
          <w:szCs w:val="14"/>
          <w:color w:val="auto"/>
        </w:rPr>
        <w:t>Additionally, SFAS No. 142 requires the allocation of all goodwill to the related reporting units. The allocation of the goodwill generated by the previously mentioned acquisition of minority interest is as follows:</w:t>
      </w:r>
    </w:p>
    <w:p>
      <w:pPr>
        <w:spacing w:after="0" w:line="330" w:lineRule="exact"/>
        <w:rPr>
          <w:sz w:val="20"/>
          <w:szCs w:val="20"/>
          <w:color w:val="auto"/>
        </w:rPr>
      </w:pPr>
    </w:p>
    <w:p>
      <w:pPr>
        <w:ind w:left="180" w:hanging="170"/>
        <w:spacing w:after="0"/>
        <w:tabs>
          <w:tab w:leader="none" w:pos="180"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20" w:type="dxa"/>
            <w:vAlign w:val="bottom"/>
          </w:tcPr>
          <w:p>
            <w:pPr>
              <w:spacing w:after="0"/>
              <w:rPr>
                <w:sz w:val="20"/>
                <w:szCs w:val="20"/>
                <w:color w:val="auto"/>
              </w:rPr>
            </w:pPr>
            <w:r>
              <w:rPr>
                <w:rFonts w:ascii="Courier New" w:cs="Courier New" w:eastAsia="Courier New" w:hAnsi="Courier New"/>
                <w:sz w:val="15"/>
                <w:szCs w:val="15"/>
                <w:color w:val="auto"/>
              </w:rPr>
              <w:t>FEMSA Cerveza</w:t>
            </w:r>
          </w:p>
        </w:tc>
        <w:tc>
          <w:tcPr>
            <w:tcW w:w="4340" w:type="dxa"/>
            <w:vAlign w:val="bottom"/>
          </w:tcPr>
          <w:p>
            <w:pPr>
              <w:ind w:left="3820"/>
              <w:spacing w:after="0"/>
              <w:rPr>
                <w:sz w:val="20"/>
                <w:szCs w:val="20"/>
                <w:color w:val="auto"/>
              </w:rPr>
            </w:pPr>
            <w:r>
              <w:rPr>
                <w:rFonts w:ascii="Courier New" w:cs="Courier New" w:eastAsia="Courier New" w:hAnsi="Courier New"/>
                <w:sz w:val="15"/>
                <w:szCs w:val="15"/>
                <w:color w:val="auto"/>
              </w:rPr>
              <w:t>Ps.</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7,641</w:t>
            </w: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Coca-Cola FEMSA</w:t>
            </w:r>
          </w:p>
        </w:tc>
        <w:tc>
          <w:tcPr>
            <w:tcW w:w="43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3,896</w:t>
            </w: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FEMSA Empaques</w:t>
            </w:r>
          </w:p>
        </w:tc>
        <w:tc>
          <w:tcPr>
            <w:tcW w:w="43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1,879</w:t>
            </w: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FEMSA Comercio</w:t>
            </w:r>
          </w:p>
        </w:tc>
        <w:tc>
          <w:tcPr>
            <w:tcW w:w="43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890</w:t>
            </w:r>
          </w:p>
        </w:tc>
      </w:tr>
    </w:tbl>
    <w:p>
      <w:pPr>
        <w:spacing w:after="0" w:line="5" w:lineRule="exact"/>
        <w:rPr>
          <w:sz w:val="20"/>
          <w:szCs w:val="20"/>
          <w:color w:val="auto"/>
        </w:rPr>
      </w:pPr>
    </w:p>
    <w:p>
      <w:pPr>
        <w:ind w:left="180" w:hanging="170"/>
        <w:spacing w:after="0"/>
        <w:tabs>
          <w:tab w:leader="none" w:pos="180"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89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Ps.</w:t>
      </w:r>
      <w:r>
        <w:rPr>
          <w:rFonts w:ascii="Courier New" w:cs="Courier New" w:eastAsia="Courier New" w:hAnsi="Courier New"/>
          <w:sz w:val="14"/>
          <w:szCs w:val="14"/>
          <w:color w:val="auto"/>
        </w:rPr>
        <w:t>14,306</w:t>
      </w:r>
    </w:p>
    <w:p>
      <w:pPr>
        <w:spacing w:after="0" w:line="5"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40" w:lineRule="exact"/>
        <w:rPr>
          <w:sz w:val="20"/>
          <w:szCs w:val="20"/>
          <w:color w:val="auto"/>
        </w:rPr>
      </w:pPr>
    </w:p>
    <w:p>
      <w:pPr>
        <w:ind w:left="360" w:hanging="350"/>
        <w:spacing w:after="0"/>
        <w:tabs>
          <w:tab w:leader="none" w:pos="360"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Comprehensive Income:</w:t>
      </w:r>
    </w:p>
    <w:p>
      <w:pPr>
        <w:spacing w:after="0" w:line="172" w:lineRule="exact"/>
        <w:rPr>
          <w:rFonts w:ascii="Courier New" w:cs="Courier New" w:eastAsia="Courier New" w:hAnsi="Courier New"/>
          <w:sz w:val="15"/>
          <w:szCs w:val="15"/>
          <w:color w:val="auto"/>
        </w:rPr>
      </w:pPr>
    </w:p>
    <w:p>
      <w:pPr>
        <w:ind w:left="360" w:right="3940"/>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Note 25 c), a reconciliation of majority comprehensive income under Mexican GAAP to US GAAP is presented. The reconciling items include adjustments to net income and other comprehensive income.</w:t>
      </w:r>
    </w:p>
    <w:p>
      <w:pPr>
        <w:spacing w:after="0" w:line="167" w:lineRule="exact"/>
        <w:rPr>
          <w:rFonts w:ascii="Courier New" w:cs="Courier New" w:eastAsia="Courier New" w:hAnsi="Courier New"/>
          <w:sz w:val="15"/>
          <w:szCs w:val="15"/>
          <w:color w:val="auto"/>
        </w:rPr>
      </w:pPr>
    </w:p>
    <w:p>
      <w:pPr>
        <w:ind w:left="360" w:hanging="350"/>
        <w:spacing w:after="0"/>
        <w:tabs>
          <w:tab w:leader="none" w:pos="360"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 of Cash Flows:</w:t>
      </w:r>
    </w:p>
    <w:p>
      <w:pPr>
        <w:spacing w:after="0" w:line="172" w:lineRule="exact"/>
        <w:rPr>
          <w:rFonts w:ascii="Courier New" w:cs="Courier New" w:eastAsia="Courier New" w:hAnsi="Courier New"/>
          <w:sz w:val="15"/>
          <w:szCs w:val="15"/>
          <w:color w:val="auto"/>
        </w:rPr>
      </w:pPr>
    </w:p>
    <w:p>
      <w:pPr>
        <w:ind w:left="360" w:right="3420"/>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Under Mexican GAAP, the Company presents a consolidated statement of changes in financial position in accordance with Bulletin B-12, "Estado de Cambios en la Situacion Financiera" (Statement of Changes in Financial Position), which identifies the generation and application of resources by the differences between beginning and ending financial statement balances in constant Mexican pesos. Bulletin B-12 also requires that monetary and foreign exchange gains and losses be treated as cash items for the determination of resources generated by operations.</w:t>
      </w:r>
    </w:p>
    <w:p>
      <w:pPr>
        <w:spacing w:after="0" w:line="177" w:lineRule="exact"/>
        <w:rPr>
          <w:rFonts w:ascii="Courier New" w:cs="Courier New" w:eastAsia="Courier New" w:hAnsi="Courier New"/>
          <w:sz w:val="15"/>
          <w:szCs w:val="15"/>
          <w:color w:val="auto"/>
        </w:rPr>
      </w:pPr>
    </w:p>
    <w:p>
      <w:pPr>
        <w:ind w:left="360" w:right="3420"/>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accordance with US GAAP, the Company follows SFAS No. 95 "Statement of Cash Flows", which is presented excluding the effects of inflation (see Note 24 o).</w:t>
      </w:r>
    </w:p>
    <w:p>
      <w:pPr>
        <w:spacing w:after="0" w:line="167" w:lineRule="exact"/>
        <w:rPr>
          <w:rFonts w:ascii="Courier New" w:cs="Courier New" w:eastAsia="Courier New" w:hAnsi="Courier New"/>
          <w:sz w:val="15"/>
          <w:szCs w:val="15"/>
          <w:color w:val="auto"/>
        </w:rPr>
      </w:pPr>
    </w:p>
    <w:p>
      <w:pPr>
        <w:ind w:left="360" w:hanging="350"/>
        <w:spacing w:after="0"/>
        <w:tabs>
          <w:tab w:leader="none" w:pos="360"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Summarized Financial Information under US GAAP:</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80" w:type="dxa"/>
            <w:vAlign w:val="bottom"/>
          </w:tcPr>
          <w:p>
            <w:pPr>
              <w:spacing w:after="0"/>
              <w:rPr>
                <w:sz w:val="20"/>
                <w:szCs w:val="20"/>
                <w:color w:val="auto"/>
              </w:rPr>
            </w:pPr>
            <w:r>
              <w:rPr>
                <w:rFonts w:ascii="Courier New" w:cs="Courier New" w:eastAsia="Courier New" w:hAnsi="Courier New"/>
                <w:sz w:val="15"/>
                <w:szCs w:val="15"/>
                <w:color w:val="auto"/>
              </w:rPr>
              <w:t>Balance Sheets</w:t>
            </w:r>
          </w:p>
        </w:tc>
        <w:tc>
          <w:tcPr>
            <w:tcW w:w="4460" w:type="dxa"/>
            <w:vAlign w:val="bottom"/>
          </w:tcPr>
          <w:p>
            <w:pPr>
              <w:jc w:val="right"/>
              <w:ind w:right="567"/>
              <w:spacing w:after="0"/>
              <w:rPr>
                <w:sz w:val="20"/>
                <w:szCs w:val="20"/>
                <w:color w:val="auto"/>
              </w:rPr>
            </w:pPr>
            <w:r>
              <w:rPr>
                <w:rFonts w:ascii="Courier New" w:cs="Courier New" w:eastAsia="Courier New" w:hAnsi="Courier New"/>
                <w:sz w:val="15"/>
                <w:szCs w:val="15"/>
                <w:color w:val="auto"/>
              </w:rPr>
              <w:t>2002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2001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6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840" w:type="dxa"/>
            <w:vAlign w:val="bottom"/>
          </w:tcPr>
          <w:p>
            <w:pPr>
              <w:ind w:left="2320"/>
              <w:spacing w:after="0"/>
              <w:rPr>
                <w:sz w:val="20"/>
                <w:szCs w:val="20"/>
                <w:color w:val="auto"/>
              </w:rPr>
            </w:pPr>
            <w:r>
              <w:rPr>
                <w:rFonts w:ascii="Courier New" w:cs="Courier New" w:eastAsia="Courier New" w:hAnsi="Courier New"/>
                <w:sz w:val="15"/>
                <w:szCs w:val="15"/>
                <w:color w:val="auto"/>
              </w:rPr>
              <w:t>Ps.</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23,449</w:t>
            </w:r>
          </w:p>
        </w:tc>
        <w:tc>
          <w:tcPr>
            <w:tcW w:w="700" w:type="dxa"/>
            <w:vAlign w:val="bottom"/>
          </w:tcPr>
          <w:p>
            <w:pPr>
              <w:ind w:left="220"/>
              <w:spacing w:after="0"/>
              <w:rPr>
                <w:sz w:val="20"/>
                <w:szCs w:val="20"/>
                <w:color w:val="auto"/>
              </w:rPr>
            </w:pPr>
            <w:r>
              <w:rPr>
                <w:rFonts w:ascii="Courier New" w:cs="Courier New" w:eastAsia="Courier New" w:hAnsi="Courier New"/>
                <w:sz w:val="15"/>
                <w:szCs w:val="15"/>
                <w:color w:val="auto"/>
              </w:rPr>
              <w:t>Ps.</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16,066</w:t>
            </w: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Property, plant and equipment</w:t>
            </w:r>
          </w:p>
        </w:tc>
        <w:tc>
          <w:tcPr>
            <w:tcW w:w="284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31,413</w:t>
            </w:r>
          </w:p>
        </w:tc>
        <w:tc>
          <w:tcPr>
            <w:tcW w:w="70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31,083</w:t>
            </w: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assets</w:t>
            </w:r>
          </w:p>
        </w:tc>
        <w:tc>
          <w:tcPr>
            <w:tcW w:w="284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20,765</w:t>
            </w:r>
          </w:p>
        </w:tc>
        <w:tc>
          <w:tcPr>
            <w:tcW w:w="70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20,376</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45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75,677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67,525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41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13,601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10,544</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liabilities</w:t>
            </w:r>
          </w:p>
        </w:tc>
        <w:tc>
          <w:tcPr>
            <w:tcW w:w="41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10,875</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8,181</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liabilities</w:t>
            </w:r>
          </w:p>
        </w:tc>
        <w:tc>
          <w:tcPr>
            <w:tcW w:w="41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4,829</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4,824</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00" w:type="dxa"/>
            <w:vAlign w:val="bottom"/>
          </w:tcPr>
          <w:p>
            <w:pPr>
              <w:spacing w:after="0"/>
              <w:rPr>
                <w:sz w:val="20"/>
                <w:szCs w:val="20"/>
                <w:color w:val="auto"/>
              </w:rPr>
            </w:pPr>
            <w:r>
              <w:rPr>
                <w:rFonts w:ascii="Courier New" w:cs="Courier New" w:eastAsia="Courier New" w:hAnsi="Courier New"/>
                <w:sz w:val="15"/>
                <w:szCs w:val="15"/>
                <w:color w:val="auto"/>
              </w:rPr>
              <w:t>Total liabilities</w:t>
            </w:r>
          </w:p>
        </w:tc>
        <w:tc>
          <w:tcPr>
            <w:tcW w:w="30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29,305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23,549</w:t>
            </w:r>
          </w:p>
        </w:tc>
      </w:tr>
      <w:tr>
        <w:trPr>
          <w:trHeight w:val="168"/>
        </w:trPr>
        <w:tc>
          <w:tcPr>
            <w:tcW w:w="6000" w:type="dxa"/>
            <w:vAlign w:val="bottom"/>
          </w:tcPr>
          <w:p>
            <w:pPr>
              <w:spacing w:after="0" w:line="168" w:lineRule="exact"/>
              <w:rPr>
                <w:sz w:val="20"/>
                <w:szCs w:val="20"/>
                <w:color w:val="auto"/>
              </w:rPr>
            </w:pPr>
            <w:r>
              <w:rPr>
                <w:rFonts w:ascii="Courier New" w:cs="Courier New" w:eastAsia="Courier New" w:hAnsi="Courier New"/>
                <w:sz w:val="15"/>
                <w:szCs w:val="15"/>
                <w:color w:val="auto"/>
              </w:rPr>
              <w:t>Minority interest in consolidated subsidiaries</w:t>
            </w:r>
          </w:p>
        </w:tc>
        <w:tc>
          <w:tcPr>
            <w:tcW w:w="30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9,605</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8,780</w:t>
            </w:r>
          </w:p>
        </w:tc>
      </w:tr>
      <w:tr>
        <w:trPr>
          <w:trHeight w:val="168"/>
        </w:trPr>
        <w:tc>
          <w:tcPr>
            <w:tcW w:w="600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Stockholders' equity</w:t>
            </w:r>
          </w:p>
        </w:tc>
        <w:tc>
          <w:tcPr>
            <w:tcW w:w="30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36,767</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35,196</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tabs>
          <w:tab w:leader="none" w:pos="7160" w:val="left"/>
          <w:tab w:leader="none" w:pos="7940" w:val="left"/>
          <w:tab w:leader="none" w:pos="8920" w:val="left"/>
          <w:tab w:leader="none" w:pos="9620" w:val="left"/>
        </w:tabs>
        <w:rPr>
          <w:sz w:val="20"/>
          <w:szCs w:val="20"/>
          <w:color w:val="auto"/>
        </w:rPr>
      </w:pPr>
      <w:r>
        <w:rPr>
          <w:rFonts w:ascii="Courier New" w:cs="Courier New" w:eastAsia="Courier New" w:hAnsi="Courier New"/>
          <w:sz w:val="15"/>
          <w:szCs w:val="15"/>
          <w:color w:val="auto"/>
        </w:rPr>
        <w:t>Total liabilities and stockholders' equity</w:t>
      </w:r>
      <w:r>
        <w:rPr>
          <w:sz w:val="20"/>
          <w:szCs w:val="20"/>
          <w:color w:val="auto"/>
        </w:rPr>
        <w:tab/>
      </w:r>
      <w:r>
        <w:rPr>
          <w:rFonts w:ascii="Courier New" w:cs="Courier New" w:eastAsia="Courier New" w:hAnsi="Courier New"/>
          <w:sz w:val="15"/>
          <w:szCs w:val="15"/>
          <w:color w:val="auto"/>
        </w:rPr>
        <w:t>Ps.</w:t>
      </w:r>
      <w:r>
        <w:rPr>
          <w:sz w:val="20"/>
          <w:szCs w:val="20"/>
          <w:color w:val="auto"/>
        </w:rPr>
        <w:tab/>
      </w:r>
      <w:r>
        <w:rPr>
          <w:rFonts w:ascii="Courier New" w:cs="Courier New" w:eastAsia="Courier New" w:hAnsi="Courier New"/>
          <w:sz w:val="15"/>
          <w:szCs w:val="15"/>
          <w:color w:val="auto"/>
        </w:rPr>
        <w:t>75,677</w:t>
      </w:r>
      <w:r>
        <w:rPr>
          <w:sz w:val="20"/>
          <w:szCs w:val="20"/>
          <w:color w:val="auto"/>
        </w:rPr>
        <w:tab/>
      </w:r>
      <w:r>
        <w:rPr>
          <w:rFonts w:ascii="Courier New" w:cs="Courier New" w:eastAsia="Courier New" w:hAnsi="Courier New"/>
          <w:sz w:val="15"/>
          <w:szCs w:val="15"/>
          <w:color w:val="auto"/>
        </w:rPr>
        <w:t>Ps.</w:t>
      </w:r>
      <w:r>
        <w:rPr>
          <w:sz w:val="20"/>
          <w:szCs w:val="20"/>
          <w:color w:val="auto"/>
        </w:rPr>
        <w:tab/>
      </w:r>
      <w:r>
        <w:rPr>
          <w:rFonts w:ascii="Courier New" w:cs="Courier New" w:eastAsia="Courier New" w:hAnsi="Courier New"/>
          <w:sz w:val="14"/>
          <w:szCs w:val="14"/>
          <w:color w:val="auto"/>
        </w:rPr>
        <w:t>67,525</w:t>
      </w:r>
    </w:p>
    <w:p>
      <w:pPr>
        <w:spacing w:after="0" w:line="5" w:lineRule="exact"/>
        <w:rPr>
          <w:sz w:val="20"/>
          <w:szCs w:val="20"/>
          <w:color w:val="auto"/>
        </w:rPr>
      </w:pPr>
    </w:p>
    <w:p>
      <w:pPr>
        <w:ind w:left="180" w:hanging="170"/>
        <w:spacing w:after="0"/>
        <w:tabs>
          <w:tab w:leader="none" w:pos="180"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9" w:lineRule="exact"/>
        <w:rPr>
          <w:rFonts w:ascii="Courier New" w:cs="Courier New" w:eastAsia="Courier New" w:hAnsi="Courier New"/>
          <w:sz w:val="14"/>
          <w:szCs w:val="14"/>
          <w:color w:val="auto"/>
        </w:rPr>
      </w:pPr>
    </w:p>
    <w:p>
      <w:pPr>
        <w:ind w:left="33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F-41</w:t>
      </w:r>
    </w:p>
    <w:p>
      <w:pPr>
        <w:sectPr>
          <w:pgSz w:w="11900" w:h="16838" w:orient="portrait"/>
          <w:cols w:equalWidth="0" w:num="1">
            <w:col w:w="10420"/>
          </w:cols>
          <w:pgMar w:left="220" w:top="623" w:right="1259" w:bottom="1440" w:gutter="0" w:footer="0" w:header="0"/>
        </w:sectPr>
      </w:pPr>
    </w:p>
    <w:bookmarkStart w:id="204" w:name="page205"/>
    <w:bookmarkEnd w:id="204"/>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Income Statements</w:t>
            </w:r>
          </w:p>
        </w:tc>
        <w:tc>
          <w:tcPr>
            <w:tcW w:w="33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2002</w:t>
            </w:r>
          </w:p>
        </w:tc>
        <w:tc>
          <w:tcPr>
            <w:tcW w:w="1660" w:type="dxa"/>
            <w:vAlign w:val="bottom"/>
          </w:tcPr>
          <w:p>
            <w:pPr>
              <w:jc w:val="right"/>
              <w:ind w:right="567"/>
              <w:spacing w:after="0"/>
              <w:rPr>
                <w:sz w:val="20"/>
                <w:szCs w:val="20"/>
                <w:color w:val="auto"/>
              </w:rPr>
            </w:pPr>
            <w:r>
              <w:rPr>
                <w:rFonts w:ascii="Courier New" w:cs="Courier New" w:eastAsia="Courier New" w:hAnsi="Courier New"/>
                <w:sz w:val="15"/>
                <w:szCs w:val="15"/>
                <w:color w:val="auto"/>
              </w:rPr>
              <w:t>2001</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40" w:type="dxa"/>
            <w:vAlign w:val="bottom"/>
            <w:gridSpan w:val="2"/>
          </w:tcPr>
          <w:p>
            <w:pPr>
              <w:spacing w:after="0"/>
              <w:rPr>
                <w:sz w:val="20"/>
                <w:szCs w:val="20"/>
                <w:color w:val="auto"/>
              </w:rPr>
            </w:pPr>
            <w:r>
              <w:rPr>
                <w:rFonts w:ascii="Courier New" w:cs="Courier New" w:eastAsia="Courier New" w:hAnsi="Courier New"/>
                <w:sz w:val="15"/>
                <w:szCs w:val="15"/>
                <w:color w:val="auto"/>
              </w:rPr>
              <w:t>Total revenues</w:t>
            </w:r>
          </w:p>
        </w:tc>
        <w:tc>
          <w:tcPr>
            <w:tcW w:w="1440" w:type="dxa"/>
            <w:vAlign w:val="bottom"/>
          </w:tcPr>
          <w:p>
            <w:pPr>
              <w:ind w:left="960"/>
              <w:spacing w:after="0"/>
              <w:rPr>
                <w:sz w:val="20"/>
                <w:szCs w:val="20"/>
                <w:color w:val="auto"/>
              </w:rPr>
            </w:pPr>
            <w:r>
              <w:rPr>
                <w:rFonts w:ascii="Courier New" w:cs="Courier New" w:eastAsia="Courier New" w:hAnsi="Courier New"/>
                <w:sz w:val="15"/>
                <w:szCs w:val="15"/>
                <w:color w:val="auto"/>
              </w:rPr>
              <w:t>Ps.</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52,941</w:t>
            </w:r>
          </w:p>
        </w:tc>
        <w:tc>
          <w:tcPr>
            <w:tcW w:w="700" w:type="dxa"/>
            <w:vAlign w:val="bottom"/>
          </w:tcPr>
          <w:p>
            <w:pPr>
              <w:ind w:left="200"/>
              <w:spacing w:after="0"/>
              <w:rPr>
                <w:sz w:val="20"/>
                <w:szCs w:val="20"/>
                <w:color w:val="auto"/>
              </w:rPr>
            </w:pPr>
            <w:r>
              <w:rPr>
                <w:rFonts w:ascii="Courier New" w:cs="Courier New" w:eastAsia="Courier New" w:hAnsi="Courier New"/>
                <w:sz w:val="15"/>
                <w:szCs w:val="15"/>
                <w:color w:val="auto"/>
              </w:rPr>
              <w:t>Ps.</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52,720</w:t>
            </w:r>
          </w:p>
        </w:tc>
        <w:tc>
          <w:tcPr>
            <w:tcW w:w="700" w:type="dxa"/>
            <w:vAlign w:val="bottom"/>
          </w:tcPr>
          <w:p>
            <w:pPr>
              <w:ind w:left="220"/>
              <w:spacing w:after="0"/>
              <w:rPr>
                <w:sz w:val="20"/>
                <w:szCs w:val="20"/>
                <w:color w:val="auto"/>
              </w:rPr>
            </w:pPr>
            <w:r>
              <w:rPr>
                <w:rFonts w:ascii="Courier New" w:cs="Courier New" w:eastAsia="Courier New" w:hAnsi="Courier New"/>
                <w:sz w:val="15"/>
                <w:szCs w:val="15"/>
                <w:color w:val="auto"/>
              </w:rPr>
              <w:t>Ps.</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50,158</w:t>
            </w:r>
          </w:p>
        </w:tc>
      </w:tr>
      <w:tr>
        <w:trPr>
          <w:trHeight w:val="168"/>
        </w:trPr>
        <w:tc>
          <w:tcPr>
            <w:tcW w:w="46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Income from operations</w:t>
            </w:r>
          </w:p>
        </w:tc>
        <w:tc>
          <w:tcPr>
            <w:tcW w:w="1440" w:type="dxa"/>
            <w:vAlign w:val="bottom"/>
          </w:tcPr>
          <w:p>
            <w:pPr>
              <w:spacing w:after="0"/>
              <w:rPr>
                <w:sz w:val="14"/>
                <w:szCs w:val="14"/>
                <w:color w:val="auto"/>
              </w:rPr>
            </w:pP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8,473</w:t>
            </w:r>
          </w:p>
        </w:tc>
        <w:tc>
          <w:tcPr>
            <w:tcW w:w="7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7,452</w:t>
            </w:r>
          </w:p>
        </w:tc>
        <w:tc>
          <w:tcPr>
            <w:tcW w:w="70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6,777</w:t>
            </w:r>
          </w:p>
        </w:tc>
      </w:t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w:t>
            </w:r>
          </w:p>
        </w:tc>
        <w:tc>
          <w:tcPr>
            <w:tcW w:w="4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before income tax and tax on assets</w:t>
            </w:r>
          </w:p>
        </w:tc>
        <w:tc>
          <w:tcPr>
            <w:tcW w:w="1440" w:type="dxa"/>
            <w:vAlign w:val="bottom"/>
          </w:tcPr>
          <w:p>
            <w:pPr>
              <w:spacing w:after="0"/>
              <w:rPr>
                <w:sz w:val="14"/>
                <w:szCs w:val="14"/>
                <w:color w:val="auto"/>
              </w:rPr>
            </w:pP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7,737</w:t>
            </w:r>
          </w:p>
        </w:tc>
        <w:tc>
          <w:tcPr>
            <w:tcW w:w="7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7,449</w:t>
            </w:r>
          </w:p>
        </w:tc>
        <w:tc>
          <w:tcPr>
            <w:tcW w:w="70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5,648</w:t>
            </w:r>
          </w:p>
        </w:tc>
      </w:t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w:t>
            </w:r>
          </w:p>
        </w:tc>
        <w:tc>
          <w:tcPr>
            <w:tcW w:w="4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tax and tax on assets</w:t>
            </w:r>
          </w:p>
        </w:tc>
        <w:tc>
          <w:tcPr>
            <w:tcW w:w="1440" w:type="dxa"/>
            <w:vAlign w:val="bottom"/>
          </w:tcPr>
          <w:p>
            <w:pPr>
              <w:spacing w:after="0"/>
              <w:rPr>
                <w:sz w:val="14"/>
                <w:szCs w:val="14"/>
                <w:color w:val="auto"/>
              </w:rPr>
            </w:pP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2,850</w:t>
            </w:r>
          </w:p>
        </w:tc>
        <w:tc>
          <w:tcPr>
            <w:tcW w:w="7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2,636</w:t>
            </w:r>
          </w:p>
        </w:tc>
        <w:tc>
          <w:tcPr>
            <w:tcW w:w="70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1,923</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0" w:type="dxa"/>
            <w:vAlign w:val="bottom"/>
          </w:tcPr>
          <w:p>
            <w:pPr>
              <w:spacing w:after="0"/>
              <w:rPr>
                <w:sz w:val="20"/>
                <w:szCs w:val="20"/>
                <w:color w:val="auto"/>
              </w:rPr>
            </w:pPr>
            <w:r>
              <w:rPr>
                <w:rFonts w:ascii="Courier New" w:cs="Courier New" w:eastAsia="Courier New" w:hAnsi="Courier New"/>
                <w:sz w:val="15"/>
                <w:szCs w:val="15"/>
                <w:color w:val="auto"/>
              </w:rPr>
              <w:t>Income</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w w:val="99"/>
              </w:rPr>
              <w:t>before change</w:t>
            </w:r>
          </w:p>
        </w:tc>
        <w:tc>
          <w:tcPr>
            <w:tcW w:w="3320" w:type="dxa"/>
            <w:vAlign w:val="bottom"/>
          </w:tcPr>
          <w:p>
            <w:pPr>
              <w:ind w:left="40"/>
              <w:spacing w:after="0"/>
              <w:rPr>
                <w:sz w:val="20"/>
                <w:szCs w:val="20"/>
                <w:color w:val="auto"/>
              </w:rPr>
            </w:pPr>
            <w:r>
              <w:rPr>
                <w:rFonts w:ascii="Courier New" w:cs="Courier New" w:eastAsia="Courier New" w:hAnsi="Courier New"/>
                <w:sz w:val="15"/>
                <w:szCs w:val="15"/>
                <w:color w:val="auto"/>
              </w:rPr>
              <w:t>in accounting principle</w:t>
            </w:r>
          </w:p>
        </w:tc>
        <w:tc>
          <w:tcPr>
            <w:tcW w:w="23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4,887</w:t>
            </w:r>
          </w:p>
        </w:tc>
        <w:tc>
          <w:tcPr>
            <w:tcW w:w="166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4,813</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3,725</w:t>
            </w:r>
          </w:p>
        </w:tc>
      </w:t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Change</w:t>
            </w:r>
          </w:p>
        </w:tc>
        <w:tc>
          <w:tcPr>
            <w:tcW w:w="1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in accounting</w:t>
            </w:r>
          </w:p>
        </w:tc>
        <w:tc>
          <w:tcPr>
            <w:tcW w:w="33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principle</w:t>
            </w:r>
          </w:p>
        </w:tc>
        <w:tc>
          <w:tcPr>
            <w:tcW w:w="23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(52)</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00" w:type="dxa"/>
            <w:vAlign w:val="bottom"/>
          </w:tcPr>
          <w:p>
            <w:pPr>
              <w:spacing w:after="0"/>
              <w:rPr>
                <w:sz w:val="20"/>
                <w:szCs w:val="20"/>
                <w:color w:val="auto"/>
              </w:rPr>
            </w:pPr>
            <w:r>
              <w:rPr>
                <w:rFonts w:ascii="Courier New" w:cs="Courier New" w:eastAsia="Courier New" w:hAnsi="Courier New"/>
                <w:sz w:val="15"/>
                <w:szCs w:val="15"/>
                <w:color w:val="auto"/>
              </w:rPr>
              <w:t>Income before minority interest</w:t>
            </w:r>
          </w:p>
        </w:tc>
        <w:tc>
          <w:tcPr>
            <w:tcW w:w="17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4,887</w:t>
            </w:r>
          </w:p>
        </w:tc>
        <w:tc>
          <w:tcPr>
            <w:tcW w:w="166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4,761</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3,725</w:t>
            </w:r>
          </w:p>
        </w:tc>
      </w:tr>
      <w:tr>
        <w:trPr>
          <w:trHeight w:val="168"/>
        </w:trPr>
        <w:tc>
          <w:tcPr>
            <w:tcW w:w="5700" w:type="dxa"/>
            <w:vAlign w:val="bottom"/>
          </w:tcPr>
          <w:p>
            <w:pPr>
              <w:spacing w:after="0" w:line="168" w:lineRule="exact"/>
              <w:rPr>
                <w:sz w:val="20"/>
                <w:szCs w:val="20"/>
                <w:color w:val="auto"/>
              </w:rPr>
            </w:pPr>
            <w:r>
              <w:rPr>
                <w:rFonts w:ascii="Courier New" w:cs="Courier New" w:eastAsia="Courier New" w:hAnsi="Courier New"/>
                <w:sz w:val="15"/>
                <w:szCs w:val="15"/>
                <w:color w:val="auto"/>
              </w:rPr>
              <w:t>Minority interest in results of consolidated subsidiaries</w:t>
            </w:r>
          </w:p>
        </w:tc>
        <w:tc>
          <w:tcPr>
            <w:tcW w:w="17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1,804</w:t>
            </w:r>
          </w:p>
        </w:tc>
        <w:tc>
          <w:tcPr>
            <w:tcW w:w="16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1,583</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1,154</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96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3,083</w:t>
            </w:r>
          </w:p>
        </w:tc>
        <w:tc>
          <w:tcPr>
            <w:tcW w:w="166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3,178</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2,571</w:t>
            </w:r>
          </w:p>
        </w:tc>
      </w:tr>
      <w:tr>
        <w:trPr>
          <w:trHeight w:val="168"/>
        </w:trPr>
        <w:tc>
          <w:tcPr>
            <w:tcW w:w="54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Cumulative translation adjustment</w:t>
            </w:r>
          </w:p>
        </w:tc>
        <w:tc>
          <w:tcPr>
            <w:tcW w:w="19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(373)</w:t>
            </w:r>
          </w:p>
        </w:tc>
        <w:tc>
          <w:tcPr>
            <w:tcW w:w="16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(442)</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364</w:t>
            </w:r>
          </w:p>
        </w:tc>
      </w:tr>
      <w:tr>
        <w:trPr>
          <w:trHeight w:val="168"/>
        </w:trPr>
        <w:tc>
          <w:tcPr>
            <w:tcW w:w="54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Cumulative result of holding non-monetary assets</w:t>
            </w:r>
          </w:p>
        </w:tc>
        <w:tc>
          <w:tcPr>
            <w:tcW w:w="19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(445)</w:t>
            </w:r>
          </w:p>
        </w:tc>
        <w:tc>
          <w:tcPr>
            <w:tcW w:w="16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(884)</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(764)</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40" w:type="dxa"/>
            <w:vAlign w:val="bottom"/>
          </w:tcPr>
          <w:p>
            <w:pPr>
              <w:spacing w:after="0"/>
              <w:rPr>
                <w:sz w:val="20"/>
                <w:szCs w:val="20"/>
                <w:color w:val="auto"/>
              </w:rPr>
            </w:pPr>
            <w:r>
              <w:rPr>
                <w:rFonts w:ascii="Courier New" w:cs="Courier New" w:eastAsia="Courier New" w:hAnsi="Courier New"/>
                <w:sz w:val="15"/>
                <w:szCs w:val="15"/>
                <w:color w:val="auto"/>
              </w:rPr>
              <w:t>Other comprehensive income</w:t>
            </w:r>
          </w:p>
        </w:tc>
        <w:tc>
          <w:tcPr>
            <w:tcW w:w="30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(818)</w:t>
            </w:r>
          </w:p>
        </w:tc>
        <w:tc>
          <w:tcPr>
            <w:tcW w:w="17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(1,326)</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(400)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tabs>
          <w:tab w:leader="none" w:pos="5580" w:val="left"/>
          <w:tab w:leader="none" w:pos="6380" w:val="left"/>
          <w:tab w:leader="none" w:pos="7160" w:val="left"/>
          <w:tab w:leader="none" w:pos="8040" w:val="left"/>
          <w:tab w:leader="none" w:pos="8920" w:val="left"/>
          <w:tab w:leader="none" w:pos="9700" w:val="left"/>
        </w:tabs>
        <w:rPr>
          <w:sz w:val="20"/>
          <w:szCs w:val="20"/>
          <w:color w:val="auto"/>
        </w:rPr>
      </w:pPr>
      <w:r>
        <w:rPr>
          <w:rFonts w:ascii="Courier New" w:cs="Courier New" w:eastAsia="Courier New" w:hAnsi="Courier New"/>
          <w:sz w:val="15"/>
          <w:szCs w:val="15"/>
          <w:color w:val="auto"/>
        </w:rPr>
        <w:t>Comprehensive income</w:t>
      </w:r>
      <w:r>
        <w:rPr>
          <w:sz w:val="20"/>
          <w:szCs w:val="20"/>
          <w:color w:val="auto"/>
        </w:rPr>
        <w:tab/>
      </w:r>
      <w:r>
        <w:rPr>
          <w:rFonts w:ascii="Courier New" w:cs="Courier New" w:eastAsia="Courier New" w:hAnsi="Courier New"/>
          <w:sz w:val="15"/>
          <w:szCs w:val="15"/>
          <w:color w:val="auto"/>
        </w:rPr>
        <w:t>Ps.</w:t>
      </w:r>
      <w:r>
        <w:rPr>
          <w:sz w:val="20"/>
          <w:szCs w:val="20"/>
          <w:color w:val="auto"/>
        </w:rPr>
        <w:tab/>
      </w:r>
      <w:r>
        <w:rPr>
          <w:rFonts w:ascii="Courier New" w:cs="Courier New" w:eastAsia="Courier New" w:hAnsi="Courier New"/>
          <w:sz w:val="15"/>
          <w:szCs w:val="15"/>
          <w:color w:val="auto"/>
        </w:rPr>
        <w:t>2,265</w:t>
      </w:r>
      <w:r>
        <w:rPr>
          <w:sz w:val="20"/>
          <w:szCs w:val="20"/>
          <w:color w:val="auto"/>
        </w:rPr>
        <w:tab/>
      </w:r>
      <w:r>
        <w:rPr>
          <w:rFonts w:ascii="Courier New" w:cs="Courier New" w:eastAsia="Courier New" w:hAnsi="Courier New"/>
          <w:sz w:val="15"/>
          <w:szCs w:val="15"/>
          <w:color w:val="auto"/>
        </w:rPr>
        <w:t>Ps.</w:t>
      </w:r>
      <w:r>
        <w:rPr>
          <w:sz w:val="20"/>
          <w:szCs w:val="20"/>
          <w:color w:val="auto"/>
        </w:rPr>
        <w:tab/>
      </w:r>
      <w:r>
        <w:rPr>
          <w:rFonts w:ascii="Courier New" w:cs="Courier New" w:eastAsia="Courier New" w:hAnsi="Courier New"/>
          <w:sz w:val="15"/>
          <w:szCs w:val="15"/>
          <w:color w:val="auto"/>
        </w:rPr>
        <w:t>1,852</w:t>
      </w:r>
      <w:r>
        <w:rPr>
          <w:sz w:val="20"/>
          <w:szCs w:val="20"/>
          <w:color w:val="auto"/>
        </w:rPr>
        <w:tab/>
      </w:r>
      <w:r>
        <w:rPr>
          <w:rFonts w:ascii="Courier New" w:cs="Courier New" w:eastAsia="Courier New" w:hAnsi="Courier New"/>
          <w:sz w:val="15"/>
          <w:szCs w:val="15"/>
          <w:color w:val="auto"/>
        </w:rPr>
        <w:t>Ps.</w:t>
      </w:r>
      <w:r>
        <w:rPr>
          <w:sz w:val="20"/>
          <w:szCs w:val="20"/>
          <w:color w:val="auto"/>
        </w:rPr>
        <w:tab/>
      </w:r>
      <w:r>
        <w:rPr>
          <w:rFonts w:ascii="Courier New" w:cs="Courier New" w:eastAsia="Courier New" w:hAnsi="Courier New"/>
          <w:sz w:val="14"/>
          <w:szCs w:val="14"/>
          <w:color w:val="auto"/>
        </w:rPr>
        <w:t>2,171</w:t>
      </w:r>
    </w:p>
    <w:p>
      <w:pPr>
        <w:spacing w:after="0" w:line="5" w:lineRule="exact"/>
        <w:rPr>
          <w:sz w:val="20"/>
          <w:szCs w:val="20"/>
          <w:color w:val="auto"/>
        </w:rPr>
      </w:pPr>
    </w:p>
    <w:p>
      <w:pPr>
        <w:ind w:left="180" w:hanging="170"/>
        <w:spacing w:after="0"/>
        <w:tabs>
          <w:tab w:leader="none" w:pos="180"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Net income per Series "B" share (constant pesos):</w:t>
      </w:r>
    </w:p>
    <w:tbl>
      <w:tblPr>
        <w:tblLayout w:type="fixed"/>
        <w:tblInd w:w="0" w:type="dxa"/>
        <w:tblCellMar>
          <w:top w:w="0" w:type="dxa"/>
          <w:left w:w="0" w:type="dxa"/>
          <w:bottom w:w="0" w:type="dxa"/>
          <w:right w:w="0" w:type="dxa"/>
        </w:tblCellMar>
      </w:tblPr>
      <w:tr>
        <w:trPr>
          <w:trHeight w:val="169"/>
        </w:trPr>
        <w:tc>
          <w:tcPr>
            <w:tcW w:w="4960" w:type="dxa"/>
            <w:vAlign w:val="bottom"/>
            <w:gridSpan w:val="3"/>
          </w:tcPr>
          <w:p>
            <w:pPr>
              <w:ind w:left="360"/>
              <w:spacing w:after="0" w:line="169" w:lineRule="exact"/>
              <w:rPr>
                <w:sz w:val="20"/>
                <w:szCs w:val="20"/>
                <w:color w:val="auto"/>
              </w:rPr>
            </w:pPr>
            <w:r>
              <w:rPr>
                <w:rFonts w:ascii="Courier New" w:cs="Courier New" w:eastAsia="Courier New" w:hAnsi="Courier New"/>
                <w:sz w:val="15"/>
                <w:szCs w:val="15"/>
                <w:color w:val="auto"/>
              </w:rPr>
              <w:t>Before change in accounting principle</w:t>
            </w:r>
          </w:p>
        </w:tc>
        <w:tc>
          <w:tcPr>
            <w:tcW w:w="1180" w:type="dxa"/>
            <w:vAlign w:val="bottom"/>
          </w:tcPr>
          <w:p>
            <w:pPr>
              <w:ind w:left="640"/>
              <w:spacing w:after="0" w:line="169" w:lineRule="exact"/>
              <w:rPr>
                <w:sz w:val="20"/>
                <w:szCs w:val="20"/>
                <w:color w:val="auto"/>
              </w:rPr>
            </w:pPr>
            <w:r>
              <w:rPr>
                <w:rFonts w:ascii="Courier New" w:cs="Courier New" w:eastAsia="Courier New" w:hAnsi="Courier New"/>
                <w:sz w:val="15"/>
                <w:szCs w:val="15"/>
                <w:color w:val="auto"/>
              </w:rPr>
              <w:t>Ps.</w:t>
            </w:r>
          </w:p>
        </w:tc>
        <w:tc>
          <w:tcPr>
            <w:tcW w:w="920" w:type="dxa"/>
            <w:vAlign w:val="bottom"/>
          </w:tcPr>
          <w:p>
            <w:pPr>
              <w:jc w:val="right"/>
              <w:ind w:right="147"/>
              <w:spacing w:after="0" w:line="169" w:lineRule="exact"/>
              <w:rPr>
                <w:sz w:val="20"/>
                <w:szCs w:val="20"/>
                <w:color w:val="auto"/>
              </w:rPr>
            </w:pPr>
            <w:r>
              <w:rPr>
                <w:rFonts w:ascii="Courier New" w:cs="Courier New" w:eastAsia="Courier New" w:hAnsi="Courier New"/>
                <w:sz w:val="15"/>
                <w:szCs w:val="15"/>
                <w:color w:val="auto"/>
              </w:rPr>
              <w:t>0.519</w:t>
            </w:r>
          </w:p>
        </w:tc>
        <w:tc>
          <w:tcPr>
            <w:tcW w:w="740" w:type="dxa"/>
            <w:vAlign w:val="bottom"/>
          </w:tcPr>
          <w:p>
            <w:pPr>
              <w:ind w:left="200"/>
              <w:spacing w:after="0" w:line="169" w:lineRule="exact"/>
              <w:rPr>
                <w:sz w:val="20"/>
                <w:szCs w:val="20"/>
                <w:color w:val="auto"/>
              </w:rPr>
            </w:pPr>
            <w:r>
              <w:rPr>
                <w:rFonts w:ascii="Courier New" w:cs="Courier New" w:eastAsia="Courier New" w:hAnsi="Courier New"/>
                <w:sz w:val="15"/>
                <w:szCs w:val="15"/>
                <w:color w:val="auto"/>
              </w:rPr>
              <w:t>Ps.</w:t>
            </w:r>
          </w:p>
        </w:tc>
        <w:tc>
          <w:tcPr>
            <w:tcW w:w="920" w:type="dxa"/>
            <w:vAlign w:val="bottom"/>
          </w:tcPr>
          <w:p>
            <w:pPr>
              <w:jc w:val="right"/>
              <w:ind w:right="147"/>
              <w:spacing w:after="0" w:line="169" w:lineRule="exact"/>
              <w:rPr>
                <w:sz w:val="20"/>
                <w:szCs w:val="20"/>
                <w:color w:val="auto"/>
              </w:rPr>
            </w:pPr>
            <w:r>
              <w:rPr>
                <w:rFonts w:ascii="Courier New" w:cs="Courier New" w:eastAsia="Courier New" w:hAnsi="Courier New"/>
                <w:sz w:val="15"/>
                <w:szCs w:val="15"/>
                <w:color w:val="auto"/>
              </w:rPr>
              <w:t>0.544</w:t>
            </w:r>
          </w:p>
        </w:tc>
        <w:tc>
          <w:tcPr>
            <w:tcW w:w="740" w:type="dxa"/>
            <w:vAlign w:val="bottom"/>
          </w:tcPr>
          <w:p>
            <w:pPr>
              <w:ind w:left="220"/>
              <w:spacing w:after="0" w:line="169" w:lineRule="exact"/>
              <w:rPr>
                <w:sz w:val="20"/>
                <w:szCs w:val="20"/>
                <w:color w:val="auto"/>
              </w:rPr>
            </w:pPr>
            <w:r>
              <w:rPr>
                <w:rFonts w:ascii="Courier New" w:cs="Courier New" w:eastAsia="Courier New" w:hAnsi="Courier New"/>
                <w:sz w:val="15"/>
                <w:szCs w:val="15"/>
                <w:color w:val="auto"/>
              </w:rPr>
              <w:t>Ps.</w:t>
            </w:r>
          </w:p>
        </w:tc>
        <w:tc>
          <w:tcPr>
            <w:tcW w:w="70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0.429</w:t>
            </w:r>
          </w:p>
        </w:tc>
      </w:tr>
      <w:tr>
        <w:trPr>
          <w:trHeight w:val="168"/>
        </w:trPr>
        <w:tc>
          <w:tcPr>
            <w:tcW w:w="8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After</w:t>
            </w:r>
          </w:p>
        </w:tc>
        <w:tc>
          <w:tcPr>
            <w:tcW w:w="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change in</w:t>
            </w:r>
          </w:p>
        </w:tc>
        <w:tc>
          <w:tcPr>
            <w:tcW w:w="32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accounting principle</w:t>
            </w:r>
          </w:p>
        </w:tc>
        <w:tc>
          <w:tcPr>
            <w:tcW w:w="1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0.519</w:t>
            </w:r>
          </w:p>
        </w:tc>
        <w:tc>
          <w:tcPr>
            <w:tcW w:w="74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0.535</w:t>
            </w:r>
          </w:p>
        </w:tc>
        <w:tc>
          <w:tcPr>
            <w:tcW w:w="7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0.429</w:t>
            </w:r>
          </w:p>
        </w:tc>
      </w:tr>
      <w:tr>
        <w:trPr>
          <w:trHeight w:val="168"/>
        </w:trPr>
        <w:tc>
          <w:tcPr>
            <w:tcW w:w="49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Net income per Series "D" share (constant pesos):</w:t>
            </w: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96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rPr>
              <w:t>Before change in accounting principle</w:t>
            </w:r>
          </w:p>
        </w:tc>
        <w:tc>
          <w:tcPr>
            <w:tcW w:w="1180" w:type="dxa"/>
            <w:vAlign w:val="bottom"/>
          </w:tcPr>
          <w:p>
            <w:pPr>
              <w:ind w:left="640"/>
              <w:spacing w:after="0" w:line="168" w:lineRule="exact"/>
              <w:rPr>
                <w:sz w:val="20"/>
                <w:szCs w:val="20"/>
                <w:color w:val="auto"/>
              </w:rPr>
            </w:pPr>
            <w:r>
              <w:rPr>
                <w:rFonts w:ascii="Courier New" w:cs="Courier New" w:eastAsia="Courier New" w:hAnsi="Courier New"/>
                <w:sz w:val="15"/>
                <w:szCs w:val="15"/>
                <w:color w:val="auto"/>
              </w:rPr>
              <w:t>Ps.</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0.649</w:t>
            </w:r>
          </w:p>
        </w:tc>
        <w:tc>
          <w:tcPr>
            <w:tcW w:w="74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Ps.</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0.680</w:t>
            </w:r>
          </w:p>
        </w:tc>
        <w:tc>
          <w:tcPr>
            <w:tcW w:w="7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Ps.</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0.537</w:t>
            </w:r>
          </w:p>
        </w:tc>
      </w:tr>
      <w:tr>
        <w:trPr>
          <w:trHeight w:val="168"/>
        </w:trPr>
        <w:tc>
          <w:tcPr>
            <w:tcW w:w="8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After</w:t>
            </w:r>
          </w:p>
        </w:tc>
        <w:tc>
          <w:tcPr>
            <w:tcW w:w="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change in</w:t>
            </w:r>
          </w:p>
        </w:tc>
        <w:tc>
          <w:tcPr>
            <w:tcW w:w="32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accounting principle</w:t>
            </w:r>
          </w:p>
        </w:tc>
        <w:tc>
          <w:tcPr>
            <w:tcW w:w="1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0.649</w:t>
            </w:r>
          </w:p>
        </w:tc>
        <w:tc>
          <w:tcPr>
            <w:tcW w:w="74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0.669</w:t>
            </w:r>
          </w:p>
        </w:tc>
        <w:tc>
          <w:tcPr>
            <w:tcW w:w="7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0.537</w:t>
            </w:r>
          </w:p>
        </w:tc>
      </w:tr>
    </w:tbl>
    <w:p>
      <w:pPr>
        <w:spacing w:after="0" w:line="5" w:lineRule="exact"/>
        <w:rPr>
          <w:sz w:val="20"/>
          <w:szCs w:val="20"/>
          <w:color w:val="auto"/>
        </w:rPr>
      </w:pPr>
    </w:p>
    <w:p>
      <w:pPr>
        <w:ind w:left="180" w:hanging="170"/>
        <w:spacing w:after="0"/>
        <w:tabs>
          <w:tab w:leader="none" w:pos="180"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9" w:lineRule="exact"/>
        <w:rPr>
          <w:rFonts w:ascii="Courier New" w:cs="Courier New" w:eastAsia="Courier New" w:hAnsi="Courier New"/>
          <w:sz w:val="14"/>
          <w:szCs w:val="14"/>
          <w:color w:val="auto"/>
        </w:rPr>
      </w:pPr>
    </w:p>
    <w:p>
      <w:pPr>
        <w:ind w:left="33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F-42</w:t>
      </w:r>
    </w:p>
    <w:p>
      <w:pPr>
        <w:sectPr>
          <w:pgSz w:w="11900" w:h="16838" w:orient="portrait"/>
          <w:cols w:equalWidth="0" w:num="1">
            <w:col w:w="10420"/>
          </w:cols>
          <w:pgMar w:left="220" w:top="960" w:right="1259" w:bottom="1440" w:gutter="0" w:footer="0" w:header="0"/>
        </w:sectPr>
      </w:pPr>
    </w:p>
    <w:bookmarkStart w:id="205" w:name="page206"/>
    <w:bookmarkEnd w:id="205"/>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Cash Flows (1)</w:t>
            </w:r>
          </w:p>
        </w:tc>
        <w:tc>
          <w:tcPr>
            <w:tcW w:w="3620" w:type="dxa"/>
            <w:vAlign w:val="bottom"/>
          </w:tcPr>
          <w:p>
            <w:pPr>
              <w:jc w:val="right"/>
              <w:ind w:right="567"/>
              <w:spacing w:after="0"/>
              <w:rPr>
                <w:sz w:val="20"/>
                <w:szCs w:val="20"/>
                <w:color w:val="auto"/>
              </w:rPr>
            </w:pPr>
            <w:r>
              <w:rPr>
                <w:rFonts w:ascii="Courier New" w:cs="Courier New" w:eastAsia="Courier New" w:hAnsi="Courier New"/>
                <w:sz w:val="15"/>
                <w:szCs w:val="15"/>
                <w:color w:val="auto"/>
              </w:rPr>
              <w:t>2002</w:t>
            </w:r>
          </w:p>
        </w:tc>
        <w:tc>
          <w:tcPr>
            <w:tcW w:w="1660" w:type="dxa"/>
            <w:vAlign w:val="bottom"/>
          </w:tcPr>
          <w:p>
            <w:pPr>
              <w:jc w:val="right"/>
              <w:ind w:right="567"/>
              <w:spacing w:after="0"/>
              <w:rPr>
                <w:sz w:val="20"/>
                <w:szCs w:val="20"/>
                <w:color w:val="auto"/>
              </w:rPr>
            </w:pPr>
            <w:r>
              <w:rPr>
                <w:rFonts w:ascii="Courier New" w:cs="Courier New" w:eastAsia="Courier New" w:hAnsi="Courier New"/>
                <w:sz w:val="15"/>
                <w:szCs w:val="15"/>
                <w:color w:val="auto"/>
              </w:rPr>
              <w:t>2001</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720" w:type="dxa"/>
            <w:vAlign w:val="bottom"/>
          </w:tcPr>
          <w:p>
            <w:pPr>
              <w:ind w:left="2240"/>
              <w:spacing w:after="0"/>
              <w:rPr>
                <w:sz w:val="20"/>
                <w:szCs w:val="20"/>
                <w:color w:val="auto"/>
              </w:rPr>
            </w:pPr>
            <w:r>
              <w:rPr>
                <w:rFonts w:ascii="Courier New" w:cs="Courier New" w:eastAsia="Courier New" w:hAnsi="Courier New"/>
                <w:sz w:val="15"/>
                <w:szCs w:val="15"/>
                <w:color w:val="auto"/>
              </w:rPr>
              <w:t>Ps.</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4,726</w:t>
            </w:r>
          </w:p>
        </w:tc>
        <w:tc>
          <w:tcPr>
            <w:tcW w:w="740" w:type="dxa"/>
            <w:vAlign w:val="bottom"/>
          </w:tcPr>
          <w:p>
            <w:pPr>
              <w:ind w:left="200"/>
              <w:spacing w:after="0"/>
              <w:rPr>
                <w:sz w:val="20"/>
                <w:szCs w:val="20"/>
                <w:color w:val="auto"/>
              </w:rPr>
            </w:pPr>
            <w:r>
              <w:rPr>
                <w:rFonts w:ascii="Courier New" w:cs="Courier New" w:eastAsia="Courier New" w:hAnsi="Courier New"/>
                <w:sz w:val="15"/>
                <w:szCs w:val="15"/>
                <w:color w:val="auto"/>
              </w:rPr>
              <w:t>Ps.</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4,372</w:t>
            </w:r>
          </w:p>
        </w:tc>
        <w:tc>
          <w:tcPr>
            <w:tcW w:w="740" w:type="dxa"/>
            <w:vAlign w:val="bottom"/>
          </w:tcPr>
          <w:p>
            <w:pPr>
              <w:ind w:left="220"/>
              <w:spacing w:after="0"/>
              <w:rPr>
                <w:sz w:val="20"/>
                <w:szCs w:val="20"/>
                <w:color w:val="auto"/>
              </w:rPr>
            </w:pPr>
            <w:r>
              <w:rPr>
                <w:rFonts w:ascii="Courier New" w:cs="Courier New" w:eastAsia="Courier New" w:hAnsi="Courier New"/>
                <w:sz w:val="15"/>
                <w:szCs w:val="15"/>
                <w:color w:val="auto"/>
              </w:rPr>
              <w:t>Ps.</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3,227</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Non-cash items</w:t>
            </w:r>
          </w:p>
        </w:tc>
        <w:tc>
          <w:tcPr>
            <w:tcW w:w="272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4,128</w:t>
            </w:r>
          </w:p>
        </w:tc>
        <w:tc>
          <w:tcPr>
            <w:tcW w:w="74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4,321</w:t>
            </w:r>
          </w:p>
        </w:tc>
        <w:tc>
          <w:tcPr>
            <w:tcW w:w="7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3,768</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40" w:type="dxa"/>
            <w:vAlign w:val="bottom"/>
          </w:tcPr>
          <w:p>
            <w:pPr>
              <w:spacing w:after="0"/>
              <w:rPr>
                <w:sz w:val="20"/>
                <w:szCs w:val="20"/>
                <w:color w:val="auto"/>
              </w:rPr>
            </w:pPr>
            <w:r>
              <w:rPr>
                <w:rFonts w:ascii="Courier New" w:cs="Courier New" w:eastAsia="Courier New" w:hAnsi="Courier New"/>
                <w:sz w:val="15"/>
                <w:szCs w:val="15"/>
                <w:color w:val="auto"/>
              </w:rPr>
              <w:t>Gross operating cash flows</w:t>
            </w:r>
          </w:p>
        </w:tc>
        <w:tc>
          <w:tcPr>
            <w:tcW w:w="31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8,854</w:t>
            </w:r>
          </w:p>
        </w:tc>
        <w:tc>
          <w:tcPr>
            <w:tcW w:w="166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8,693</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6,995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40" w:type="dxa"/>
            <w:vAlign w:val="bottom"/>
          </w:tcPr>
          <w:p>
            <w:pPr>
              <w:spacing w:after="0"/>
              <w:rPr>
                <w:sz w:val="20"/>
                <w:szCs w:val="20"/>
                <w:color w:val="auto"/>
              </w:rPr>
            </w:pPr>
            <w:r>
              <w:rPr>
                <w:rFonts w:ascii="Courier New" w:cs="Courier New" w:eastAsia="Courier New" w:hAnsi="Courier New"/>
                <w:sz w:val="15"/>
                <w:szCs w:val="15"/>
                <w:color w:val="auto"/>
              </w:rPr>
              <w:t>Working capital investment</w:t>
            </w:r>
          </w:p>
        </w:tc>
        <w:tc>
          <w:tcPr>
            <w:tcW w:w="31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355</w:t>
            </w:r>
          </w:p>
        </w:tc>
        <w:tc>
          <w:tcPr>
            <w:tcW w:w="166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(107)</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448</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Recoverable taxes, net</w:t>
            </w:r>
          </w:p>
        </w:tc>
        <w:tc>
          <w:tcPr>
            <w:tcW w:w="31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(225)</w:t>
            </w:r>
          </w:p>
        </w:tc>
        <w:tc>
          <w:tcPr>
            <w:tcW w:w="16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641</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(849)</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payable</w:t>
            </w:r>
          </w:p>
        </w:tc>
        <w:tc>
          <w:tcPr>
            <w:tcW w:w="31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w:t>
            </w:r>
          </w:p>
        </w:tc>
        <w:tc>
          <w:tcPr>
            <w:tcW w:w="16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(36)</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Labor obligations</w:t>
            </w:r>
          </w:p>
        </w:tc>
        <w:tc>
          <w:tcPr>
            <w:tcW w:w="31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(101)</w:t>
            </w:r>
          </w:p>
        </w:tc>
        <w:tc>
          <w:tcPr>
            <w:tcW w:w="16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(87)</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60" w:type="dxa"/>
            <w:vAlign w:val="bottom"/>
          </w:tcPr>
          <w:p>
            <w:pPr>
              <w:spacing w:after="0"/>
              <w:rPr>
                <w:sz w:val="20"/>
                <w:szCs w:val="20"/>
                <w:color w:val="auto"/>
              </w:rPr>
            </w:pPr>
            <w:r>
              <w:rPr>
                <w:rFonts w:ascii="Courier New" w:cs="Courier New" w:eastAsia="Courier New" w:hAnsi="Courier New"/>
                <w:sz w:val="15"/>
                <w:szCs w:val="15"/>
                <w:color w:val="auto"/>
              </w:rPr>
              <w:t>Net cash flows from operating activities</w:t>
            </w:r>
          </w:p>
        </w:tc>
        <w:tc>
          <w:tcPr>
            <w:tcW w:w="24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8,882</w:t>
            </w:r>
          </w:p>
        </w:tc>
        <w:tc>
          <w:tcPr>
            <w:tcW w:w="166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9,104</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6,546</w:t>
            </w:r>
          </w:p>
        </w:tc>
      </w:tr>
    </w:tbl>
    <w:p>
      <w:pPr>
        <w:spacing w:after="0" w:line="5" w:lineRule="exact"/>
        <w:rPr>
          <w:sz w:val="20"/>
          <w:szCs w:val="20"/>
          <w:color w:val="auto"/>
        </w:rPr>
      </w:pPr>
    </w:p>
    <w:p>
      <w:pPr>
        <w:ind w:left="180" w:hanging="170"/>
        <w:spacing w:after="0"/>
        <w:tabs>
          <w:tab w:leader="none" w:pos="180"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Investment in:</w:t>
      </w:r>
    </w:p>
    <w:tbl>
      <w:tblPr>
        <w:tblLayout w:type="fixed"/>
        <w:tblInd w:w="360" w:type="dxa"/>
        <w:tblCellMar>
          <w:top w:w="0" w:type="dxa"/>
          <w:left w:w="0" w:type="dxa"/>
          <w:bottom w:w="0" w:type="dxa"/>
          <w:right w:w="0" w:type="dxa"/>
        </w:tblCellMar>
      </w:tblPr>
      <w:tr>
        <w:trPr>
          <w:trHeight w:val="169"/>
        </w:trPr>
        <w:tc>
          <w:tcPr>
            <w:tcW w:w="4200" w:type="dxa"/>
            <w:vAlign w:val="bottom"/>
          </w:tcPr>
          <w:p>
            <w:pPr>
              <w:spacing w:after="0" w:line="169" w:lineRule="exact"/>
              <w:rPr>
                <w:sz w:val="20"/>
                <w:szCs w:val="20"/>
                <w:color w:val="auto"/>
              </w:rPr>
            </w:pPr>
            <w:r>
              <w:rPr>
                <w:rFonts w:ascii="Courier New" w:cs="Courier New" w:eastAsia="Courier New" w:hAnsi="Courier New"/>
                <w:sz w:val="15"/>
                <w:szCs w:val="15"/>
                <w:color w:val="auto"/>
              </w:rPr>
              <w:t>Shares</w:t>
            </w:r>
          </w:p>
        </w:tc>
        <w:tc>
          <w:tcPr>
            <w:tcW w:w="2800" w:type="dxa"/>
            <w:vAlign w:val="bottom"/>
          </w:tcPr>
          <w:p>
            <w:pPr>
              <w:jc w:val="right"/>
              <w:ind w:right="447"/>
              <w:spacing w:after="0" w:line="169" w:lineRule="exact"/>
              <w:rPr>
                <w:sz w:val="20"/>
                <w:szCs w:val="20"/>
                <w:color w:val="auto"/>
              </w:rPr>
            </w:pPr>
            <w:r>
              <w:rPr>
                <w:rFonts w:ascii="Courier New" w:cs="Courier New" w:eastAsia="Courier New" w:hAnsi="Courier New"/>
                <w:sz w:val="15"/>
                <w:szCs w:val="15"/>
                <w:color w:val="auto"/>
              </w:rPr>
              <w:t>(3)</w:t>
            </w:r>
          </w:p>
        </w:tc>
        <w:tc>
          <w:tcPr>
            <w:tcW w:w="1660" w:type="dxa"/>
            <w:vAlign w:val="bottom"/>
          </w:tcPr>
          <w:p>
            <w:pPr>
              <w:jc w:val="right"/>
              <w:ind w:right="447"/>
              <w:spacing w:after="0" w:line="169" w:lineRule="exact"/>
              <w:rPr>
                <w:sz w:val="20"/>
                <w:szCs w:val="20"/>
                <w:color w:val="auto"/>
              </w:rPr>
            </w:pPr>
            <w:r>
              <w:rPr>
                <w:rFonts w:ascii="Courier New" w:cs="Courier New" w:eastAsia="Courier New" w:hAnsi="Courier New"/>
                <w:sz w:val="15"/>
                <w:szCs w:val="15"/>
                <w:color w:val="auto"/>
              </w:rPr>
              <w:t>77</w:t>
            </w:r>
          </w:p>
        </w:tc>
        <w:tc>
          <w:tcPr>
            <w:tcW w:w="114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589</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Property, plant and equipment</w:t>
            </w:r>
          </w:p>
        </w:tc>
        <w:tc>
          <w:tcPr>
            <w:tcW w:w="28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(5,299)</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(4,658)</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(4,006)</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assets</w:t>
            </w:r>
          </w:p>
        </w:tc>
        <w:tc>
          <w:tcPr>
            <w:tcW w:w="28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(97)</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71</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(222)</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0" w:type="dxa"/>
            <w:vAlign w:val="bottom"/>
          </w:tcPr>
          <w:p>
            <w:pPr>
              <w:spacing w:after="0"/>
              <w:rPr>
                <w:sz w:val="20"/>
                <w:szCs w:val="20"/>
                <w:color w:val="auto"/>
              </w:rPr>
            </w:pPr>
            <w:r>
              <w:rPr>
                <w:rFonts w:ascii="Courier New" w:cs="Courier New" w:eastAsia="Courier New" w:hAnsi="Courier New"/>
                <w:sz w:val="15"/>
                <w:szCs w:val="15"/>
                <w:color w:val="auto"/>
              </w:rPr>
              <w:t>Net cash flows used in investing activities</w:t>
            </w:r>
          </w:p>
        </w:tc>
        <w:tc>
          <w:tcPr>
            <w:tcW w:w="2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(5,399)</w:t>
            </w:r>
          </w:p>
        </w:tc>
        <w:tc>
          <w:tcPr>
            <w:tcW w:w="16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(4,510)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(3,639)</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40" w:type="dxa"/>
            <w:vAlign w:val="bottom"/>
          </w:tcPr>
          <w:p>
            <w:pPr>
              <w:spacing w:after="0"/>
              <w:rPr>
                <w:sz w:val="20"/>
                <w:szCs w:val="20"/>
                <w:color w:val="auto"/>
              </w:rPr>
            </w:pPr>
            <w:r>
              <w:rPr>
                <w:rFonts w:ascii="Courier New" w:cs="Courier New" w:eastAsia="Courier New" w:hAnsi="Courier New"/>
                <w:sz w:val="15"/>
                <w:szCs w:val="15"/>
                <w:color w:val="auto"/>
              </w:rPr>
              <w:t>Bank loans</w:t>
            </w:r>
          </w:p>
        </w:tc>
        <w:tc>
          <w:tcPr>
            <w:tcW w:w="30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4,493</w:t>
            </w:r>
          </w:p>
        </w:tc>
        <w:tc>
          <w:tcPr>
            <w:tcW w:w="17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(389)</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Decrease in capital stock</w:t>
            </w:r>
          </w:p>
        </w:tc>
        <w:tc>
          <w:tcPr>
            <w:tcW w:w="30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(6)</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Dividends declared and paid</w:t>
            </w:r>
          </w:p>
        </w:tc>
        <w:tc>
          <w:tcPr>
            <w:tcW w:w="30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(1,095)</w:t>
            </w:r>
          </w:p>
        </w:tc>
        <w:tc>
          <w:tcPr>
            <w:tcW w:w="17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(1,101)</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(981)</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financial transactions</w:t>
            </w:r>
          </w:p>
        </w:tc>
        <w:tc>
          <w:tcPr>
            <w:tcW w:w="30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480</w:t>
            </w:r>
          </w:p>
        </w:tc>
        <w:tc>
          <w:tcPr>
            <w:tcW w:w="17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(291)</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80" w:type="dxa"/>
            <w:vAlign w:val="bottom"/>
          </w:tcPr>
          <w:p>
            <w:pPr>
              <w:spacing w:after="0"/>
              <w:rPr>
                <w:sz w:val="20"/>
                <w:szCs w:val="20"/>
                <w:color w:val="auto"/>
              </w:rPr>
            </w:pPr>
            <w:r>
              <w:rPr>
                <w:rFonts w:ascii="Courier New" w:cs="Courier New" w:eastAsia="Courier New" w:hAnsi="Courier New"/>
                <w:sz w:val="15"/>
                <w:szCs w:val="15"/>
                <w:color w:val="auto"/>
              </w:rPr>
              <w:t>Net cash flows used in financing activities</w:t>
            </w:r>
          </w:p>
        </w:tc>
        <w:tc>
          <w:tcPr>
            <w:tcW w:w="22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3,878</w:t>
            </w:r>
          </w:p>
        </w:tc>
        <w:tc>
          <w:tcPr>
            <w:tcW w:w="16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(1,388)</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(1,262)</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Effect of exchange rate changes on cash</w:t>
            </w:r>
          </w:p>
        </w:tc>
        <w:tc>
          <w:tcPr>
            <w:tcW w:w="22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(25)</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60" w:type="dxa"/>
            <w:vAlign w:val="bottom"/>
          </w:tcPr>
          <w:p>
            <w:pPr>
              <w:spacing w:after="0"/>
              <w:rPr>
                <w:sz w:val="20"/>
                <w:szCs w:val="20"/>
                <w:color w:val="auto"/>
              </w:rPr>
            </w:pPr>
            <w:r>
              <w:rPr>
                <w:rFonts w:ascii="Courier New" w:cs="Courier New" w:eastAsia="Courier New" w:hAnsi="Courier New"/>
                <w:sz w:val="15"/>
                <w:szCs w:val="15"/>
                <w:color w:val="auto"/>
              </w:rPr>
              <w:t>Net increase in cash and cash equivalents</w:t>
            </w:r>
          </w:p>
        </w:tc>
        <w:tc>
          <w:tcPr>
            <w:tcW w:w="18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7,361</w:t>
            </w:r>
          </w:p>
        </w:tc>
        <w:tc>
          <w:tcPr>
            <w:tcW w:w="166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3,181</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1,424</w:t>
            </w:r>
          </w:p>
        </w:tc>
      </w:tr>
      <w:tr>
        <w:trPr>
          <w:trHeight w:val="168"/>
        </w:trPr>
        <w:tc>
          <w:tcPr>
            <w:tcW w:w="556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at the beginning of the year</w:t>
            </w:r>
          </w:p>
        </w:tc>
        <w:tc>
          <w:tcPr>
            <w:tcW w:w="18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7,195</w:t>
            </w:r>
          </w:p>
        </w:tc>
        <w:tc>
          <w:tcPr>
            <w:tcW w:w="16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4,014</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2,590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tabs>
          <w:tab w:leader="none" w:pos="5680" w:val="left"/>
          <w:tab w:leader="none" w:pos="6280" w:val="left"/>
          <w:tab w:leader="none" w:pos="7240" w:val="left"/>
          <w:tab w:leader="none" w:pos="8040" w:val="left"/>
          <w:tab w:leader="none" w:pos="8920" w:val="left"/>
          <w:tab w:leader="none" w:pos="9700" w:val="left"/>
        </w:tabs>
        <w:rPr>
          <w:sz w:val="20"/>
          <w:szCs w:val="20"/>
          <w:color w:val="auto"/>
        </w:rPr>
      </w:pPr>
      <w:r>
        <w:rPr>
          <w:rFonts w:ascii="Courier New" w:cs="Courier New" w:eastAsia="Courier New" w:hAnsi="Courier New"/>
          <w:sz w:val="15"/>
          <w:szCs w:val="15"/>
          <w:color w:val="auto"/>
        </w:rPr>
        <w:t>Cash and cash equivalents at the end of the year</w:t>
      </w:r>
      <w:r>
        <w:rPr>
          <w:sz w:val="20"/>
          <w:szCs w:val="20"/>
          <w:color w:val="auto"/>
        </w:rPr>
        <w:tab/>
      </w:r>
      <w:r>
        <w:rPr>
          <w:rFonts w:ascii="Courier New" w:cs="Courier New" w:eastAsia="Courier New" w:hAnsi="Courier New"/>
          <w:sz w:val="15"/>
          <w:szCs w:val="15"/>
          <w:color w:val="auto"/>
        </w:rPr>
        <w:t>Ps.</w:t>
      </w:r>
      <w:r>
        <w:rPr>
          <w:sz w:val="20"/>
          <w:szCs w:val="20"/>
          <w:color w:val="auto"/>
        </w:rPr>
        <w:tab/>
      </w:r>
      <w:r>
        <w:rPr>
          <w:rFonts w:ascii="Courier New" w:cs="Courier New" w:eastAsia="Courier New" w:hAnsi="Courier New"/>
          <w:sz w:val="15"/>
          <w:szCs w:val="15"/>
          <w:color w:val="auto"/>
        </w:rPr>
        <w:t>14,556</w:t>
      </w:r>
      <w:r>
        <w:rPr>
          <w:sz w:val="20"/>
          <w:szCs w:val="20"/>
          <w:color w:val="auto"/>
        </w:rPr>
        <w:tab/>
      </w:r>
      <w:r>
        <w:rPr>
          <w:rFonts w:ascii="Courier New" w:cs="Courier New" w:eastAsia="Courier New" w:hAnsi="Courier New"/>
          <w:sz w:val="15"/>
          <w:szCs w:val="15"/>
          <w:color w:val="auto"/>
        </w:rPr>
        <w:t>Ps.</w:t>
      </w:r>
      <w:r>
        <w:rPr>
          <w:sz w:val="20"/>
          <w:szCs w:val="20"/>
          <w:color w:val="auto"/>
        </w:rPr>
        <w:tab/>
      </w:r>
      <w:r>
        <w:rPr>
          <w:rFonts w:ascii="Courier New" w:cs="Courier New" w:eastAsia="Courier New" w:hAnsi="Courier New"/>
          <w:sz w:val="15"/>
          <w:szCs w:val="15"/>
          <w:color w:val="auto"/>
        </w:rPr>
        <w:t>7,195</w:t>
      </w:r>
      <w:r>
        <w:rPr>
          <w:sz w:val="20"/>
          <w:szCs w:val="20"/>
          <w:color w:val="auto"/>
        </w:rPr>
        <w:tab/>
      </w:r>
      <w:r>
        <w:rPr>
          <w:rFonts w:ascii="Courier New" w:cs="Courier New" w:eastAsia="Courier New" w:hAnsi="Courier New"/>
          <w:sz w:val="15"/>
          <w:szCs w:val="15"/>
          <w:color w:val="auto"/>
        </w:rPr>
        <w:t>Ps.</w:t>
      </w:r>
      <w:r>
        <w:rPr>
          <w:sz w:val="20"/>
          <w:szCs w:val="20"/>
          <w:color w:val="auto"/>
        </w:rPr>
        <w:tab/>
      </w:r>
      <w:r>
        <w:rPr>
          <w:rFonts w:ascii="Courier New" w:cs="Courier New" w:eastAsia="Courier New" w:hAnsi="Courier New"/>
          <w:sz w:val="14"/>
          <w:szCs w:val="14"/>
          <w:color w:val="auto"/>
        </w:rPr>
        <w:t>4,014</w:t>
      </w:r>
    </w:p>
    <w:p>
      <w:pPr>
        <w:spacing w:after="0" w:line="5" w:lineRule="exact"/>
        <w:rPr>
          <w:sz w:val="20"/>
          <w:szCs w:val="20"/>
          <w:color w:val="auto"/>
        </w:rPr>
      </w:pPr>
    </w:p>
    <w:p>
      <w:pPr>
        <w:ind w:left="180" w:hanging="170"/>
        <w:spacing w:after="0"/>
        <w:tabs>
          <w:tab w:leader="none" w:pos="180"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Supplemental cash flows information:</w:t>
      </w:r>
    </w:p>
    <w:tbl>
      <w:tblPr>
        <w:tblLayout w:type="fixed"/>
        <w:tblInd w:w="360" w:type="dxa"/>
        <w:tblCellMar>
          <w:top w:w="0" w:type="dxa"/>
          <w:left w:w="0" w:type="dxa"/>
          <w:bottom w:w="0" w:type="dxa"/>
          <w:right w:w="0" w:type="dxa"/>
        </w:tblCellMar>
      </w:tblPr>
      <w:tr>
        <w:trPr>
          <w:trHeight w:val="169"/>
        </w:trPr>
        <w:tc>
          <w:tcPr>
            <w:tcW w:w="4120" w:type="dxa"/>
            <w:vAlign w:val="bottom"/>
          </w:tcPr>
          <w:p>
            <w:pPr>
              <w:spacing w:after="0" w:line="169" w:lineRule="exact"/>
              <w:rPr>
                <w:sz w:val="20"/>
                <w:szCs w:val="20"/>
                <w:color w:val="auto"/>
              </w:rPr>
            </w:pPr>
            <w:r>
              <w:rPr>
                <w:rFonts w:ascii="Courier New" w:cs="Courier New" w:eastAsia="Courier New" w:hAnsi="Courier New"/>
                <w:sz w:val="15"/>
                <w:szCs w:val="15"/>
                <w:color w:val="auto"/>
              </w:rPr>
              <w:t>Interest paid</w:t>
            </w:r>
          </w:p>
        </w:tc>
        <w:tc>
          <w:tcPr>
            <w:tcW w:w="1700" w:type="dxa"/>
            <w:vAlign w:val="bottom"/>
          </w:tcPr>
          <w:p>
            <w:pPr>
              <w:ind w:left="1220"/>
              <w:spacing w:after="0" w:line="169" w:lineRule="exact"/>
              <w:rPr>
                <w:sz w:val="20"/>
                <w:szCs w:val="20"/>
                <w:color w:val="auto"/>
              </w:rPr>
            </w:pPr>
            <w:r>
              <w:rPr>
                <w:rFonts w:ascii="Courier New" w:cs="Courier New" w:eastAsia="Courier New" w:hAnsi="Courier New"/>
                <w:sz w:val="15"/>
                <w:szCs w:val="15"/>
                <w:color w:val="auto"/>
              </w:rPr>
              <w:t>Ps.</w:t>
            </w:r>
          </w:p>
        </w:tc>
        <w:tc>
          <w:tcPr>
            <w:tcW w:w="880" w:type="dxa"/>
            <w:vAlign w:val="bottom"/>
          </w:tcPr>
          <w:p>
            <w:pPr>
              <w:jc w:val="right"/>
              <w:ind w:right="147"/>
              <w:spacing w:after="0" w:line="169" w:lineRule="exact"/>
              <w:rPr>
                <w:sz w:val="20"/>
                <w:szCs w:val="20"/>
                <w:color w:val="auto"/>
              </w:rPr>
            </w:pPr>
            <w:r>
              <w:rPr>
                <w:rFonts w:ascii="Courier New" w:cs="Courier New" w:eastAsia="Courier New" w:hAnsi="Courier New"/>
                <w:sz w:val="15"/>
                <w:szCs w:val="15"/>
                <w:color w:val="auto"/>
              </w:rPr>
              <w:t>364</w:t>
            </w:r>
          </w:p>
        </w:tc>
        <w:tc>
          <w:tcPr>
            <w:tcW w:w="740" w:type="dxa"/>
            <w:vAlign w:val="bottom"/>
          </w:tcPr>
          <w:p>
            <w:pPr>
              <w:ind w:left="200"/>
              <w:spacing w:after="0" w:line="169" w:lineRule="exact"/>
              <w:rPr>
                <w:sz w:val="20"/>
                <w:szCs w:val="20"/>
                <w:color w:val="auto"/>
              </w:rPr>
            </w:pPr>
            <w:r>
              <w:rPr>
                <w:rFonts w:ascii="Courier New" w:cs="Courier New" w:eastAsia="Courier New" w:hAnsi="Courier New"/>
                <w:sz w:val="15"/>
                <w:szCs w:val="15"/>
                <w:color w:val="auto"/>
              </w:rPr>
              <w:t>Ps.</w:t>
            </w:r>
          </w:p>
        </w:tc>
        <w:tc>
          <w:tcPr>
            <w:tcW w:w="920" w:type="dxa"/>
            <w:vAlign w:val="bottom"/>
          </w:tcPr>
          <w:p>
            <w:pPr>
              <w:jc w:val="right"/>
              <w:ind w:right="147"/>
              <w:spacing w:after="0" w:line="169" w:lineRule="exact"/>
              <w:rPr>
                <w:sz w:val="20"/>
                <w:szCs w:val="20"/>
                <w:color w:val="auto"/>
              </w:rPr>
            </w:pPr>
            <w:r>
              <w:rPr>
                <w:rFonts w:ascii="Courier New" w:cs="Courier New" w:eastAsia="Courier New" w:hAnsi="Courier New"/>
                <w:sz w:val="15"/>
                <w:szCs w:val="15"/>
                <w:color w:val="auto"/>
              </w:rPr>
              <w:t>418</w:t>
            </w:r>
          </w:p>
        </w:tc>
        <w:tc>
          <w:tcPr>
            <w:tcW w:w="740" w:type="dxa"/>
            <w:vAlign w:val="bottom"/>
          </w:tcPr>
          <w:p>
            <w:pPr>
              <w:ind w:left="220"/>
              <w:spacing w:after="0" w:line="169" w:lineRule="exact"/>
              <w:rPr>
                <w:sz w:val="20"/>
                <w:szCs w:val="20"/>
                <w:color w:val="auto"/>
              </w:rPr>
            </w:pPr>
            <w:r>
              <w:rPr>
                <w:rFonts w:ascii="Courier New" w:cs="Courier New" w:eastAsia="Courier New" w:hAnsi="Courier New"/>
                <w:sz w:val="15"/>
                <w:szCs w:val="15"/>
                <w:color w:val="auto"/>
              </w:rPr>
              <w:t>Ps.</w:t>
            </w:r>
          </w:p>
        </w:tc>
        <w:tc>
          <w:tcPr>
            <w:tcW w:w="70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492</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 and tax on assets paid</w:t>
            </w:r>
          </w:p>
        </w:tc>
        <w:tc>
          <w:tcPr>
            <w:tcW w:w="170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3,629</w:t>
            </w:r>
          </w:p>
        </w:tc>
        <w:tc>
          <w:tcPr>
            <w:tcW w:w="74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2,007</w:t>
            </w:r>
          </w:p>
        </w:tc>
        <w:tc>
          <w:tcPr>
            <w:tcW w:w="7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2,484</w:t>
            </w:r>
          </w:p>
        </w:tc>
      </w:tr>
    </w:tbl>
    <w:p>
      <w:pPr>
        <w:spacing w:after="0" w:line="5" w:lineRule="exact"/>
        <w:rPr>
          <w:sz w:val="20"/>
          <w:szCs w:val="20"/>
          <w:color w:val="auto"/>
        </w:rPr>
      </w:pPr>
    </w:p>
    <w:p>
      <w:pPr>
        <w:ind w:left="180" w:hanging="170"/>
        <w:spacing w:after="0"/>
        <w:tabs>
          <w:tab w:leader="none" w:pos="180"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82"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140" w:type="dxa"/>
            <w:vAlign w:val="bottom"/>
          </w:tcPr>
          <w:p>
            <w:pPr>
              <w:spacing w:after="0"/>
              <w:rPr>
                <w:sz w:val="20"/>
                <w:szCs w:val="20"/>
                <w:color w:val="auto"/>
              </w:rPr>
            </w:pPr>
            <w:r>
              <w:rPr>
                <w:rFonts w:ascii="Courier New" w:cs="Courier New" w:eastAsia="Courier New" w:hAnsi="Courier New"/>
                <w:sz w:val="15"/>
                <w:szCs w:val="15"/>
                <w:color w:val="auto"/>
              </w:rPr>
              <w:t>Statements of Changes in Stockholders' Equity</w:t>
            </w:r>
          </w:p>
        </w:tc>
        <w:tc>
          <w:tcPr>
            <w:tcW w:w="31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2001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60" w:type="dxa"/>
            <w:vAlign w:val="bottom"/>
          </w:tcPr>
          <w:p>
            <w:pPr>
              <w:spacing w:after="0"/>
              <w:rPr>
                <w:sz w:val="20"/>
                <w:szCs w:val="20"/>
                <w:color w:val="auto"/>
              </w:rPr>
            </w:pPr>
            <w:r>
              <w:rPr>
                <w:rFonts w:ascii="Courier New" w:cs="Courier New" w:eastAsia="Courier New" w:hAnsi="Courier New"/>
                <w:sz w:val="15"/>
                <w:szCs w:val="15"/>
                <w:color w:val="auto"/>
              </w:rPr>
              <w:t>Stockholders' equity at the beginning of the year</w:t>
            </w:r>
          </w:p>
        </w:tc>
        <w:tc>
          <w:tcPr>
            <w:tcW w:w="2060" w:type="dxa"/>
            <w:vAlign w:val="bottom"/>
          </w:tcPr>
          <w:p>
            <w:pPr>
              <w:ind w:left="1580"/>
              <w:spacing w:after="0"/>
              <w:rPr>
                <w:sz w:val="20"/>
                <w:szCs w:val="20"/>
                <w:color w:val="auto"/>
              </w:rPr>
            </w:pPr>
            <w:r>
              <w:rPr>
                <w:rFonts w:ascii="Courier New" w:cs="Courier New" w:eastAsia="Courier New" w:hAnsi="Courier New"/>
                <w:sz w:val="15"/>
                <w:szCs w:val="15"/>
                <w:color w:val="auto"/>
              </w:rPr>
              <w:t>Ps.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35,196</w:t>
            </w:r>
          </w:p>
        </w:tc>
        <w:tc>
          <w:tcPr>
            <w:tcW w:w="600" w:type="dxa"/>
            <w:vAlign w:val="bottom"/>
          </w:tcPr>
          <w:p>
            <w:pPr>
              <w:ind w:left="40"/>
              <w:spacing w:after="0"/>
              <w:rPr>
                <w:sz w:val="20"/>
                <w:szCs w:val="20"/>
                <w:color w:val="auto"/>
              </w:rPr>
            </w:pPr>
            <w:r>
              <w:rPr>
                <w:rFonts w:ascii="Courier New" w:cs="Courier New" w:eastAsia="Courier New" w:hAnsi="Courier New"/>
                <w:sz w:val="15"/>
                <w:szCs w:val="15"/>
                <w:color w:val="auto"/>
              </w:rPr>
              <w:t>Ps.</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33,887</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Purchase of Company's shares</w:t>
            </w:r>
          </w:p>
        </w:tc>
        <w:tc>
          <w:tcPr>
            <w:tcW w:w="20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Dividends declared and paid</w:t>
            </w:r>
          </w:p>
        </w:tc>
        <w:tc>
          <w:tcPr>
            <w:tcW w:w="20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(694)</w:t>
            </w:r>
          </w:p>
        </w:tc>
        <w:tc>
          <w:tcPr>
            <w:tcW w:w="60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(475)</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Cumulative translation adjustment</w:t>
            </w:r>
          </w:p>
        </w:tc>
        <w:tc>
          <w:tcPr>
            <w:tcW w:w="20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(373)</w:t>
            </w:r>
          </w:p>
        </w:tc>
        <w:tc>
          <w:tcPr>
            <w:tcW w:w="60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(442)</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Result of holding non-monetary assets</w:t>
            </w:r>
          </w:p>
        </w:tc>
        <w:tc>
          <w:tcPr>
            <w:tcW w:w="20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(445)</w:t>
            </w:r>
          </w:p>
        </w:tc>
        <w:tc>
          <w:tcPr>
            <w:tcW w:w="60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(884)</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for the year</w:t>
            </w:r>
          </w:p>
        </w:tc>
        <w:tc>
          <w:tcPr>
            <w:tcW w:w="20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3,083</w:t>
            </w:r>
          </w:p>
        </w:tc>
        <w:tc>
          <w:tcPr>
            <w:tcW w:w="60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3,178</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tabs>
          <w:tab w:leader="none" w:pos="7420" w:val="left"/>
          <w:tab w:leader="none" w:pos="8120" w:val="left"/>
          <w:tab w:leader="none" w:pos="8920" w:val="left"/>
          <w:tab w:leader="none" w:pos="9620" w:val="left"/>
        </w:tabs>
        <w:rPr>
          <w:sz w:val="20"/>
          <w:szCs w:val="20"/>
          <w:color w:val="auto"/>
        </w:rPr>
      </w:pPr>
      <w:r>
        <w:rPr>
          <w:rFonts w:ascii="Courier New" w:cs="Courier New" w:eastAsia="Courier New" w:hAnsi="Courier New"/>
          <w:sz w:val="15"/>
          <w:szCs w:val="15"/>
          <w:color w:val="auto"/>
        </w:rPr>
        <w:t>Stockholders' equity at the end of the year</w:t>
      </w:r>
      <w:r>
        <w:rPr>
          <w:sz w:val="20"/>
          <w:szCs w:val="20"/>
          <w:color w:val="auto"/>
        </w:rPr>
        <w:tab/>
      </w:r>
      <w:r>
        <w:rPr>
          <w:rFonts w:ascii="Courier New" w:cs="Courier New" w:eastAsia="Courier New" w:hAnsi="Courier New"/>
          <w:sz w:val="15"/>
          <w:szCs w:val="15"/>
          <w:color w:val="auto"/>
        </w:rPr>
        <w:t>Ps.</w:t>
      </w:r>
      <w:r>
        <w:rPr>
          <w:sz w:val="20"/>
          <w:szCs w:val="20"/>
          <w:color w:val="auto"/>
        </w:rPr>
        <w:tab/>
      </w:r>
      <w:r>
        <w:rPr>
          <w:rFonts w:ascii="Courier New" w:cs="Courier New" w:eastAsia="Courier New" w:hAnsi="Courier New"/>
          <w:sz w:val="15"/>
          <w:szCs w:val="15"/>
          <w:color w:val="auto"/>
        </w:rPr>
        <w:t>36,767</w:t>
      </w:r>
      <w:r>
        <w:rPr>
          <w:sz w:val="20"/>
          <w:szCs w:val="20"/>
          <w:color w:val="auto"/>
        </w:rPr>
        <w:tab/>
      </w:r>
      <w:r>
        <w:rPr>
          <w:rFonts w:ascii="Courier New" w:cs="Courier New" w:eastAsia="Courier New" w:hAnsi="Courier New"/>
          <w:sz w:val="15"/>
          <w:szCs w:val="15"/>
          <w:color w:val="auto"/>
        </w:rPr>
        <w:t>Ps.</w:t>
      </w:r>
      <w:r>
        <w:rPr>
          <w:sz w:val="20"/>
          <w:szCs w:val="20"/>
          <w:color w:val="auto"/>
        </w:rPr>
        <w:tab/>
      </w:r>
      <w:r>
        <w:rPr>
          <w:rFonts w:ascii="Courier New" w:cs="Courier New" w:eastAsia="Courier New" w:hAnsi="Courier New"/>
          <w:sz w:val="14"/>
          <w:szCs w:val="14"/>
          <w:color w:val="auto"/>
        </w:rPr>
        <w:t>35,196</w:t>
      </w:r>
    </w:p>
    <w:p>
      <w:pPr>
        <w:spacing w:after="0" w:line="5" w:lineRule="exact"/>
        <w:rPr>
          <w:sz w:val="20"/>
          <w:szCs w:val="20"/>
          <w:color w:val="auto"/>
        </w:rPr>
      </w:pPr>
    </w:p>
    <w:p>
      <w:pPr>
        <w:ind w:left="180" w:hanging="170"/>
        <w:spacing w:after="0"/>
        <w:tabs>
          <w:tab w:leader="none" w:pos="180"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 Expressed in millions of historical Mexican pesos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F-43</w:t>
      </w:r>
    </w:p>
    <w:p>
      <w:pPr>
        <w:sectPr>
          <w:pgSz w:w="11900" w:h="16838" w:orient="portrait"/>
          <w:cols w:equalWidth="0" w:num="1">
            <w:col w:w="10420"/>
          </w:cols>
          <w:pgMar w:left="220" w:top="792" w:right="1259" w:bottom="1440" w:gutter="0" w:footer="0" w:header="0"/>
        </w:sectPr>
      </w:pPr>
    </w:p>
    <w:bookmarkStart w:id="206" w:name="page207"/>
    <w:bookmarkEnd w:id="206"/>
    <w:p>
      <w:pPr>
        <w:spacing w:after="0"/>
        <w:tabs>
          <w:tab w:leader="none" w:pos="960" w:val="left"/>
        </w:tabs>
        <w:rPr>
          <w:sz w:val="20"/>
          <w:szCs w:val="20"/>
          <w:color w:val="auto"/>
        </w:rPr>
      </w:pPr>
      <w:r>
        <w:rPr>
          <w:rFonts w:ascii="Courier New" w:cs="Courier New" w:eastAsia="Courier New" w:hAnsi="Courier New"/>
          <w:sz w:val="15"/>
          <w:szCs w:val="15"/>
          <w:color w:val="auto"/>
        </w:rPr>
        <w:t>Note 25.</w:t>
      </w:r>
      <w:r>
        <w:rPr>
          <w:sz w:val="20"/>
          <w:szCs w:val="20"/>
          <w:color w:val="auto"/>
        </w:rPr>
        <w:tab/>
      </w:r>
      <w:r>
        <w:rPr>
          <w:rFonts w:ascii="Courier New" w:cs="Courier New" w:eastAsia="Courier New" w:hAnsi="Courier New"/>
          <w:sz w:val="14"/>
          <w:szCs w:val="14"/>
          <w:color w:val="auto"/>
        </w:rPr>
        <w:t>Reconciliation of Mexican GAAP to US GAAP.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Reconciliation of Net Income for the Year:</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6660"/>
        <w:spacing w:after="0"/>
        <w:tabs>
          <w:tab w:leader="none" w:pos="8220" w:val="left"/>
          <w:tab w:leader="none" w:pos="9780" w:val="left"/>
        </w:tabs>
        <w:rPr>
          <w:sz w:val="20"/>
          <w:szCs w:val="20"/>
          <w:color w:val="auto"/>
        </w:rPr>
      </w:pPr>
      <w:r>
        <w:rPr>
          <w:rFonts w:ascii="Courier New" w:cs="Courier New" w:eastAsia="Courier New" w:hAnsi="Courier New"/>
          <w:sz w:val="15"/>
          <w:szCs w:val="15"/>
          <w:color w:val="auto"/>
        </w:rPr>
        <w:t>2002</w:t>
      </w:r>
      <w:r>
        <w:rPr>
          <w:sz w:val="20"/>
          <w:szCs w:val="20"/>
          <w:color w:val="auto"/>
        </w:rPr>
        <w:tab/>
      </w:r>
      <w:r>
        <w:rPr>
          <w:rFonts w:ascii="Courier New" w:cs="Courier New" w:eastAsia="Courier New" w:hAnsi="Courier New"/>
          <w:sz w:val="15"/>
          <w:szCs w:val="15"/>
          <w:color w:val="auto"/>
        </w:rPr>
        <w:t>2001</w:t>
      </w:r>
      <w:r>
        <w:rPr>
          <w:sz w:val="20"/>
          <w:szCs w:val="20"/>
          <w:color w:val="auto"/>
        </w:rPr>
        <w:tab/>
      </w:r>
      <w:r>
        <w:rPr>
          <w:rFonts w:ascii="Courier New" w:cs="Courier New" w:eastAsia="Courier New" w:hAnsi="Courier New"/>
          <w:sz w:val="15"/>
          <w:szCs w:val="15"/>
          <w:color w:val="auto"/>
        </w:rPr>
        <w:t>2000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100" w:type="dxa"/>
        <w:tblCellMar>
          <w:top w:w="0" w:type="dxa"/>
          <w:left w:w="0" w:type="dxa"/>
          <w:bottom w:w="0" w:type="dxa"/>
          <w:right w:w="0" w:type="dxa"/>
        </w:tblCellMar>
      </w:tblPr>
      <w:tr>
        <w:trPr>
          <w:trHeight w:val="170"/>
        </w:trPr>
        <w:tc>
          <w:tcPr>
            <w:tcW w:w="5680" w:type="dxa"/>
            <w:vAlign w:val="bottom"/>
            <w:gridSpan w:val="2"/>
          </w:tcPr>
          <w:p>
            <w:pPr>
              <w:spacing w:after="0"/>
              <w:rPr>
                <w:sz w:val="20"/>
                <w:szCs w:val="20"/>
                <w:color w:val="auto"/>
              </w:rPr>
            </w:pPr>
            <w:r>
              <w:rPr>
                <w:rFonts w:ascii="Courier New" w:cs="Courier New" w:eastAsia="Courier New" w:hAnsi="Courier New"/>
                <w:sz w:val="15"/>
                <w:szCs w:val="15"/>
                <w:color w:val="auto"/>
              </w:rPr>
              <w:t>Net majority income under Mexican GAAP</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Ps.</w:t>
            </w:r>
          </w:p>
        </w:tc>
        <w:tc>
          <w:tcPr>
            <w:tcW w:w="14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2,837   Ps.</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3,393</w:t>
            </w:r>
          </w:p>
        </w:tc>
        <w:tc>
          <w:tcPr>
            <w:tcW w:w="700" w:type="dxa"/>
            <w:vAlign w:val="bottom"/>
          </w:tcPr>
          <w:p>
            <w:pPr>
              <w:ind w:left="120"/>
              <w:spacing w:after="0"/>
              <w:rPr>
                <w:sz w:val="20"/>
                <w:szCs w:val="20"/>
                <w:color w:val="auto"/>
              </w:rPr>
            </w:pPr>
            <w:r>
              <w:rPr>
                <w:rFonts w:ascii="Courier New" w:cs="Courier New" w:eastAsia="Courier New" w:hAnsi="Courier New"/>
                <w:sz w:val="15"/>
                <w:szCs w:val="15"/>
                <w:color w:val="auto"/>
              </w:rPr>
              <w:t>Ps.</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2,748</w:t>
            </w:r>
          </w:p>
        </w:tc>
      </w:tr>
      <w:tr>
        <w:trPr>
          <w:trHeight w:val="168"/>
        </w:trPr>
        <w:tc>
          <w:tcPr>
            <w:tcW w:w="56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US GAAP adjustments:</w:t>
            </w:r>
          </w:p>
        </w:tc>
        <w:tc>
          <w:tcPr>
            <w:tcW w:w="5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568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Restatement of prior year financial statements (Note 24 a)</w:t>
            </w:r>
          </w:p>
        </w:tc>
        <w:tc>
          <w:tcPr>
            <w:tcW w:w="580" w:type="dxa"/>
            <w:vAlign w:val="bottom"/>
          </w:tcPr>
          <w:p>
            <w:pPr>
              <w:spacing w:after="0"/>
              <w:rPr>
                <w:sz w:val="14"/>
                <w:szCs w:val="14"/>
                <w:color w:val="auto"/>
              </w:rPr>
            </w:pPr>
          </w:p>
        </w:tc>
        <w:tc>
          <w:tcPr>
            <w:tcW w:w="148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86</w:t>
            </w:r>
          </w:p>
        </w:tc>
        <w:tc>
          <w:tcPr>
            <w:tcW w:w="70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w:t>
            </w:r>
          </w:p>
        </w:tc>
      </w:tr>
      <w:tr>
        <w:trPr>
          <w:trHeight w:val="168"/>
        </w:trPr>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9"/>
              </w:rPr>
              <w:t>Deferred</w:t>
            </w:r>
          </w:p>
        </w:tc>
        <w:tc>
          <w:tcPr>
            <w:tcW w:w="46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promotional expenses (Note 24 c)</w:t>
            </w:r>
          </w:p>
        </w:tc>
        <w:tc>
          <w:tcPr>
            <w:tcW w:w="580" w:type="dxa"/>
            <w:vAlign w:val="bottom"/>
          </w:tcPr>
          <w:p>
            <w:pPr>
              <w:spacing w:after="0"/>
              <w:rPr>
                <w:sz w:val="14"/>
                <w:szCs w:val="14"/>
                <w:color w:val="auto"/>
              </w:rPr>
            </w:pPr>
          </w:p>
        </w:tc>
        <w:tc>
          <w:tcPr>
            <w:tcW w:w="148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(10)</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9"/>
              </w:rPr>
              <w:t>Start-up</w:t>
            </w:r>
          </w:p>
        </w:tc>
        <w:tc>
          <w:tcPr>
            <w:tcW w:w="46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expenses (Note 24 d)</w:t>
            </w:r>
          </w:p>
        </w:tc>
        <w:tc>
          <w:tcPr>
            <w:tcW w:w="580" w:type="dxa"/>
            <w:vAlign w:val="bottom"/>
          </w:tcPr>
          <w:p>
            <w:pPr>
              <w:spacing w:after="0"/>
              <w:rPr>
                <w:sz w:val="14"/>
                <w:szCs w:val="14"/>
                <w:color w:val="auto"/>
              </w:rPr>
            </w:pPr>
          </w:p>
        </w:tc>
        <w:tc>
          <w:tcPr>
            <w:tcW w:w="148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(23)</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w:t>
            </w:r>
          </w:p>
        </w:tc>
        <w:tc>
          <w:tcPr>
            <w:tcW w:w="70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w:t>
            </w:r>
          </w:p>
        </w:tc>
      </w:tr>
      <w:tr>
        <w:trPr>
          <w:trHeight w:val="168"/>
        </w:trPr>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9"/>
              </w:rPr>
              <w:t>Goodwill</w:t>
            </w:r>
          </w:p>
        </w:tc>
        <w:tc>
          <w:tcPr>
            <w:tcW w:w="46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(Note 24 e)</w:t>
            </w:r>
          </w:p>
        </w:tc>
        <w:tc>
          <w:tcPr>
            <w:tcW w:w="580" w:type="dxa"/>
            <w:vAlign w:val="bottom"/>
          </w:tcPr>
          <w:p>
            <w:pPr>
              <w:spacing w:after="0"/>
              <w:rPr>
                <w:sz w:val="14"/>
                <w:szCs w:val="14"/>
                <w:color w:val="auto"/>
              </w:rPr>
            </w:pPr>
          </w:p>
        </w:tc>
        <w:tc>
          <w:tcPr>
            <w:tcW w:w="148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55</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8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Restatement of imported machinery and equipment</w:t>
            </w:r>
          </w:p>
        </w:tc>
        <w:tc>
          <w:tcPr>
            <w:tcW w:w="5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9"/>
              </w:rPr>
              <w:t>(Note 24</w:t>
            </w:r>
          </w:p>
        </w:tc>
        <w:tc>
          <w:tcPr>
            <w:tcW w:w="46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w:t>
            </w:r>
          </w:p>
        </w:tc>
        <w:tc>
          <w:tcPr>
            <w:tcW w:w="580" w:type="dxa"/>
            <w:vAlign w:val="bottom"/>
          </w:tcPr>
          <w:p>
            <w:pPr>
              <w:spacing w:after="0"/>
              <w:rPr>
                <w:sz w:val="14"/>
                <w:szCs w:val="14"/>
                <w:color w:val="auto"/>
              </w:rPr>
            </w:pPr>
          </w:p>
        </w:tc>
        <w:tc>
          <w:tcPr>
            <w:tcW w:w="148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(113)</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(97)</w:t>
            </w:r>
          </w:p>
        </w:tc>
        <w:tc>
          <w:tcPr>
            <w:tcW w:w="70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w:t>
            </w:r>
          </w:p>
        </w:tc>
      </w:tr>
      <w:tr>
        <w:trPr>
          <w:trHeight w:val="168"/>
        </w:trPr>
        <w:tc>
          <w:tcPr>
            <w:tcW w:w="568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w w:val="98"/>
              </w:rPr>
              <w:t>Capitalization  of the integral  result of financing (Note 24</w:t>
            </w:r>
          </w:p>
        </w:tc>
        <w:tc>
          <w:tcPr>
            <w:tcW w:w="580" w:type="dxa"/>
            <w:vAlign w:val="bottom"/>
          </w:tcPr>
          <w:p>
            <w:pPr>
              <w:spacing w:after="0"/>
              <w:rPr>
                <w:sz w:val="14"/>
                <w:szCs w:val="14"/>
                <w:color w:val="auto"/>
              </w:rPr>
            </w:pPr>
          </w:p>
        </w:tc>
        <w:tc>
          <w:tcPr>
            <w:tcW w:w="148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(38)</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w:t>
            </w:r>
          </w:p>
        </w:tc>
        <w:tc>
          <w:tcPr>
            <w:tcW w:w="70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g)</w:t>
            </w:r>
          </w:p>
        </w:tc>
        <w:tc>
          <w:tcPr>
            <w:tcW w:w="4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568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Financial instruments (Note 24 h)</w:t>
            </w:r>
          </w:p>
        </w:tc>
        <w:tc>
          <w:tcPr>
            <w:tcW w:w="580" w:type="dxa"/>
            <w:vAlign w:val="bottom"/>
          </w:tcPr>
          <w:p>
            <w:pPr>
              <w:spacing w:after="0"/>
              <w:rPr>
                <w:sz w:val="14"/>
                <w:szCs w:val="14"/>
                <w:color w:val="auto"/>
              </w:rPr>
            </w:pPr>
          </w:p>
        </w:tc>
        <w:tc>
          <w:tcPr>
            <w:tcW w:w="148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(2)</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84</w:t>
            </w:r>
          </w:p>
        </w:tc>
        <w:tc>
          <w:tcPr>
            <w:tcW w:w="70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w:t>
            </w:r>
          </w:p>
        </w:tc>
      </w:tr>
      <w:tr>
        <w:trPr>
          <w:trHeight w:val="168"/>
        </w:trPr>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9"/>
              </w:rPr>
              <w:t>Deferred</w:t>
            </w:r>
          </w:p>
        </w:tc>
        <w:tc>
          <w:tcPr>
            <w:tcW w:w="46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income taxes (Note 24 i)</w:t>
            </w:r>
          </w:p>
        </w:tc>
        <w:tc>
          <w:tcPr>
            <w:tcW w:w="580" w:type="dxa"/>
            <w:vAlign w:val="bottom"/>
          </w:tcPr>
          <w:p>
            <w:pPr>
              <w:spacing w:after="0"/>
              <w:rPr>
                <w:sz w:val="14"/>
                <w:szCs w:val="14"/>
                <w:color w:val="auto"/>
              </w:rPr>
            </w:pPr>
          </w:p>
        </w:tc>
        <w:tc>
          <w:tcPr>
            <w:tcW w:w="148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472</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62</w:t>
            </w:r>
          </w:p>
        </w:tc>
        <w:tc>
          <w:tcPr>
            <w:tcW w:w="70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238</w:t>
            </w:r>
          </w:p>
        </w:tc>
      </w:tr>
      <w:tr>
        <w:trPr>
          <w:trHeight w:val="168"/>
        </w:trPr>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9"/>
              </w:rPr>
              <w:t>Deferred</w:t>
            </w:r>
          </w:p>
        </w:tc>
        <w:tc>
          <w:tcPr>
            <w:tcW w:w="46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employee profit sharing (Note 24 i)</w:t>
            </w:r>
          </w:p>
        </w:tc>
        <w:tc>
          <w:tcPr>
            <w:tcW w:w="580" w:type="dxa"/>
            <w:vAlign w:val="bottom"/>
          </w:tcPr>
          <w:p>
            <w:pPr>
              <w:spacing w:after="0"/>
              <w:rPr>
                <w:sz w:val="14"/>
                <w:szCs w:val="14"/>
                <w:color w:val="auto"/>
              </w:rPr>
            </w:pPr>
          </w:p>
        </w:tc>
        <w:tc>
          <w:tcPr>
            <w:tcW w:w="148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(51)</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w:t>
            </w:r>
          </w:p>
        </w:tc>
        <w:tc>
          <w:tcPr>
            <w:tcW w:w="70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146</w:t>
            </w:r>
          </w:p>
        </w:tc>
      </w:tr>
      <w:tr>
        <w:trPr>
          <w:trHeight w:val="168"/>
        </w:trPr>
        <w:tc>
          <w:tcPr>
            <w:tcW w:w="568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Pension plan (Note 24 j)</w:t>
            </w:r>
          </w:p>
        </w:tc>
        <w:tc>
          <w:tcPr>
            <w:tcW w:w="580" w:type="dxa"/>
            <w:vAlign w:val="bottom"/>
          </w:tcPr>
          <w:p>
            <w:pPr>
              <w:spacing w:after="0"/>
              <w:rPr>
                <w:sz w:val="14"/>
                <w:szCs w:val="14"/>
                <w:color w:val="auto"/>
              </w:rPr>
            </w:pPr>
          </w:p>
        </w:tc>
        <w:tc>
          <w:tcPr>
            <w:tcW w:w="148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(16)</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w:t>
            </w:r>
          </w:p>
        </w:tc>
        <w:tc>
          <w:tcPr>
            <w:tcW w:w="70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w:t>
            </w:r>
          </w:p>
        </w:tc>
      </w:tr>
      <w:tr>
        <w:trPr>
          <w:trHeight w:val="168"/>
        </w:trPr>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9"/>
              </w:rPr>
              <w:t>Minority</w:t>
            </w:r>
          </w:p>
        </w:tc>
        <w:tc>
          <w:tcPr>
            <w:tcW w:w="46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interest (Note 24 k)</w:t>
            </w:r>
          </w:p>
        </w:tc>
        <w:tc>
          <w:tcPr>
            <w:tcW w:w="580" w:type="dxa"/>
            <w:vAlign w:val="bottom"/>
          </w:tcPr>
          <w:p>
            <w:pPr>
              <w:spacing w:after="0"/>
              <w:rPr>
                <w:sz w:val="14"/>
                <w:szCs w:val="14"/>
                <w:color w:val="auto"/>
              </w:rPr>
            </w:pPr>
          </w:p>
        </w:tc>
        <w:tc>
          <w:tcPr>
            <w:tcW w:w="148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(28)</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87</w:t>
            </w:r>
          </w:p>
        </w:tc>
        <w:tc>
          <w:tcPr>
            <w:tcW w:w="70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w:t>
            </w:r>
          </w:p>
        </w:tc>
      </w:tr>
      <w:tr>
        <w:trPr>
          <w:trHeight w:val="168"/>
        </w:trPr>
        <w:tc>
          <w:tcPr>
            <w:tcW w:w="568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Acquisition of minority interest (Note 24 l)</w:t>
            </w:r>
          </w:p>
        </w:tc>
        <w:tc>
          <w:tcPr>
            <w:tcW w:w="580" w:type="dxa"/>
            <w:vAlign w:val="bottom"/>
          </w:tcPr>
          <w:p>
            <w:pPr>
              <w:spacing w:after="0"/>
              <w:rPr>
                <w:sz w:val="14"/>
                <w:szCs w:val="14"/>
                <w:color w:val="auto"/>
              </w:rPr>
            </w:pPr>
          </w:p>
        </w:tc>
        <w:tc>
          <w:tcPr>
            <w:tcW w:w="148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(387)</w:t>
            </w:r>
          </w:p>
        </w:tc>
        <w:tc>
          <w:tcPr>
            <w:tcW w:w="70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(387)</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20" w:type="dxa"/>
            <w:vAlign w:val="bottom"/>
          </w:tcPr>
          <w:p>
            <w:pPr>
              <w:spacing w:after="0"/>
              <w:rPr>
                <w:sz w:val="20"/>
                <w:szCs w:val="20"/>
                <w:color w:val="auto"/>
              </w:rPr>
            </w:pPr>
            <w:r>
              <w:rPr>
                <w:rFonts w:ascii="Courier New" w:cs="Courier New" w:eastAsia="Courier New" w:hAnsi="Courier New"/>
                <w:sz w:val="15"/>
                <w:szCs w:val="15"/>
                <w:color w:val="auto"/>
              </w:rPr>
              <w:t>Total Adjustments</w:t>
            </w:r>
          </w:p>
        </w:tc>
        <w:tc>
          <w:tcPr>
            <w:tcW w:w="34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246</w:t>
            </w:r>
          </w:p>
        </w:tc>
        <w:tc>
          <w:tcPr>
            <w:tcW w:w="15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(215)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(177)</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tabs>
          <w:tab w:leader="none" w:pos="5840" w:val="left"/>
          <w:tab w:leader="none" w:pos="6540" w:val="left"/>
          <w:tab w:leader="none" w:pos="7420" w:val="left"/>
          <w:tab w:leader="none" w:pos="8120" w:val="left"/>
          <w:tab w:leader="none" w:pos="8920" w:val="left"/>
          <w:tab w:leader="none" w:pos="9700" w:val="left"/>
        </w:tabs>
        <w:rPr>
          <w:sz w:val="20"/>
          <w:szCs w:val="20"/>
          <w:color w:val="auto"/>
        </w:rPr>
      </w:pPr>
      <w:r>
        <w:rPr>
          <w:rFonts w:ascii="Courier New" w:cs="Courier New" w:eastAsia="Courier New" w:hAnsi="Courier New"/>
          <w:sz w:val="15"/>
          <w:szCs w:val="15"/>
          <w:color w:val="auto"/>
        </w:rPr>
        <w:t>Net income under US GAAP</w:t>
      </w:r>
      <w:r>
        <w:rPr>
          <w:sz w:val="20"/>
          <w:szCs w:val="20"/>
          <w:color w:val="auto"/>
        </w:rPr>
        <w:tab/>
      </w:r>
      <w:r>
        <w:rPr>
          <w:rFonts w:ascii="Courier New" w:cs="Courier New" w:eastAsia="Courier New" w:hAnsi="Courier New"/>
          <w:sz w:val="15"/>
          <w:szCs w:val="15"/>
          <w:color w:val="auto"/>
        </w:rPr>
        <w:t>Ps.</w:t>
      </w:r>
      <w:r>
        <w:rPr>
          <w:sz w:val="20"/>
          <w:szCs w:val="20"/>
          <w:color w:val="auto"/>
        </w:rPr>
        <w:tab/>
      </w:r>
      <w:r>
        <w:rPr>
          <w:rFonts w:ascii="Courier New" w:cs="Courier New" w:eastAsia="Courier New" w:hAnsi="Courier New"/>
          <w:sz w:val="15"/>
          <w:szCs w:val="15"/>
          <w:color w:val="auto"/>
        </w:rPr>
        <w:t>3,083</w:t>
      </w:r>
      <w:r>
        <w:rPr>
          <w:sz w:val="20"/>
          <w:szCs w:val="20"/>
          <w:color w:val="auto"/>
        </w:rPr>
        <w:tab/>
      </w:r>
      <w:r>
        <w:rPr>
          <w:rFonts w:ascii="Courier New" w:cs="Courier New" w:eastAsia="Courier New" w:hAnsi="Courier New"/>
          <w:sz w:val="15"/>
          <w:szCs w:val="15"/>
          <w:color w:val="auto"/>
        </w:rPr>
        <w:t>Ps.</w:t>
      </w:r>
      <w:r>
        <w:rPr>
          <w:sz w:val="20"/>
          <w:szCs w:val="20"/>
          <w:color w:val="auto"/>
        </w:rPr>
        <w:tab/>
      </w:r>
      <w:r>
        <w:rPr>
          <w:rFonts w:ascii="Courier New" w:cs="Courier New" w:eastAsia="Courier New" w:hAnsi="Courier New"/>
          <w:sz w:val="15"/>
          <w:szCs w:val="15"/>
          <w:color w:val="auto"/>
        </w:rPr>
        <w:t>3,178</w:t>
      </w:r>
      <w:r>
        <w:rPr>
          <w:sz w:val="20"/>
          <w:szCs w:val="20"/>
          <w:color w:val="auto"/>
        </w:rPr>
        <w:tab/>
      </w:r>
      <w:r>
        <w:rPr>
          <w:rFonts w:ascii="Courier New" w:cs="Courier New" w:eastAsia="Courier New" w:hAnsi="Courier New"/>
          <w:sz w:val="15"/>
          <w:szCs w:val="15"/>
          <w:color w:val="auto"/>
        </w:rPr>
        <w:t>Ps.</w:t>
      </w:r>
      <w:r>
        <w:rPr>
          <w:sz w:val="20"/>
          <w:szCs w:val="20"/>
          <w:color w:val="auto"/>
        </w:rPr>
        <w:tab/>
      </w:r>
      <w:r>
        <w:rPr>
          <w:rFonts w:ascii="Courier New" w:cs="Courier New" w:eastAsia="Courier New" w:hAnsi="Courier New"/>
          <w:sz w:val="14"/>
          <w:szCs w:val="14"/>
          <w:color w:val="auto"/>
        </w:rPr>
        <w:t>2,571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6" w:lineRule="exact"/>
        <w:rPr>
          <w:sz w:val="20"/>
          <w:szCs w:val="20"/>
          <w:color w:val="auto"/>
        </w:rPr>
      </w:pPr>
    </w:p>
    <w:p>
      <w:pPr>
        <w:ind w:left="360" w:right="3420"/>
        <w:spacing w:after="0" w:line="235" w:lineRule="auto"/>
        <w:rPr>
          <w:sz w:val="20"/>
          <w:szCs w:val="20"/>
          <w:color w:val="auto"/>
        </w:rPr>
      </w:pPr>
      <w:r>
        <w:rPr>
          <w:rFonts w:ascii="Courier New" w:cs="Courier New" w:eastAsia="Courier New" w:hAnsi="Courier New"/>
          <w:sz w:val="15"/>
          <w:szCs w:val="15"/>
          <w:color w:val="auto"/>
        </w:rPr>
        <w:t>Under US GAAP, the monetary position effect of the income statement adjustments is included in each adjustment, except for the capitalization of the integral result of financing, goodwill and pension plan liabilities, which are non-monetary.</w:t>
      </w:r>
    </w:p>
    <w:p>
      <w:pPr>
        <w:spacing w:after="0" w:line="200" w:lineRule="exact"/>
        <w:rPr>
          <w:sz w:val="20"/>
          <w:szCs w:val="20"/>
          <w:color w:val="auto"/>
        </w:rPr>
      </w:pPr>
    </w:p>
    <w:p>
      <w:pPr>
        <w:spacing w:after="0" w:line="305"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b)</w:t>
        <w:tab/>
        <w:t>Reconciliation of Stockholders' Equity:</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8240"/>
        <w:spacing w:after="0"/>
        <w:tabs>
          <w:tab w:leader="none" w:pos="9780" w:val="left"/>
        </w:tabs>
        <w:rPr>
          <w:sz w:val="20"/>
          <w:szCs w:val="20"/>
          <w:color w:val="auto"/>
        </w:rPr>
      </w:pPr>
      <w:r>
        <w:rPr>
          <w:rFonts w:ascii="Courier New" w:cs="Courier New" w:eastAsia="Courier New" w:hAnsi="Courier New"/>
          <w:sz w:val="15"/>
          <w:szCs w:val="15"/>
          <w:color w:val="auto"/>
        </w:rPr>
        <w:t>2002</w:t>
      </w:r>
      <w:r>
        <w:rPr>
          <w:sz w:val="20"/>
          <w:szCs w:val="20"/>
          <w:color w:val="auto"/>
        </w:rPr>
        <w:tab/>
      </w:r>
      <w:r>
        <w:rPr>
          <w:rFonts w:ascii="Courier New" w:cs="Courier New" w:eastAsia="Courier New" w:hAnsi="Courier New"/>
          <w:sz w:val="15"/>
          <w:szCs w:val="15"/>
          <w:color w:val="auto"/>
        </w:rPr>
        <w:t>2001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560" w:type="dxa"/>
            <w:vAlign w:val="bottom"/>
          </w:tcPr>
          <w:p>
            <w:pPr>
              <w:spacing w:after="0"/>
              <w:rPr>
                <w:sz w:val="20"/>
                <w:szCs w:val="20"/>
                <w:color w:val="auto"/>
              </w:rPr>
            </w:pPr>
            <w:r>
              <w:rPr>
                <w:rFonts w:ascii="Courier New" w:cs="Courier New" w:eastAsia="Courier New" w:hAnsi="Courier New"/>
                <w:sz w:val="15"/>
                <w:szCs w:val="15"/>
                <w:color w:val="auto"/>
              </w:rPr>
              <w:t>Majority stockholders' equity under Mexican GAAP</w:t>
            </w:r>
          </w:p>
        </w:tc>
        <w:tc>
          <w:tcPr>
            <w:tcW w:w="1240" w:type="dxa"/>
            <w:vAlign w:val="bottom"/>
          </w:tcPr>
          <w:p>
            <w:pPr>
              <w:ind w:left="800"/>
              <w:spacing w:after="0"/>
              <w:rPr>
                <w:sz w:val="20"/>
                <w:szCs w:val="20"/>
                <w:color w:val="auto"/>
              </w:rPr>
            </w:pPr>
            <w:r>
              <w:rPr>
                <w:rFonts w:ascii="Courier New" w:cs="Courier New" w:eastAsia="Courier New" w:hAnsi="Courier New"/>
                <w:sz w:val="15"/>
                <w:szCs w:val="15"/>
                <w:color w:val="auto"/>
              </w:rPr>
              <w:t>Ps.</w:t>
            </w:r>
          </w:p>
        </w:tc>
        <w:tc>
          <w:tcPr>
            <w:tcW w:w="1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23,015   Ps.</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21,173</w:t>
            </w: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rPr>
              <w:t>US GAAP adjustments:</w:t>
            </w:r>
          </w:p>
        </w:tc>
        <w:tc>
          <w:tcPr>
            <w:tcW w:w="1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65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Restatement of prior year financial statements (Note 24 a)</w:t>
            </w:r>
          </w:p>
        </w:tc>
        <w:tc>
          <w:tcPr>
            <w:tcW w:w="1240" w:type="dxa"/>
            <w:vAlign w:val="bottom"/>
          </w:tcPr>
          <w:p>
            <w:pPr>
              <w:spacing w:after="0"/>
              <w:rPr>
                <w:sz w:val="14"/>
                <w:szCs w:val="14"/>
                <w:color w:val="auto"/>
              </w:rPr>
            </w:pPr>
          </w:p>
        </w:tc>
        <w:tc>
          <w:tcPr>
            <w:tcW w:w="15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213</w:t>
            </w:r>
          </w:p>
        </w:tc>
      </w:tr>
      <w:tr>
        <w:trPr>
          <w:trHeight w:val="168"/>
        </w:trPr>
        <w:tc>
          <w:tcPr>
            <w:tcW w:w="65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Deferred promotional expense (Note 24 c)</w:t>
            </w:r>
          </w:p>
        </w:tc>
        <w:tc>
          <w:tcPr>
            <w:tcW w:w="1240" w:type="dxa"/>
            <w:vAlign w:val="bottom"/>
          </w:tcPr>
          <w:p>
            <w:pPr>
              <w:spacing w:after="0"/>
              <w:rPr>
                <w:sz w:val="14"/>
                <w:szCs w:val="14"/>
                <w:color w:val="auto"/>
              </w:rPr>
            </w:pPr>
          </w:p>
        </w:tc>
        <w:tc>
          <w:tcPr>
            <w:tcW w:w="15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(10)</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5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Start-up expenses (Note 24 d)</w:t>
            </w:r>
          </w:p>
        </w:tc>
        <w:tc>
          <w:tcPr>
            <w:tcW w:w="1240" w:type="dxa"/>
            <w:vAlign w:val="bottom"/>
          </w:tcPr>
          <w:p>
            <w:pPr>
              <w:spacing w:after="0"/>
              <w:rPr>
                <w:sz w:val="14"/>
                <w:szCs w:val="14"/>
                <w:color w:val="auto"/>
              </w:rPr>
            </w:pPr>
          </w:p>
        </w:tc>
        <w:tc>
          <w:tcPr>
            <w:tcW w:w="15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(84)</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w:t>
            </w:r>
          </w:p>
        </w:tc>
      </w:tr>
      <w:tr>
        <w:trPr>
          <w:trHeight w:val="168"/>
        </w:trPr>
        <w:tc>
          <w:tcPr>
            <w:tcW w:w="65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Goodwill (Note 24 e)</w:t>
            </w:r>
          </w:p>
        </w:tc>
        <w:tc>
          <w:tcPr>
            <w:tcW w:w="1240" w:type="dxa"/>
            <w:vAlign w:val="bottom"/>
          </w:tcPr>
          <w:p>
            <w:pPr>
              <w:spacing w:after="0"/>
              <w:rPr>
                <w:sz w:val="14"/>
                <w:szCs w:val="14"/>
                <w:color w:val="auto"/>
              </w:rPr>
            </w:pPr>
          </w:p>
        </w:tc>
        <w:tc>
          <w:tcPr>
            <w:tcW w:w="15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55</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5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Restatement of imported machinery and equipment (Note 24 f)</w:t>
            </w:r>
          </w:p>
        </w:tc>
        <w:tc>
          <w:tcPr>
            <w:tcW w:w="1240" w:type="dxa"/>
            <w:vAlign w:val="bottom"/>
          </w:tcPr>
          <w:p>
            <w:pPr>
              <w:spacing w:after="0"/>
              <w:rPr>
                <w:sz w:val="14"/>
                <w:szCs w:val="14"/>
                <w:color w:val="auto"/>
              </w:rPr>
            </w:pPr>
          </w:p>
        </w:tc>
        <w:tc>
          <w:tcPr>
            <w:tcW w:w="15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1,173</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1,824</w:t>
            </w:r>
          </w:p>
        </w:tc>
      </w:tr>
      <w:tr>
        <w:trPr>
          <w:trHeight w:val="168"/>
        </w:trPr>
        <w:tc>
          <w:tcPr>
            <w:tcW w:w="65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Capitalization of the integral result of financing (Note 24 g)</w:t>
            </w:r>
          </w:p>
        </w:tc>
        <w:tc>
          <w:tcPr>
            <w:tcW w:w="1240" w:type="dxa"/>
            <w:vAlign w:val="bottom"/>
          </w:tcPr>
          <w:p>
            <w:pPr>
              <w:spacing w:after="0"/>
              <w:rPr>
                <w:sz w:val="14"/>
                <w:szCs w:val="14"/>
                <w:color w:val="auto"/>
              </w:rPr>
            </w:pPr>
          </w:p>
        </w:tc>
        <w:tc>
          <w:tcPr>
            <w:tcW w:w="15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487</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525</w:t>
            </w:r>
          </w:p>
        </w:tc>
      </w:tr>
      <w:tr>
        <w:trPr>
          <w:trHeight w:val="168"/>
        </w:trPr>
        <w:tc>
          <w:tcPr>
            <w:tcW w:w="65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Financial instruments (Note 24 h)</w:t>
            </w:r>
          </w:p>
        </w:tc>
        <w:tc>
          <w:tcPr>
            <w:tcW w:w="1240" w:type="dxa"/>
            <w:vAlign w:val="bottom"/>
          </w:tcPr>
          <w:p>
            <w:pPr>
              <w:spacing w:after="0"/>
              <w:rPr>
                <w:sz w:val="14"/>
                <w:szCs w:val="14"/>
                <w:color w:val="auto"/>
              </w:rPr>
            </w:pPr>
          </w:p>
        </w:tc>
        <w:tc>
          <w:tcPr>
            <w:tcW w:w="15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5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Deferred income taxes (Note 24 i)</w:t>
            </w:r>
          </w:p>
        </w:tc>
        <w:tc>
          <w:tcPr>
            <w:tcW w:w="1240" w:type="dxa"/>
            <w:vAlign w:val="bottom"/>
          </w:tcPr>
          <w:p>
            <w:pPr>
              <w:spacing w:after="0"/>
              <w:rPr>
                <w:sz w:val="14"/>
                <w:szCs w:val="14"/>
                <w:color w:val="auto"/>
              </w:rPr>
            </w:pPr>
          </w:p>
        </w:tc>
        <w:tc>
          <w:tcPr>
            <w:tcW w:w="15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(537)</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(1,111)</w:t>
            </w:r>
          </w:p>
        </w:tc>
      </w:tr>
      <w:tr>
        <w:trPr>
          <w:trHeight w:val="168"/>
        </w:trPr>
        <w:tc>
          <w:tcPr>
            <w:tcW w:w="65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Deferred employee profit sharing (Note 24 i)</w:t>
            </w:r>
          </w:p>
        </w:tc>
        <w:tc>
          <w:tcPr>
            <w:tcW w:w="1240" w:type="dxa"/>
            <w:vAlign w:val="bottom"/>
          </w:tcPr>
          <w:p>
            <w:pPr>
              <w:spacing w:after="0"/>
              <w:rPr>
                <w:sz w:val="14"/>
                <w:szCs w:val="14"/>
                <w:color w:val="auto"/>
              </w:rPr>
            </w:pPr>
          </w:p>
        </w:tc>
        <w:tc>
          <w:tcPr>
            <w:tcW w:w="15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(1,638)</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(1,587)</w:t>
            </w:r>
          </w:p>
        </w:tc>
      </w:tr>
      <w:tr>
        <w:trPr>
          <w:trHeight w:val="168"/>
        </w:trPr>
        <w:tc>
          <w:tcPr>
            <w:tcW w:w="65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Pension plan (Note 24 j)</w:t>
            </w:r>
          </w:p>
        </w:tc>
        <w:tc>
          <w:tcPr>
            <w:tcW w:w="1240" w:type="dxa"/>
            <w:vAlign w:val="bottom"/>
          </w:tcPr>
          <w:p>
            <w:pPr>
              <w:spacing w:after="0"/>
              <w:rPr>
                <w:sz w:val="14"/>
                <w:szCs w:val="14"/>
                <w:color w:val="auto"/>
              </w:rPr>
            </w:pPr>
          </w:p>
        </w:tc>
        <w:tc>
          <w:tcPr>
            <w:tcW w:w="15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63</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w:t>
            </w:r>
          </w:p>
        </w:tc>
      </w:tr>
      <w:tr>
        <w:trPr>
          <w:trHeight w:val="168"/>
        </w:trPr>
        <w:tc>
          <w:tcPr>
            <w:tcW w:w="65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Minority interest (Note 24 k)</w:t>
            </w:r>
          </w:p>
        </w:tc>
        <w:tc>
          <w:tcPr>
            <w:tcW w:w="1240" w:type="dxa"/>
            <w:vAlign w:val="bottom"/>
          </w:tcPr>
          <w:p>
            <w:pPr>
              <w:spacing w:after="0"/>
              <w:rPr>
                <w:sz w:val="14"/>
                <w:szCs w:val="14"/>
                <w:color w:val="auto"/>
              </w:rPr>
            </w:pPr>
          </w:p>
        </w:tc>
        <w:tc>
          <w:tcPr>
            <w:tcW w:w="15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193</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w:t>
            </w:r>
          </w:p>
        </w:tc>
      </w:tr>
      <w:tr>
        <w:trPr>
          <w:trHeight w:val="168"/>
        </w:trPr>
        <w:tc>
          <w:tcPr>
            <w:tcW w:w="65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Acquisition of minority interest (Note 24 l)</w:t>
            </w:r>
          </w:p>
        </w:tc>
        <w:tc>
          <w:tcPr>
            <w:tcW w:w="1240" w:type="dxa"/>
            <w:vAlign w:val="bottom"/>
          </w:tcPr>
          <w:p>
            <w:pPr>
              <w:spacing w:after="0"/>
              <w:rPr>
                <w:sz w:val="14"/>
                <w:szCs w:val="14"/>
                <w:color w:val="auto"/>
              </w:rPr>
            </w:pPr>
          </w:p>
        </w:tc>
        <w:tc>
          <w:tcPr>
            <w:tcW w:w="15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14,052</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14,052</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80" w:type="dxa"/>
            <w:vAlign w:val="bottom"/>
          </w:tcPr>
          <w:p>
            <w:pPr>
              <w:spacing w:after="0"/>
              <w:rPr>
                <w:sz w:val="20"/>
                <w:szCs w:val="20"/>
                <w:color w:val="auto"/>
              </w:rPr>
            </w:pPr>
            <w:r>
              <w:rPr>
                <w:rFonts w:ascii="Courier New" w:cs="Courier New" w:eastAsia="Courier New" w:hAnsi="Courier New"/>
                <w:sz w:val="15"/>
                <w:szCs w:val="15"/>
                <w:color w:val="auto"/>
              </w:rPr>
              <w:t>Total Adjustments</w:t>
            </w:r>
          </w:p>
        </w:tc>
        <w:tc>
          <w:tcPr>
            <w:tcW w:w="43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13,752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14,023</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tabs>
          <w:tab w:leader="none" w:pos="7340" w:val="left"/>
          <w:tab w:leader="none" w:pos="8040" w:val="left"/>
          <w:tab w:leader="none" w:pos="8920" w:val="left"/>
          <w:tab w:leader="none" w:pos="9620" w:val="left"/>
        </w:tabs>
        <w:rPr>
          <w:sz w:val="20"/>
          <w:szCs w:val="20"/>
          <w:color w:val="auto"/>
        </w:rPr>
      </w:pPr>
      <w:r>
        <w:rPr>
          <w:rFonts w:ascii="Courier New" w:cs="Courier New" w:eastAsia="Courier New" w:hAnsi="Courier New"/>
          <w:sz w:val="15"/>
          <w:szCs w:val="15"/>
          <w:color w:val="auto"/>
        </w:rPr>
        <w:t>Stockholders' equity under US GAAP</w:t>
      </w:r>
      <w:r>
        <w:rPr>
          <w:sz w:val="20"/>
          <w:szCs w:val="20"/>
          <w:color w:val="auto"/>
        </w:rPr>
        <w:tab/>
      </w:r>
      <w:r>
        <w:rPr>
          <w:rFonts w:ascii="Courier New" w:cs="Courier New" w:eastAsia="Courier New" w:hAnsi="Courier New"/>
          <w:sz w:val="15"/>
          <w:szCs w:val="15"/>
          <w:color w:val="auto"/>
        </w:rPr>
        <w:t>Ps.</w:t>
      </w:r>
      <w:r>
        <w:rPr>
          <w:sz w:val="20"/>
          <w:szCs w:val="20"/>
          <w:color w:val="auto"/>
        </w:rPr>
        <w:tab/>
      </w:r>
      <w:r>
        <w:rPr>
          <w:rFonts w:ascii="Courier New" w:cs="Courier New" w:eastAsia="Courier New" w:hAnsi="Courier New"/>
          <w:sz w:val="15"/>
          <w:szCs w:val="15"/>
          <w:color w:val="auto"/>
        </w:rPr>
        <w:t>36,767</w:t>
      </w:r>
      <w:r>
        <w:rPr>
          <w:sz w:val="20"/>
          <w:szCs w:val="20"/>
          <w:color w:val="auto"/>
        </w:rPr>
        <w:tab/>
      </w:r>
      <w:r>
        <w:rPr>
          <w:rFonts w:ascii="Courier New" w:cs="Courier New" w:eastAsia="Courier New" w:hAnsi="Courier New"/>
          <w:sz w:val="15"/>
          <w:szCs w:val="15"/>
          <w:color w:val="auto"/>
        </w:rPr>
        <w:t>Ps.</w:t>
      </w:r>
      <w:r>
        <w:rPr>
          <w:sz w:val="20"/>
          <w:szCs w:val="20"/>
          <w:color w:val="auto"/>
        </w:rPr>
        <w:tab/>
      </w:r>
      <w:r>
        <w:rPr>
          <w:rFonts w:ascii="Courier New" w:cs="Courier New" w:eastAsia="Courier New" w:hAnsi="Courier New"/>
          <w:sz w:val="14"/>
          <w:szCs w:val="14"/>
          <w:color w:val="auto"/>
        </w:rPr>
        <w:t>35,196</w:t>
      </w:r>
    </w:p>
    <w:p>
      <w:pPr>
        <w:spacing w:after="0" w:line="5" w:lineRule="exact"/>
        <w:rPr>
          <w:sz w:val="20"/>
          <w:szCs w:val="20"/>
          <w:color w:val="auto"/>
        </w:rPr>
      </w:pPr>
    </w:p>
    <w:p>
      <w:pPr>
        <w:ind w:left="180" w:hanging="170"/>
        <w:spacing w:after="0"/>
        <w:tabs>
          <w:tab w:leader="none" w:pos="180"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9" w:lineRule="exact"/>
        <w:rPr>
          <w:rFonts w:ascii="Courier New" w:cs="Courier New" w:eastAsia="Courier New" w:hAnsi="Courier New"/>
          <w:sz w:val="14"/>
          <w:szCs w:val="14"/>
          <w:color w:val="auto"/>
        </w:rPr>
      </w:pPr>
    </w:p>
    <w:p>
      <w:pPr>
        <w:ind w:left="33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F-44</w:t>
      </w:r>
    </w:p>
    <w:p>
      <w:pPr>
        <w:sectPr>
          <w:pgSz w:w="11900" w:h="16838" w:orient="portrait"/>
          <w:cols w:equalWidth="0" w:num="1">
            <w:col w:w="10420"/>
          </w:cols>
          <w:pgMar w:left="220" w:top="617" w:right="1259" w:bottom="1440" w:gutter="0" w:footer="0" w:header="0"/>
        </w:sectPr>
      </w:pPr>
    </w:p>
    <w:bookmarkStart w:id="207" w:name="page208"/>
    <w:bookmarkEnd w:id="207"/>
    <w:p>
      <w:pPr>
        <w:spacing w:after="0"/>
        <w:tabs>
          <w:tab w:leader="none" w:pos="420" w:val="left"/>
        </w:tabs>
        <w:rPr>
          <w:sz w:val="20"/>
          <w:szCs w:val="20"/>
          <w:color w:val="auto"/>
        </w:rPr>
      </w:pPr>
      <w:r>
        <w:rPr>
          <w:rFonts w:ascii="Courier New" w:cs="Courier New" w:eastAsia="Courier New" w:hAnsi="Courier New"/>
          <w:sz w:val="15"/>
          <w:szCs w:val="15"/>
          <w:color w:val="auto"/>
        </w:rPr>
        <w:t>c)</w:t>
        <w:tab/>
        <w:t>Reconciliation of Comprehensive Income:</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6480"/>
        <w:spacing w:after="0"/>
        <w:tabs>
          <w:tab w:leader="none" w:pos="8120" w:val="left"/>
          <w:tab w:leader="none" w:pos="9780" w:val="left"/>
        </w:tabs>
        <w:rPr>
          <w:sz w:val="20"/>
          <w:szCs w:val="20"/>
          <w:color w:val="auto"/>
        </w:rPr>
      </w:pPr>
      <w:r>
        <w:rPr>
          <w:rFonts w:ascii="Courier New" w:cs="Courier New" w:eastAsia="Courier New" w:hAnsi="Courier New"/>
          <w:sz w:val="15"/>
          <w:szCs w:val="15"/>
          <w:color w:val="auto"/>
        </w:rPr>
        <w:t>2002</w:t>
      </w:r>
      <w:r>
        <w:rPr>
          <w:sz w:val="20"/>
          <w:szCs w:val="20"/>
          <w:color w:val="auto"/>
        </w:rPr>
        <w:tab/>
      </w:r>
      <w:r>
        <w:rPr>
          <w:rFonts w:ascii="Courier New" w:cs="Courier New" w:eastAsia="Courier New" w:hAnsi="Courier New"/>
          <w:sz w:val="15"/>
          <w:szCs w:val="15"/>
          <w:color w:val="auto"/>
        </w:rPr>
        <w:t>2001</w:t>
      </w:r>
      <w:r>
        <w:rPr>
          <w:sz w:val="20"/>
          <w:szCs w:val="20"/>
          <w:color w:val="auto"/>
        </w:rPr>
        <w:tab/>
      </w:r>
      <w:r>
        <w:rPr>
          <w:rFonts w:ascii="Courier New" w:cs="Courier New" w:eastAsia="Courier New" w:hAnsi="Courier New"/>
          <w:sz w:val="15"/>
          <w:szCs w:val="15"/>
          <w:color w:val="auto"/>
        </w:rPr>
        <w:t>2000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60" w:type="dxa"/>
            <w:vAlign w:val="bottom"/>
          </w:tcPr>
          <w:p>
            <w:pPr>
              <w:spacing w:after="0"/>
              <w:rPr>
                <w:sz w:val="20"/>
                <w:szCs w:val="20"/>
                <w:color w:val="auto"/>
              </w:rPr>
            </w:pPr>
            <w:r>
              <w:rPr>
                <w:rFonts w:ascii="Courier New" w:cs="Courier New" w:eastAsia="Courier New" w:hAnsi="Courier New"/>
                <w:sz w:val="15"/>
                <w:szCs w:val="15"/>
                <w:color w:val="auto"/>
              </w:rPr>
              <w:t>Majority comprehensive income under Mexican GAAP</w:t>
            </w:r>
          </w:p>
        </w:tc>
        <w:tc>
          <w:tcPr>
            <w:tcW w:w="1220" w:type="dxa"/>
            <w:vAlign w:val="bottom"/>
          </w:tcPr>
          <w:p>
            <w:pPr>
              <w:ind w:left="660"/>
              <w:spacing w:after="0"/>
              <w:rPr>
                <w:sz w:val="20"/>
                <w:szCs w:val="20"/>
                <w:color w:val="auto"/>
              </w:rPr>
            </w:pPr>
            <w:r>
              <w:rPr>
                <w:rFonts w:ascii="Courier New" w:cs="Courier New" w:eastAsia="Courier New" w:hAnsi="Courier New"/>
                <w:sz w:val="15"/>
                <w:szCs w:val="15"/>
                <w:color w:val="auto"/>
              </w:rPr>
              <w:t>Ps.</w:t>
            </w: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2,536</w:t>
            </w:r>
          </w:p>
        </w:tc>
        <w:tc>
          <w:tcPr>
            <w:tcW w:w="760" w:type="dxa"/>
            <w:vAlign w:val="bottom"/>
          </w:tcPr>
          <w:p>
            <w:pPr>
              <w:ind w:left="180"/>
              <w:spacing w:after="0"/>
              <w:rPr>
                <w:sz w:val="20"/>
                <w:szCs w:val="20"/>
                <w:color w:val="auto"/>
              </w:rPr>
            </w:pPr>
            <w:r>
              <w:rPr>
                <w:rFonts w:ascii="Courier New" w:cs="Courier New" w:eastAsia="Courier New" w:hAnsi="Courier New"/>
                <w:sz w:val="15"/>
                <w:szCs w:val="15"/>
                <w:color w:val="auto"/>
              </w:rPr>
              <w:t>Ps.</w:t>
            </w:r>
          </w:p>
        </w:tc>
        <w:tc>
          <w:tcPr>
            <w:tcW w:w="9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2,919</w:t>
            </w:r>
          </w:p>
        </w:tc>
        <w:tc>
          <w:tcPr>
            <w:tcW w:w="760" w:type="dxa"/>
            <w:vAlign w:val="bottom"/>
          </w:tcPr>
          <w:p>
            <w:pPr>
              <w:ind w:left="180"/>
              <w:spacing w:after="0"/>
              <w:rPr>
                <w:sz w:val="20"/>
                <w:szCs w:val="20"/>
                <w:color w:val="auto"/>
              </w:rPr>
            </w:pPr>
            <w:r>
              <w:rPr>
                <w:rFonts w:ascii="Courier New" w:cs="Courier New" w:eastAsia="Courier New" w:hAnsi="Courier New"/>
                <w:sz w:val="15"/>
                <w:szCs w:val="15"/>
                <w:color w:val="auto"/>
              </w:rPr>
              <w:t>Ps.</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2,094</w:t>
            </w: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US GAAP adjustments:</w:t>
            </w:r>
          </w:p>
        </w:tc>
        <w:tc>
          <w:tcPr>
            <w:tcW w:w="1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income (Note 25 a)</w:t>
            </w:r>
          </w:p>
        </w:tc>
        <w:tc>
          <w:tcPr>
            <w:tcW w:w="122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246</w:t>
            </w:r>
          </w:p>
        </w:tc>
        <w:tc>
          <w:tcPr>
            <w:tcW w:w="760" w:type="dxa"/>
            <w:vAlign w:val="bottom"/>
          </w:tcPr>
          <w:p>
            <w:pPr>
              <w:spacing w:after="0"/>
              <w:rPr>
                <w:sz w:val="14"/>
                <w:szCs w:val="14"/>
                <w:color w:val="auto"/>
              </w:rPr>
            </w:pP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(215)</w:t>
            </w:r>
          </w:p>
        </w:tc>
        <w:tc>
          <w:tcPr>
            <w:tcW w:w="7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(177)</w:t>
            </w:r>
          </w:p>
        </w:tc>
      </w:tr>
      <w:tr>
        <w:trPr>
          <w:trHeight w:val="168"/>
        </w:trPr>
        <w:tc>
          <w:tcPr>
            <w:tcW w:w="4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Translation adjustment</w:t>
            </w:r>
          </w:p>
        </w:tc>
        <w:tc>
          <w:tcPr>
            <w:tcW w:w="122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(147)</w:t>
            </w:r>
          </w:p>
        </w:tc>
        <w:tc>
          <w:tcPr>
            <w:tcW w:w="760" w:type="dxa"/>
            <w:vAlign w:val="bottom"/>
          </w:tcPr>
          <w:p>
            <w:pPr>
              <w:spacing w:after="0"/>
              <w:rPr>
                <w:sz w:val="14"/>
                <w:szCs w:val="14"/>
                <w:color w:val="auto"/>
              </w:rPr>
            </w:pP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(554)</w:t>
            </w:r>
          </w:p>
        </w:tc>
        <w:tc>
          <w:tcPr>
            <w:tcW w:w="7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129</w:t>
            </w:r>
          </w:p>
        </w:tc>
      </w:tr>
      <w:tr>
        <w:trPr>
          <w:trHeight w:val="168"/>
        </w:trPr>
        <w:tc>
          <w:tcPr>
            <w:tcW w:w="4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Result of holding non-monetary assets</w:t>
            </w:r>
          </w:p>
        </w:tc>
        <w:tc>
          <w:tcPr>
            <w:tcW w:w="122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(370)</w:t>
            </w:r>
          </w:p>
        </w:tc>
        <w:tc>
          <w:tcPr>
            <w:tcW w:w="760" w:type="dxa"/>
            <w:vAlign w:val="bottom"/>
          </w:tcPr>
          <w:p>
            <w:pPr>
              <w:spacing w:after="0"/>
              <w:rPr>
                <w:sz w:val="14"/>
                <w:szCs w:val="14"/>
                <w:color w:val="auto"/>
              </w:rPr>
            </w:pP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(298)</w:t>
            </w:r>
          </w:p>
        </w:tc>
        <w:tc>
          <w:tcPr>
            <w:tcW w:w="7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tabs>
          <w:tab w:leader="none" w:pos="5500" w:val="left"/>
          <w:tab w:leader="none" w:pos="6380" w:val="left"/>
          <w:tab w:leader="none" w:pos="7420" w:val="left"/>
          <w:tab w:leader="none" w:pos="8040" w:val="left"/>
          <w:tab w:leader="none" w:pos="8920" w:val="left"/>
          <w:tab w:leader="none" w:pos="9700" w:val="left"/>
        </w:tabs>
        <w:rPr>
          <w:sz w:val="20"/>
          <w:szCs w:val="20"/>
          <w:color w:val="auto"/>
        </w:rPr>
      </w:pPr>
      <w:r>
        <w:rPr>
          <w:rFonts w:ascii="Courier New" w:cs="Courier New" w:eastAsia="Courier New" w:hAnsi="Courier New"/>
          <w:sz w:val="15"/>
          <w:szCs w:val="15"/>
          <w:color w:val="auto"/>
        </w:rPr>
        <w:t>Comprehensive income under US GAAP</w:t>
      </w:r>
      <w:r>
        <w:rPr>
          <w:sz w:val="20"/>
          <w:szCs w:val="20"/>
          <w:color w:val="auto"/>
        </w:rPr>
        <w:tab/>
      </w:r>
      <w:r>
        <w:rPr>
          <w:rFonts w:ascii="Courier New" w:cs="Courier New" w:eastAsia="Courier New" w:hAnsi="Courier New"/>
          <w:sz w:val="15"/>
          <w:szCs w:val="15"/>
          <w:color w:val="auto"/>
        </w:rPr>
        <w:t>Ps.</w:t>
      </w:r>
      <w:r>
        <w:rPr>
          <w:sz w:val="20"/>
          <w:szCs w:val="20"/>
          <w:color w:val="auto"/>
        </w:rPr>
        <w:tab/>
      </w:r>
      <w:r>
        <w:rPr>
          <w:rFonts w:ascii="Courier New" w:cs="Courier New" w:eastAsia="Courier New" w:hAnsi="Courier New"/>
          <w:sz w:val="15"/>
          <w:szCs w:val="15"/>
          <w:color w:val="auto"/>
        </w:rPr>
        <w:t>2,265</w:t>
      </w:r>
      <w:r>
        <w:rPr>
          <w:sz w:val="20"/>
          <w:szCs w:val="20"/>
          <w:color w:val="auto"/>
        </w:rPr>
        <w:tab/>
      </w:r>
      <w:r>
        <w:rPr>
          <w:rFonts w:ascii="Courier New" w:cs="Courier New" w:eastAsia="Courier New" w:hAnsi="Courier New"/>
          <w:sz w:val="15"/>
          <w:szCs w:val="15"/>
          <w:color w:val="auto"/>
        </w:rPr>
        <w:t>Ps.</w:t>
      </w:r>
      <w:r>
        <w:rPr>
          <w:sz w:val="20"/>
          <w:szCs w:val="20"/>
          <w:color w:val="auto"/>
        </w:rPr>
        <w:tab/>
      </w:r>
      <w:r>
        <w:rPr>
          <w:rFonts w:ascii="Courier New" w:cs="Courier New" w:eastAsia="Courier New" w:hAnsi="Courier New"/>
          <w:sz w:val="15"/>
          <w:szCs w:val="15"/>
          <w:color w:val="auto"/>
        </w:rPr>
        <w:t>1,852</w:t>
      </w:r>
      <w:r>
        <w:rPr>
          <w:sz w:val="20"/>
          <w:szCs w:val="20"/>
          <w:color w:val="auto"/>
        </w:rPr>
        <w:tab/>
      </w:r>
      <w:r>
        <w:rPr>
          <w:rFonts w:ascii="Courier New" w:cs="Courier New" w:eastAsia="Courier New" w:hAnsi="Courier New"/>
          <w:sz w:val="15"/>
          <w:szCs w:val="15"/>
          <w:color w:val="auto"/>
        </w:rPr>
        <w:t>Ps.</w:t>
      </w:r>
      <w:r>
        <w:rPr>
          <w:sz w:val="20"/>
          <w:szCs w:val="20"/>
          <w:color w:val="auto"/>
        </w:rPr>
        <w:tab/>
      </w:r>
      <w:r>
        <w:rPr>
          <w:rFonts w:ascii="Courier New" w:cs="Courier New" w:eastAsia="Courier New" w:hAnsi="Courier New"/>
          <w:sz w:val="14"/>
          <w:szCs w:val="14"/>
          <w:color w:val="auto"/>
        </w:rPr>
        <w:t>2,171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26. Future Impact of Recently Issued Accounting Standards Not Yet in</w:t>
      </w:r>
    </w:p>
    <w:p>
      <w:pPr>
        <w:ind w:left="800"/>
        <w:spacing w:after="0" w:line="237" w:lineRule="auto"/>
        <w:rPr>
          <w:sz w:val="20"/>
          <w:szCs w:val="20"/>
          <w:color w:val="auto"/>
        </w:rPr>
      </w:pPr>
      <w:r>
        <w:rPr>
          <w:rFonts w:ascii="Courier New" w:cs="Courier New" w:eastAsia="Courier New" w:hAnsi="Courier New"/>
          <w:sz w:val="15"/>
          <w:szCs w:val="15"/>
          <w:color w:val="auto"/>
        </w:rPr>
        <w:t>Effect.</w:t>
      </w:r>
    </w:p>
    <w:p>
      <w:pPr>
        <w:spacing w:after="0" w:line="335" w:lineRule="exact"/>
        <w:rPr>
          <w:sz w:val="20"/>
          <w:szCs w:val="20"/>
          <w:color w:val="auto"/>
        </w:rPr>
      </w:pPr>
    </w:p>
    <w:p>
      <w:pPr>
        <w:ind w:left="440" w:hanging="430"/>
        <w:spacing w:after="0"/>
        <w:tabs>
          <w:tab w:leader="none" w:pos="440"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Mexican GAAP:</w:t>
      </w:r>
    </w:p>
    <w:p>
      <w:pPr>
        <w:spacing w:after="0" w:line="172" w:lineRule="exact"/>
        <w:rPr>
          <w:rFonts w:ascii="Courier New" w:cs="Courier New" w:eastAsia="Courier New" w:hAnsi="Courier New"/>
          <w:sz w:val="15"/>
          <w:szCs w:val="15"/>
          <w:color w:val="auto"/>
        </w:rPr>
      </w:pPr>
    </w:p>
    <w:p>
      <w:pPr>
        <w:ind w:left="440" w:right="3420"/>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Bulletin B-5, "Informacion Financiera por Segmentos" (Financial Information by Segment ) ("Bulletin B-5"):</w:t>
      </w:r>
    </w:p>
    <w:p>
      <w:pPr>
        <w:spacing w:after="0" w:line="173" w:lineRule="exact"/>
        <w:rPr>
          <w:rFonts w:ascii="Courier New" w:cs="Courier New" w:eastAsia="Courier New" w:hAnsi="Courier New"/>
          <w:sz w:val="15"/>
          <w:szCs w:val="15"/>
          <w:color w:val="auto"/>
        </w:rPr>
      </w:pPr>
    </w:p>
    <w:p>
      <w:pPr>
        <w:ind w:left="440" w:right="34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April 2003,Bulletin B-5 issued by the Mexican Institute of Public Accountants ("IMCP"), went into effect superseding the provisions in International Accounting Standard ("IAS") No. 14, "Segment Reporting", which was suppletory based on the provisions in Bulletin A-8, "Aplicacion Supletoria de Normas Internacionales de Contabilidad" (Suppletory Application of International Accounting Standards), with respect to disclosing financial information by segment. The provisions of this new bulletin are substantially similar to those of IAS No. 14; however, they incorporate a managerial focus, which requires at a minimum disclosure of the segment information that is used by management to make decisions. These new provisions do not change the segment information previously presented by the Company.</w:t>
      </w:r>
    </w:p>
    <w:p>
      <w:pPr>
        <w:spacing w:after="0" w:line="334"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Bulletin C-8, "Activos Intangibles" (Intangible Assets)  ("Bulletin C-8"):</w:t>
      </w:r>
    </w:p>
    <w:p>
      <w:pPr>
        <w:spacing w:after="0" w:line="172" w:lineRule="exact"/>
        <w:rPr>
          <w:rFonts w:ascii="Courier New" w:cs="Courier New" w:eastAsia="Courier New" w:hAnsi="Courier New"/>
          <w:sz w:val="15"/>
          <w:szCs w:val="15"/>
          <w:color w:val="auto"/>
        </w:rPr>
      </w:pPr>
    </w:p>
    <w:p>
      <w:pPr>
        <w:ind w:left="440" w:right="3420"/>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January 2002, the IMCP issued new Bulletin C-8, whose provisions are mandatory for fiscal years beginning January 1, 2003. Bulletin C-8 supersedes the former Bulletin C-8, "Intangibles" and establishes that project development costs should be capitalized if they fulfill the criteria established for recognition as assets. Any start-up expenses incurred after the effective date of this bulletin should be recorded as an expense unless they meet certain criteria. The unamortized balance of capitalized start-up expenses under the former Bulletin C-8 will continue to be amortized. Bulletin C-8 requires identifying all intangible assets to reduce as much as possible the goodwill relative to business combinations. The Company does not anticipate that this new standard will have a significant impact on its financial position or results of operations.</w:t>
      </w:r>
    </w:p>
    <w:p>
      <w:pPr>
        <w:spacing w:after="0" w:line="332" w:lineRule="exact"/>
        <w:rPr>
          <w:rFonts w:ascii="Courier New" w:cs="Courier New" w:eastAsia="Courier New" w:hAnsi="Courier New"/>
          <w:sz w:val="15"/>
          <w:szCs w:val="15"/>
          <w:color w:val="auto"/>
        </w:rPr>
      </w:pPr>
    </w:p>
    <w:p>
      <w:pPr>
        <w:ind w:left="440" w:right="3580"/>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Bulletin C-9, "Pasivo, Provisiones, Activos y Pasivos Contingentes y Compromisos" (Liabilities, Provisions, Contingent Assets and Liabilities, and Commitments) ("Bulletin C-9"):</w:t>
      </w:r>
    </w:p>
    <w:p>
      <w:pPr>
        <w:spacing w:after="0" w:line="173" w:lineRule="exact"/>
        <w:rPr>
          <w:rFonts w:ascii="Courier New" w:cs="Courier New" w:eastAsia="Courier New" w:hAnsi="Courier New"/>
          <w:sz w:val="15"/>
          <w:szCs w:val="15"/>
          <w:color w:val="auto"/>
        </w:rPr>
      </w:pPr>
    </w:p>
    <w:p>
      <w:pPr>
        <w:ind w:left="440" w:right="3500"/>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December 2002, issued new Bulletin C-9, whose provisions are mandatory for fiscal years beginning January 1, 2003. Bulletin C-9 supersedes the former Bulletins C-9, "Pasivos" (Liabilities), and C-12, "Contingencias y Compromisos" (Contingencies and Commitments), and establishes additional guidelines clarifying the accounting for liabilities, provisions, and contingent assets and liabilities, and establishes new standards for the use of present value techniques to measure liabilities and accounting for the early settlement of obligations. The Company does not anticipate that this new standard will have a significant impact on its financial position or results of operations.</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F-45</w:t>
      </w:r>
    </w:p>
    <w:p>
      <w:pPr>
        <w:sectPr>
          <w:pgSz w:w="11900" w:h="16838" w:orient="portrait"/>
          <w:cols w:equalWidth="0" w:num="1">
            <w:col w:w="10420"/>
          </w:cols>
          <w:pgMar w:left="220" w:top="617" w:right="1259" w:bottom="1440" w:gutter="0" w:footer="0" w:header="0"/>
        </w:sectPr>
      </w:pPr>
    </w:p>
    <w:bookmarkStart w:id="208" w:name="page209"/>
    <w:bookmarkEnd w:id="208"/>
    <w:p>
      <w:pPr>
        <w:ind w:left="430" w:right="3399"/>
        <w:spacing w:after="0" w:line="235" w:lineRule="auto"/>
        <w:rPr>
          <w:sz w:val="20"/>
          <w:szCs w:val="20"/>
          <w:color w:val="auto"/>
        </w:rPr>
      </w:pPr>
      <w:r>
        <w:rPr>
          <w:rFonts w:ascii="Courier New" w:cs="Courier New" w:eastAsia="Courier New" w:hAnsi="Courier New"/>
          <w:sz w:val="15"/>
          <w:szCs w:val="15"/>
          <w:color w:val="auto"/>
        </w:rPr>
        <w:t>Boletin C-12, "Instrumentos Financieros con Caracteristicas de Pasivo, de Capital o de Ambos" (Financial Instruments with Characteristics of Liabilities, Equity or Both) ("Bulletin C-12"):</w:t>
      </w:r>
    </w:p>
    <w:p>
      <w:pPr>
        <w:spacing w:after="0" w:line="174" w:lineRule="exact"/>
        <w:rPr>
          <w:sz w:val="20"/>
          <w:szCs w:val="20"/>
          <w:color w:val="auto"/>
        </w:rPr>
      </w:pPr>
    </w:p>
    <w:p>
      <w:pPr>
        <w:ind w:left="430" w:right="3239"/>
        <w:spacing w:after="0" w:line="237" w:lineRule="auto"/>
        <w:rPr>
          <w:sz w:val="20"/>
          <w:szCs w:val="20"/>
          <w:color w:val="auto"/>
        </w:rPr>
      </w:pPr>
      <w:r>
        <w:rPr>
          <w:rFonts w:ascii="Courier New" w:cs="Courier New" w:eastAsia="Courier New" w:hAnsi="Courier New"/>
          <w:sz w:val="15"/>
          <w:szCs w:val="15"/>
          <w:color w:val="auto"/>
        </w:rPr>
        <w:t>In May 2003, the IMCP issued Bulletin C-12, whose provisions are mandatory for fiscal years beginning January 1, 2004, although early application is encouraged. C-12 incorporates the related portions of other bulletins issued by the IMCP with respect to the issuance of debt, capital or compound financial instruments, as well as those standards considered necessary for the accounting recognition of such instruments. As a result, C-12 indicates the basic distinctions between liabilities and equity and establishes the rules for the initial classification and measurement of the liability and equity components of compound financial instruments. Subsequent recognition and measurement of the liability and equity components of financial instruments remains subject to previously issued applicable standards. The Company does not anticipate that this new standard will have a significant impact on its financial position or results of operations.</w:t>
      </w:r>
    </w:p>
    <w:p>
      <w:pPr>
        <w:spacing w:after="0" w:line="174" w:lineRule="exact"/>
        <w:rPr>
          <w:sz w:val="20"/>
          <w:szCs w:val="20"/>
          <w:color w:val="auto"/>
        </w:rPr>
      </w:pPr>
    </w:p>
    <w:p>
      <w:pPr>
        <w:ind w:left="430" w:right="3239"/>
        <w:spacing w:after="0" w:line="235" w:lineRule="auto"/>
        <w:rPr>
          <w:sz w:val="20"/>
          <w:szCs w:val="20"/>
          <w:color w:val="auto"/>
        </w:rPr>
      </w:pPr>
      <w:r>
        <w:rPr>
          <w:rFonts w:ascii="Courier New" w:cs="Courier New" w:eastAsia="Courier New" w:hAnsi="Courier New"/>
          <w:sz w:val="15"/>
          <w:szCs w:val="15"/>
          <w:color w:val="auto"/>
        </w:rPr>
        <w:t>Bulletin C-15, "Deterioro en el Valor de los Activos de Larga Duracion y su Disposicion" (Impairment in the Value of Long-Lived Assets and Their Disposal) ("Bulletin C-15"):</w:t>
      </w:r>
    </w:p>
    <w:p>
      <w:pPr>
        <w:spacing w:after="0" w:line="174" w:lineRule="exact"/>
        <w:rPr>
          <w:sz w:val="20"/>
          <w:szCs w:val="20"/>
          <w:color w:val="auto"/>
        </w:rPr>
      </w:pPr>
    </w:p>
    <w:p>
      <w:pPr>
        <w:ind w:left="430" w:right="3239"/>
        <w:spacing w:after="0" w:line="255" w:lineRule="auto"/>
        <w:rPr>
          <w:sz w:val="20"/>
          <w:szCs w:val="20"/>
          <w:color w:val="auto"/>
        </w:rPr>
      </w:pPr>
      <w:r>
        <w:rPr>
          <w:rFonts w:ascii="Courier New" w:cs="Courier New" w:eastAsia="Courier New" w:hAnsi="Courier New"/>
          <w:sz w:val="14"/>
          <w:szCs w:val="14"/>
          <w:color w:val="auto"/>
        </w:rPr>
        <w:t>In March 2003, the IMCP issued Bulletin C-15, whose application is mandatory for financial statements of periods beginning on or after January 1, 2004, although early application is encouraged. C-15 establishes, among others, new principles for the calculation and recognition of impairment losses for long-lived assets and their reversal. It also provides examples of indicators of possible impairment in the carrying amount of tangible and intangible long-lived assets in use, including goodwill. The calculation of such loss requires the determination of the recoverable value, which is now defined as the greater of the net selling price of a cash-generating unit and its value in use, which is the present value of discounted future net cash flows. The accounting principles issued prior to this new Bulletin used future net cash flows, without requiring the discounting of such cash flows. The Company does not anticipate that this new standard will have a significant impact on its financial position or results of operations.</w:t>
      </w:r>
    </w:p>
    <w:p>
      <w:pPr>
        <w:spacing w:after="0" w:line="326" w:lineRule="exact"/>
        <w:rPr>
          <w:sz w:val="20"/>
          <w:szCs w:val="20"/>
          <w:color w:val="auto"/>
        </w:rPr>
      </w:pPr>
    </w:p>
    <w:p>
      <w:pPr>
        <w:ind w:left="430" w:hanging="430"/>
        <w:spacing w:after="0"/>
        <w:tabs>
          <w:tab w:leader="none" w:pos="430"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US GAAP:</w:t>
      </w:r>
    </w:p>
    <w:p>
      <w:pPr>
        <w:spacing w:after="0" w:line="172" w:lineRule="exact"/>
        <w:rPr>
          <w:rFonts w:ascii="Courier New" w:cs="Courier New" w:eastAsia="Courier New" w:hAnsi="Courier New"/>
          <w:sz w:val="15"/>
          <w:szCs w:val="15"/>
          <w:color w:val="auto"/>
        </w:rPr>
      </w:pPr>
    </w:p>
    <w:p>
      <w:pPr>
        <w:ind w:left="430" w:right="367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SFAS No. 143, "Accounting for Asset Retirement Obligations" ("SFAS No. 143"):</w:t>
      </w:r>
    </w:p>
    <w:p>
      <w:pPr>
        <w:spacing w:after="0" w:line="173" w:lineRule="exact"/>
        <w:rPr>
          <w:rFonts w:ascii="Courier New" w:cs="Courier New" w:eastAsia="Courier New" w:hAnsi="Courier New"/>
          <w:sz w:val="15"/>
          <w:szCs w:val="15"/>
          <w:color w:val="auto"/>
        </w:rPr>
      </w:pPr>
    </w:p>
    <w:p>
      <w:pPr>
        <w:ind w:left="43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June 2001, the FASB issued SFAS No. 143, which is effective for the Company beginning in 2003. The Company plans to adopt this new standard in 2003. SFAS No. 143 addresses financial accounting and reporting for obligations associated with the retirement of tangible long-lived assets and the associated asset retirement costs. It applies to legal obligations associated with the retirement of long-lived assets that result from the acquisition, construction, development and/or the normal operation of a long-lived asset, except for certain obligations of lessees. This Statement requires that the fair value of a liability for an asset retirement obligation be recognized in the year in which it is incurred if a reasonable estimate of fair value can be made. The associated asset retirement costs are capitalized as part of the carrying amount of the long-lived asset. The Company does not anticipate that this new standard will have a significant impact on its financial position or results of operations.</w:t>
      </w:r>
    </w:p>
    <w:p>
      <w:pPr>
        <w:spacing w:after="0" w:line="174" w:lineRule="exact"/>
        <w:rPr>
          <w:rFonts w:ascii="Courier New" w:cs="Courier New" w:eastAsia="Courier New" w:hAnsi="Courier New"/>
          <w:sz w:val="15"/>
          <w:szCs w:val="15"/>
          <w:color w:val="auto"/>
        </w:rPr>
      </w:pPr>
    </w:p>
    <w:p>
      <w:pPr>
        <w:ind w:left="430" w:right="3399"/>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SFAS No. 145, "Rescission of FASB Statements No. 4, 44, and 64, Amendment of FASB Statement No. 13, and Technical Corrections" ("SFAS No. 145"):</w:t>
      </w:r>
    </w:p>
    <w:p>
      <w:pPr>
        <w:spacing w:after="0" w:line="159" w:lineRule="exact"/>
        <w:rPr>
          <w:rFonts w:ascii="Courier New" w:cs="Courier New" w:eastAsia="Courier New" w:hAnsi="Courier New"/>
          <w:sz w:val="15"/>
          <w:szCs w:val="15"/>
          <w:color w:val="auto"/>
        </w:rPr>
      </w:pPr>
    </w:p>
    <w:p>
      <w:pPr>
        <w:ind w:left="43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April 2002, the FASB issued SFAS No. 145, which requires that gains and losses from extinguishment of debt in all years presented be classified as extraordinary items only if they meet the criteria of APB Opinion 30, "Reporting the Results of Operations--Discontinued Events and Extraordinary Items".</w:t>
      </w:r>
    </w:p>
    <w:p>
      <w:pPr>
        <w:spacing w:after="0" w:line="174" w:lineRule="exact"/>
        <w:rPr>
          <w:sz w:val="20"/>
          <w:szCs w:val="20"/>
          <w:color w:val="auto"/>
        </w:rPr>
      </w:pPr>
    </w:p>
    <w:p>
      <w:pPr>
        <w:ind w:left="430" w:right="3239"/>
        <w:spacing w:after="0" w:line="236" w:lineRule="auto"/>
        <w:rPr>
          <w:sz w:val="20"/>
          <w:szCs w:val="20"/>
          <w:color w:val="auto"/>
        </w:rPr>
      </w:pPr>
      <w:r>
        <w:rPr>
          <w:rFonts w:ascii="Courier New" w:cs="Courier New" w:eastAsia="Courier New" w:hAnsi="Courier New"/>
          <w:sz w:val="15"/>
          <w:szCs w:val="15"/>
          <w:color w:val="auto"/>
        </w:rPr>
        <w:t>The amendment of SFAS No. 13, "Accounting for Leases", eliminates an inconsistency between the required accounting for sale-leaseback transactions and the required accounting for certain lease modifications that have economic effects that are similar to sale-leaseback transactions. The new standard will be effective for financial statements issued for fiscal years beginning after May 15, 2002 and lease transactions occurring after May 15, 2002, with early application encouraged. The Company plans to adopt this new standard in 2003. The Company does not anticipate that this new standard will have a significant impact on its financial position or results of operations.</w:t>
      </w:r>
    </w:p>
    <w:p>
      <w:pPr>
        <w:spacing w:after="0" w:line="173" w:lineRule="exact"/>
        <w:rPr>
          <w:sz w:val="20"/>
          <w:szCs w:val="20"/>
          <w:color w:val="auto"/>
        </w:rPr>
      </w:pPr>
    </w:p>
    <w:p>
      <w:pPr>
        <w:ind w:left="3330"/>
        <w:spacing w:after="0"/>
        <w:rPr>
          <w:sz w:val="20"/>
          <w:szCs w:val="20"/>
          <w:color w:val="auto"/>
        </w:rPr>
      </w:pPr>
      <w:r>
        <w:rPr>
          <w:rFonts w:ascii="Courier New" w:cs="Courier New" w:eastAsia="Courier New" w:hAnsi="Courier New"/>
          <w:sz w:val="15"/>
          <w:szCs w:val="15"/>
          <w:color w:val="auto"/>
        </w:rPr>
        <w:t>F-46</w:t>
      </w:r>
    </w:p>
    <w:p>
      <w:pPr>
        <w:sectPr>
          <w:pgSz w:w="11900" w:h="16838" w:orient="portrait"/>
          <w:cols w:equalWidth="0" w:num="1">
            <w:col w:w="10229"/>
          </w:cols>
          <w:pgMar w:left="230" w:top="624" w:right="1440" w:bottom="1440" w:gutter="0" w:footer="0" w:header="0"/>
        </w:sectPr>
      </w:pPr>
    </w:p>
    <w:bookmarkStart w:id="209" w:name="page210"/>
    <w:bookmarkEnd w:id="209"/>
    <w:p>
      <w:pPr>
        <w:ind w:right="3839"/>
        <w:spacing w:after="0" w:line="234" w:lineRule="auto"/>
        <w:rPr>
          <w:sz w:val="20"/>
          <w:szCs w:val="20"/>
          <w:color w:val="auto"/>
        </w:rPr>
      </w:pPr>
      <w:r>
        <w:rPr>
          <w:rFonts w:ascii="Courier New" w:cs="Courier New" w:eastAsia="Courier New" w:hAnsi="Courier New"/>
          <w:sz w:val="15"/>
          <w:szCs w:val="15"/>
          <w:color w:val="auto"/>
        </w:rPr>
        <w:t>SFAS No. 146, "Accounting for Costs Associated with Exit or Disposal Activities" ("SFAS No. 146"):</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In June 2002 the FASB issued SFAS No. 146, which nullifies Emerging Issues Task Force ("EITF") Issue No. 94-3, "Liability Recognition for Certain Employee Termination Benefits and Other Costs to Exit an Activity (including Certain Costs Incurred in a Restructuring)". The principal difference between SFAS No. 146 and EITF 94-3 relates to its requirement that a liability for a cost associated with an exit or disposal activity be recognized and measured initially at fair value when the liability is incurred, as opposed to recognition under EITF 94-3 at the date of an entity's commitment to an exit plan. The provisions of SFAS No.146 will be effective for exit or disposal activities that are initiated after December 31, 2002, with early application encouraged. Previously issued financial statements may not be restated, and the provisions of EITF 94-3 shall continue to apply for an exit activity initiated under an exit plan prior to the initial application of SFAS No. 146. The Company plans to adopt this new standard in 2003. The Company does not anticipate that this new standard will have a significant impact on its financial position or results of operations.</w:t>
      </w:r>
    </w:p>
    <w:p>
      <w:pPr>
        <w:spacing w:after="0" w:line="17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FASB Interpretation No. 45, "Guarantor's Accounting and Disclosure Requirements for Guarantees, Including Indirect Guarantees of Indebtedness of Others" ("FIN 45"):</w:t>
      </w:r>
    </w:p>
    <w:p>
      <w:pPr>
        <w:spacing w:after="0" w:line="17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 November 2002, the FASB issued FIN 45, which requires that the guarantor recognize, at the inception of certain guarantees, a liability for the fair value of the obligation undertaken in issuing such guarantee. FIN 45 also requires additional disclosure requirements about the guarantor's obligations under certain guarantees that it has issued. The initial recognition and measurement provisions of this interpretation are applicable on a prospective basis to guarantees issued or modified after December 31, 2002, and the disclosure requirements are effective for financial statement periods ending after December 15, 2002. The Company does not expect the adoption of FIN 45 will have a material impact on its financial position, results of operations or cash flows.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EITF Issue 02-16, "Accounting by a Customer (Including a Reseller) for</w:t>
      </w:r>
    </w:p>
    <w:p>
      <w:pPr>
        <w:spacing w:after="0" w:line="237" w:lineRule="auto"/>
        <w:rPr>
          <w:sz w:val="20"/>
          <w:szCs w:val="20"/>
          <w:color w:val="auto"/>
        </w:rPr>
      </w:pPr>
      <w:r>
        <w:rPr>
          <w:rFonts w:ascii="Courier New" w:cs="Courier New" w:eastAsia="Courier New" w:hAnsi="Courier New"/>
          <w:sz w:val="15"/>
          <w:szCs w:val="15"/>
          <w:color w:val="auto"/>
        </w:rPr>
        <w:t>Certain Consideration Received from a Vendor" ("EITF 02-16"):</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 January 2003, the EITF concluded in EITF 02-16, whose provisions are required for financial statements for fiscal years beginning after December 15,2002, with pro forma retroactive disclosure encouraged. EITF 02-16 addresses the accounting for cash consideration received from a vendor by a reseller of a vendor's products. The EITF reached a consensus that cash consideration represents a reimbursement of costs incurred by the customer to sell the vendor's products and should be characterized as a reduction of that cost when recognized in the customer's income statement if the cash consideration represents a reimbursement of a specific, incremental, identifiable cost incurred by the customer in selling the vendor's products or services. Accordingly, the payments received by Coca-Cola FEMSA from The Coca-Cola Company for cooperative advertising (see Note 4j) are properly classified as a reduction of selling expenses. As a result, this new bulletin will have no impact on the Company's financial statements.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SFAS No. 149, "Amendments of Statement 133 on Derivative Instruments and</w:t>
      </w:r>
    </w:p>
    <w:p>
      <w:pPr>
        <w:spacing w:after="0" w:line="237" w:lineRule="auto"/>
        <w:rPr>
          <w:sz w:val="20"/>
          <w:szCs w:val="20"/>
          <w:color w:val="auto"/>
        </w:rPr>
      </w:pPr>
      <w:r>
        <w:rPr>
          <w:rFonts w:ascii="Courier New" w:cs="Courier New" w:eastAsia="Courier New" w:hAnsi="Courier New"/>
          <w:sz w:val="15"/>
          <w:szCs w:val="15"/>
          <w:color w:val="auto"/>
        </w:rPr>
        <w:t>Hedging Activities" ("SFAS No. 149"):</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 April 2003, the FASB issued SFAS No. 149, which amends and clarifies financial accounting and reporting for derivative instruments, including certain derivative instruments embedded in other contracts and for hedging activities under SFAS No. 133. The changes in this Statement improve financial reporting by requiring that contracts with comparable characteristics be accounted for similarly. The new standard will be effective for contracts entered into or modified after June 30, 2003, except as stated below and for hedging relationships designated after June 30, 2003. In addition, except as stated below, all provisions of this Statement should be applied prospectively.</w:t>
      </w:r>
    </w:p>
    <w:p>
      <w:pPr>
        <w:spacing w:after="0" w:line="179"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provisions of this Statement that relate to SFAS No. 133 implementation issues that have been effective for fiscal quarters that began prior to June 15, 2003, should continue to be applied in accordance with their respective effective dates. The Company does not anticipate that this new standard will have a significant impact on its financial position or results of operations.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SFAS No. 150, "Accounting for Certain Financial Instruments with</w:t>
      </w:r>
    </w:p>
    <w:p>
      <w:pPr>
        <w:spacing w:after="0" w:line="237" w:lineRule="auto"/>
        <w:rPr>
          <w:sz w:val="20"/>
          <w:szCs w:val="20"/>
          <w:color w:val="auto"/>
        </w:rPr>
      </w:pPr>
      <w:r>
        <w:rPr>
          <w:rFonts w:ascii="Courier New" w:cs="Courier New" w:eastAsia="Courier New" w:hAnsi="Courier New"/>
          <w:sz w:val="15"/>
          <w:szCs w:val="15"/>
          <w:color w:val="auto"/>
        </w:rPr>
        <w:t>Characteristics of both Liabilities and Equity" ("SFAS No. 150"):</w:t>
      </w:r>
    </w:p>
    <w:p>
      <w:pPr>
        <w:spacing w:after="0" w:line="173" w:lineRule="exact"/>
        <w:rPr>
          <w:sz w:val="20"/>
          <w:szCs w:val="20"/>
          <w:color w:val="auto"/>
        </w:rPr>
      </w:pPr>
    </w:p>
    <w:p>
      <w:pPr>
        <w:ind w:right="3839"/>
        <w:spacing w:after="0" w:line="258" w:lineRule="auto"/>
        <w:rPr>
          <w:sz w:val="20"/>
          <w:szCs w:val="20"/>
          <w:color w:val="auto"/>
        </w:rPr>
      </w:pPr>
      <w:r>
        <w:rPr>
          <w:rFonts w:ascii="Courier New" w:cs="Courier New" w:eastAsia="Courier New" w:hAnsi="Courier New"/>
          <w:sz w:val="14"/>
          <w:szCs w:val="14"/>
          <w:color w:val="auto"/>
        </w:rPr>
        <w:t>In May 2003, the FASB issued SFAS No. 150, which aims to eliminate diversity in practice by requiring that the following three types of financial instruments be reported as liabilities by their issuers:</w:t>
      </w:r>
    </w:p>
    <w:p>
      <w:pPr>
        <w:spacing w:after="0" w:line="15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F-47</w:t>
      </w:r>
    </w:p>
    <w:p>
      <w:pPr>
        <w:sectPr>
          <w:pgSz w:w="11900" w:h="16838" w:orient="portrait"/>
          <w:cols w:equalWidth="0" w:num="1">
            <w:col w:w="9799"/>
          </w:cols>
          <w:pgMar w:left="660" w:top="624" w:right="1440" w:bottom="1440" w:gutter="0" w:footer="0" w:header="0"/>
        </w:sectPr>
      </w:pPr>
    </w:p>
    <w:bookmarkStart w:id="210" w:name="page211"/>
    <w:bookmarkEnd w:id="210"/>
    <w:p>
      <w:pPr>
        <w:ind w:left="440" w:right="3059" w:hanging="430"/>
        <w:spacing w:after="0" w:line="235" w:lineRule="auto"/>
        <w:tabs>
          <w:tab w:leader="none" w:pos="178"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-Mandatorily redeemable instruments (i.e., instruments issued in the form of shares that unconditionally obligate the issuer to redeem the shares for cash or by transferring other assets);</w:t>
      </w:r>
    </w:p>
    <w:p>
      <w:pPr>
        <w:spacing w:after="0" w:line="173" w:lineRule="exact"/>
        <w:rPr>
          <w:rFonts w:ascii="Courier New" w:cs="Courier New" w:eastAsia="Courier New" w:hAnsi="Courier New"/>
          <w:sz w:val="15"/>
          <w:szCs w:val="15"/>
          <w:color w:val="auto"/>
        </w:rPr>
      </w:pPr>
    </w:p>
    <w:p>
      <w:pPr>
        <w:ind w:left="440" w:right="3319" w:hanging="430"/>
        <w:spacing w:after="0" w:line="235" w:lineRule="auto"/>
        <w:tabs>
          <w:tab w:leader="none" w:pos="178"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-Forward purchase contracts, written put options, and other financial instruments not in the form of shares that either obligate or may obligate the issuer to settle its obligation for cash or by transferring other assets;</w:t>
      </w:r>
    </w:p>
    <w:p>
      <w:pPr>
        <w:spacing w:after="0" w:line="175" w:lineRule="exact"/>
        <w:rPr>
          <w:rFonts w:ascii="Courier New" w:cs="Courier New" w:eastAsia="Courier New" w:hAnsi="Courier New"/>
          <w:sz w:val="15"/>
          <w:szCs w:val="15"/>
          <w:color w:val="auto"/>
        </w:rPr>
      </w:pPr>
    </w:p>
    <w:p>
      <w:pPr>
        <w:ind w:left="440" w:right="3239" w:hanging="430"/>
        <w:spacing w:after="0" w:line="255" w:lineRule="auto"/>
        <w:tabs>
          <w:tab w:leader="none" w:pos="178"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Certain financial instruments that include an obligation that (1) the issuer may or must settle by issuing a variable number of its equity shares and (2) has a "monetary value" at inception that (a) is fixed, (b) is tied to a market index or other benchmark (something other than the fair value of the issuer's equity shares) or (c) varies inversely with the fair value of the equity shares, for example, a written put option.</w:t>
      </w:r>
    </w:p>
    <w:p>
      <w:pPr>
        <w:spacing w:after="0" w:line="16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To date these types of instruments have been variously reported by their issuers as liabilities, as part of equity, or between the liability and equity sections (sometimes referred to as "mezzanine" reporting) of the balance sheet. The provisions of SFAS No. 150 are effective for financial instruments entered into or modified after May 31, 2003, and pre-existing instruments effective at the beginning of the first interim period beginning after June 15, 2003. The Company does not expect that the adoption of SFAS No. 150 will have a material impact on its financial position, results of operations or cash flows.</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27. Subsequent event</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On May 6, 2003, Coca-Cola FEMSA acquired 100% of the outstanding stock of Panamerican Beverages, Inc. ("Panamco") for $3,709, excluding transaction expenses. As part of the acquisition, the Company assumed $885 of debt, of which $373 million was repaid in connection with the acquisition.</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transaction was financed with new indebtedness in Mexican pesos of Ps. 7,998 and US dollars of $1,234, an equity contribution from FEMSA of $260, an exchange of The Coca-Cola Company's equity interests in Panamco valued at $674 for new shares of Coca-Cola FEMSA, the assumption of indebtedness of $512 and cash on hand of $285.</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Transaction costs and expenses, including financial and advisory fees, and costs associated with exiting activities of the former Panamco business include: (i) closing certain acquired facilities; (ii) rationalizing and consolidating operations, (iii) relocating the corporate and other offices, and (iv) other costs associated with the integration of the operations are expected to be material. These costs will be recorded on the Company's Consolidated Balance Sheet as adjustments to the purchase price or on the Company's Consolidated Statements of Income as expenses, as appropriate.</w:t>
      </w:r>
    </w:p>
    <w:p>
      <w:pPr>
        <w:spacing w:after="0" w:line="177"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Assets acquired and liabilities assumed as part of this acquisition will be recorded on the Company's consolidated balance sheet as of the acquisition date based upon their estimated fair values at such date. The excess of the purchase price over the estimated fair values of the underlying assets acquired and liabilities assumed will be allocated as identifiable intangible assets, principally bottling agreement rights, which the Company has determined have an indefinite life. Appraisals and valuations of the acquired tangible and intangible assets in each of the eight countries in which Panamco operated are currently in process. The Company is unable to provide a preliminary estimate of the fair value of the assets acquired and liabilities assumed due to the incomplete nature of the valuations and pending the finalization of the integration plans.</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After the transaction, FEMSA indirectly owns 45.7% of the economic value of Coca-Cola FEMSA and 53.6% of the voting shares. The Coca-Cola Company indirectly owns 39.6% of the economic value and 46.4% of the voting shares. The public owns the remaining economic value.</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F-48</w:t>
      </w:r>
    </w:p>
    <w:p>
      <w:pPr>
        <w:sectPr>
          <w:pgSz w:w="11900" w:h="16838" w:orient="portrait"/>
          <w:cols w:equalWidth="0" w:num="1">
            <w:col w:w="10239"/>
          </w:cols>
          <w:pgMar w:left="220" w:top="624" w:right="1440" w:bottom="1440" w:gutter="0" w:footer="0" w:header="0"/>
        </w:sectPr>
      </w:pPr>
    </w:p>
    <w:bookmarkStart w:id="211" w:name="page212"/>
    <w:bookmarkEnd w:id="211"/>
    <w:p>
      <w:pPr>
        <w:ind w:left="2200"/>
        <w:spacing w:after="0"/>
        <w:rPr>
          <w:sz w:val="20"/>
          <w:szCs w:val="20"/>
          <w:color w:val="auto"/>
        </w:rPr>
      </w:pPr>
      <w:r>
        <w:rPr>
          <w:rFonts w:ascii="Courier New" w:cs="Courier New" w:eastAsia="Courier New" w:hAnsi="Courier New"/>
          <w:sz w:val="15"/>
          <w:szCs w:val="15"/>
          <w:color w:val="auto"/>
        </w:rPr>
        <w:t>REPORT OF INDEPENDENT AUDITORS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Stockholders of</w:t>
      </w:r>
    </w:p>
    <w:p>
      <w:pPr>
        <w:spacing w:after="0" w:line="237" w:lineRule="auto"/>
        <w:rPr>
          <w:sz w:val="20"/>
          <w:szCs w:val="20"/>
          <w:color w:val="auto"/>
        </w:rPr>
      </w:pPr>
      <w:r>
        <w:rPr>
          <w:rFonts w:ascii="Courier New" w:cs="Courier New" w:eastAsia="Courier New" w:hAnsi="Courier New"/>
          <w:sz w:val="15"/>
          <w:szCs w:val="15"/>
          <w:color w:val="auto"/>
        </w:rPr>
        <w:t>Femsa Comercio, S.A. de C.V.</w:t>
      </w:r>
    </w:p>
    <w:p>
      <w:pPr>
        <w:spacing w:after="0" w:line="342"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We have audited the accompanying consolidated balance sheets of Femsa Comercio, S.A. de C.V. and Subsidiaries, as of December 31, 2002 and 2001, and the related consolidated statements of income, changes in stockholders' equity and changes in financial position for the years then ended. These consolidated financial statements are the responsibility of the Company's management. Our responsibility is to express an opinion on these financial statements based on our audits.</w:t>
      </w:r>
    </w:p>
    <w:p>
      <w:pPr>
        <w:spacing w:after="0" w:line="17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We conducted our audits in accordance with auditing standards generally accepted in Mexico and in the United States of America. Those standards require that we plan and perform our audit to obtain reasonable assurance about whether the financial statements are free of material misstatement and that they were prepared in accordance with generally accepted accounting principles in Mexico.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 our opinion, the consolidated financial statements referred to above present fairly, in all material respects, the financial position of Femsa Comercio, S.A. de C.V. and Subsidiaries at December 31, 2002 and 2001, and the results of their operations, the changes in their stockholders' equity and the changes in their financial position for the years then ended, in conformity with accounting principles generally accepted in Mexico, which differ in certain respects from accounting principles generally accepted in the United States of America, as described in Note 16 to the financial statements.</w:t>
      </w:r>
    </w:p>
    <w:p>
      <w:pPr>
        <w:spacing w:after="0" w:line="327"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5"/>
          <w:szCs w:val="15"/>
          <w:color w:val="auto"/>
        </w:rPr>
        <w:t>Mancera, S. C.</w:t>
      </w:r>
    </w:p>
    <w:p>
      <w:pPr>
        <w:jc w:val="center"/>
        <w:ind w:right="-100"/>
        <w:spacing w:after="0" w:line="237" w:lineRule="auto"/>
        <w:rPr>
          <w:sz w:val="20"/>
          <w:szCs w:val="20"/>
          <w:color w:val="auto"/>
        </w:rPr>
      </w:pPr>
      <w:r>
        <w:rPr>
          <w:rFonts w:ascii="Courier New" w:cs="Courier New" w:eastAsia="Courier New" w:hAnsi="Courier New"/>
          <w:sz w:val="15"/>
          <w:szCs w:val="15"/>
          <w:color w:val="auto"/>
        </w:rPr>
        <w:t>A Member Practice of</w:t>
      </w:r>
    </w:p>
    <w:p>
      <w:pPr>
        <w:jc w:val="center"/>
        <w:ind w:right="-100"/>
        <w:spacing w:after="0" w:line="238" w:lineRule="auto"/>
        <w:rPr>
          <w:sz w:val="20"/>
          <w:szCs w:val="20"/>
          <w:color w:val="auto"/>
        </w:rPr>
      </w:pPr>
      <w:r>
        <w:rPr>
          <w:rFonts w:ascii="Courier New" w:cs="Courier New" w:eastAsia="Courier New" w:hAnsi="Courier New"/>
          <w:sz w:val="15"/>
          <w:szCs w:val="15"/>
          <w:color w:val="auto"/>
        </w:rPr>
        <w:t>Ernst &amp; Young Global</w:t>
      </w:r>
    </w:p>
    <w:p>
      <w:pPr>
        <w:spacing w:after="0" w:line="200" w:lineRule="exact"/>
        <w:rPr>
          <w:sz w:val="20"/>
          <w:szCs w:val="20"/>
          <w:color w:val="auto"/>
        </w:rPr>
      </w:pPr>
    </w:p>
    <w:p>
      <w:pPr>
        <w:spacing w:after="0" w:line="303"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5"/>
          <w:szCs w:val="15"/>
          <w:color w:val="auto"/>
        </w:rPr>
        <w:t>C.P.C. Roberto Rodriguez Castaneda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 Pedro Garza Garcia, N.L.</w:t>
      </w:r>
    </w:p>
    <w:p>
      <w:pPr>
        <w:spacing w:after="0" w:line="237" w:lineRule="auto"/>
        <w:rPr>
          <w:sz w:val="20"/>
          <w:szCs w:val="20"/>
          <w:color w:val="auto"/>
        </w:rPr>
      </w:pPr>
      <w:r>
        <w:rPr>
          <w:rFonts w:ascii="Courier New" w:cs="Courier New" w:eastAsia="Courier New" w:hAnsi="Courier New"/>
          <w:sz w:val="15"/>
          <w:szCs w:val="15"/>
          <w:color w:val="auto"/>
        </w:rPr>
        <w:t>January 29, 2003</w:t>
      </w:r>
    </w:p>
    <w:p>
      <w:pPr>
        <w:sectPr>
          <w:pgSz w:w="11900" w:h="16838" w:orient="portrait"/>
          <w:cols w:equalWidth="0" w:num="1">
            <w:col w:w="10239"/>
          </w:cols>
          <w:pgMar w:left="220" w:top="785" w:right="1440" w:bottom="1440" w:gutter="0" w:footer="0" w:header="0"/>
        </w:sectPr>
      </w:pPr>
    </w:p>
    <w:bookmarkStart w:id="212" w:name="page213"/>
    <w:bookmarkEnd w:id="212"/>
    <w:p>
      <w:pPr>
        <w:ind w:left="3160"/>
        <w:spacing w:after="0"/>
        <w:rPr>
          <w:sz w:val="20"/>
          <w:szCs w:val="20"/>
          <w:color w:val="auto"/>
        </w:rPr>
      </w:pPr>
      <w:r>
        <w:rPr>
          <w:rFonts w:ascii="Courier New" w:cs="Courier New" w:eastAsia="Courier New" w:hAnsi="Courier New"/>
          <w:sz w:val="15"/>
          <w:szCs w:val="15"/>
          <w:color w:val="auto"/>
        </w:rPr>
        <w:t>SIGNATURE</w:t>
      </w:r>
    </w:p>
    <w:p>
      <w:pPr>
        <w:spacing w:after="0" w:line="173"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Pursuant to the requirements of Section 12 of the Securities Exchange Act of 1934, the registrant certifies that it meets all the requirements for filing on Form 20-F and has duly caused this Annual Report to be signed on its behalf by the undersigned, thereunto duly authorized.</w:t>
      </w:r>
    </w:p>
    <w:p>
      <w:pPr>
        <w:spacing w:after="0" w:line="169"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Dated:</w:t>
        <w:tab/>
        <w:t>June 27, 2003</w:t>
      </w:r>
    </w:p>
    <w:p>
      <w:pPr>
        <w:spacing w:after="0" w:line="33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FOMENTO ECONOMICO MEXICANO, S.A. de C.V.</w:t>
      </w:r>
    </w:p>
    <w:p>
      <w:pPr>
        <w:spacing w:after="0" w:line="16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By: /s/__Federico Reyes_________</w:t>
      </w:r>
    </w:p>
    <w:p>
      <w:pPr>
        <w:ind w:left="3780"/>
        <w:spacing w:after="0" w:line="237" w:lineRule="auto"/>
        <w:rPr>
          <w:sz w:val="20"/>
          <w:szCs w:val="20"/>
          <w:color w:val="auto"/>
        </w:rPr>
      </w:pPr>
      <w:r>
        <w:rPr>
          <w:rFonts w:ascii="Courier New" w:cs="Courier New" w:eastAsia="Courier New" w:hAnsi="Courier New"/>
          <w:sz w:val="15"/>
          <w:szCs w:val="15"/>
          <w:color w:val="auto"/>
        </w:rPr>
        <w:t>Federico Reyes</w:t>
      </w:r>
    </w:p>
    <w:p>
      <w:pPr>
        <w:ind w:left="3780"/>
        <w:spacing w:after="0" w:line="238" w:lineRule="auto"/>
        <w:rPr>
          <w:sz w:val="20"/>
          <w:szCs w:val="20"/>
          <w:color w:val="auto"/>
        </w:rPr>
      </w:pPr>
      <w:r>
        <w:rPr>
          <w:rFonts w:ascii="Courier New" w:cs="Courier New" w:eastAsia="Courier New" w:hAnsi="Courier New"/>
          <w:sz w:val="15"/>
          <w:szCs w:val="15"/>
          <w:color w:val="auto"/>
        </w:rPr>
        <w:t>Executive Vice President of</w:t>
      </w:r>
    </w:p>
    <w:p>
      <w:pPr>
        <w:ind w:left="3780"/>
        <w:spacing w:after="0" w:line="237" w:lineRule="auto"/>
        <w:rPr>
          <w:sz w:val="20"/>
          <w:szCs w:val="20"/>
          <w:color w:val="auto"/>
        </w:rPr>
      </w:pPr>
      <w:r>
        <w:rPr>
          <w:rFonts w:ascii="Courier New" w:cs="Courier New" w:eastAsia="Courier New" w:hAnsi="Courier New"/>
          <w:sz w:val="15"/>
          <w:szCs w:val="15"/>
          <w:color w:val="auto"/>
        </w:rPr>
        <w:t>Planning and Finance</w:t>
      </w:r>
    </w:p>
    <w:p>
      <w:pPr>
        <w:sectPr>
          <w:pgSz w:w="11900" w:h="16838" w:orient="portrait"/>
          <w:cols w:equalWidth="0" w:num="1">
            <w:col w:w="10239"/>
          </w:cols>
          <w:pgMar w:left="220" w:top="617" w:right="1440" w:bottom="1440" w:gutter="0" w:footer="0" w:header="0"/>
        </w:sectPr>
      </w:pPr>
    </w:p>
    <w:bookmarkStart w:id="213" w:name="page214"/>
    <w:bookmarkEnd w:id="213"/>
    <w:p>
      <w:pPr>
        <w:ind w:left="2900"/>
        <w:spacing w:after="0"/>
        <w:rPr>
          <w:sz w:val="20"/>
          <w:szCs w:val="20"/>
          <w:color w:val="auto"/>
        </w:rPr>
      </w:pPr>
      <w:r>
        <w:rPr>
          <w:rFonts w:ascii="Courier New" w:cs="Courier New" w:eastAsia="Courier New" w:hAnsi="Courier New"/>
          <w:sz w:val="15"/>
          <w:szCs w:val="15"/>
          <w:color w:val="auto"/>
        </w:rPr>
        <w:t>CERTIFICATIONS</w:t>
      </w:r>
    </w:p>
    <w:p>
      <w:pPr>
        <w:spacing w:after="0" w:line="335"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5"/>
          <w:szCs w:val="15"/>
          <w:color w:val="auto"/>
        </w:rPr>
        <w:t>I,</w:t>
        <w:tab/>
        <w:t>JOSE ANTONIO FERNANDEZ certify that:</w:t>
      </w:r>
    </w:p>
    <w:p>
      <w:pPr>
        <w:spacing w:after="0" w:line="173" w:lineRule="exact"/>
        <w:rPr>
          <w:sz w:val="20"/>
          <w:szCs w:val="20"/>
          <w:color w:val="auto"/>
        </w:rPr>
      </w:pPr>
    </w:p>
    <w:p>
      <w:pPr>
        <w:ind w:left="440" w:right="3839" w:hanging="430"/>
        <w:spacing w:after="0" w:line="234" w:lineRule="auto"/>
        <w:tabs>
          <w:tab w:leader="none" w:pos="440"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reviewed this Annual Report on Form 20-F of Fomento Economico Mexicano, S.A., de C.V.;</w:t>
      </w:r>
    </w:p>
    <w:p>
      <w:pPr>
        <w:spacing w:after="0" w:line="173" w:lineRule="exact"/>
        <w:rPr>
          <w:rFonts w:ascii="Courier New" w:cs="Courier New" w:eastAsia="Courier New" w:hAnsi="Courier New"/>
          <w:sz w:val="15"/>
          <w:szCs w:val="15"/>
          <w:color w:val="auto"/>
        </w:rPr>
      </w:pPr>
    </w:p>
    <w:p>
      <w:pPr>
        <w:ind w:left="440" w:right="3319" w:hanging="430"/>
        <w:spacing w:after="0" w:line="236" w:lineRule="auto"/>
        <w:tabs>
          <w:tab w:leader="none" w:pos="440"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73" w:lineRule="exact"/>
        <w:rPr>
          <w:rFonts w:ascii="Courier New" w:cs="Courier New" w:eastAsia="Courier New" w:hAnsi="Courier New"/>
          <w:sz w:val="15"/>
          <w:szCs w:val="15"/>
          <w:color w:val="auto"/>
        </w:rPr>
      </w:pPr>
    </w:p>
    <w:p>
      <w:pPr>
        <w:ind w:left="440" w:right="3239" w:hanging="430"/>
        <w:spacing w:after="0" w:line="256" w:lineRule="auto"/>
        <w:tabs>
          <w:tab w:leader="none" w:pos="440"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64" w:lineRule="exact"/>
        <w:rPr>
          <w:rFonts w:ascii="Courier New" w:cs="Courier New" w:eastAsia="Courier New" w:hAnsi="Courier New"/>
          <w:sz w:val="14"/>
          <w:szCs w:val="14"/>
          <w:color w:val="auto"/>
        </w:rPr>
      </w:pPr>
    </w:p>
    <w:p>
      <w:pPr>
        <w:ind w:left="440" w:right="3239" w:hanging="430"/>
        <w:spacing w:after="0" w:line="258" w:lineRule="auto"/>
        <w:tabs>
          <w:tab w:leader="none" w:pos="440"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officers and I are responsible for establishing and maintaining disclosure controls and procedures (as defined in Exchange Act Rules 13a-15 and 15d-15) for the registrant and have:</w:t>
      </w:r>
    </w:p>
    <w:p>
      <w:pPr>
        <w:spacing w:after="0" w:line="161" w:lineRule="exact"/>
        <w:rPr>
          <w:rFonts w:ascii="Courier New" w:cs="Courier New" w:eastAsia="Courier New" w:hAnsi="Courier New"/>
          <w:sz w:val="14"/>
          <w:szCs w:val="14"/>
          <w:color w:val="auto"/>
        </w:rPr>
      </w:pPr>
    </w:p>
    <w:p>
      <w:pPr>
        <w:ind w:left="440" w:right="3239" w:firstLine="7"/>
        <w:spacing w:after="0" w:line="236" w:lineRule="auto"/>
        <w:tabs>
          <w:tab w:leader="none" w:pos="790" w:val="left"/>
        </w:tabs>
        <w:numPr>
          <w:ilvl w:val="1"/>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spacing w:after="0" w:line="173" w:lineRule="exact"/>
        <w:rPr>
          <w:rFonts w:ascii="Courier New" w:cs="Courier New" w:eastAsia="Courier New" w:hAnsi="Courier New"/>
          <w:sz w:val="15"/>
          <w:szCs w:val="15"/>
          <w:color w:val="auto"/>
        </w:rPr>
      </w:pPr>
    </w:p>
    <w:p>
      <w:pPr>
        <w:ind w:left="440" w:right="3239" w:firstLine="7"/>
        <w:spacing w:after="0" w:line="235" w:lineRule="auto"/>
        <w:tabs>
          <w:tab w:leader="none" w:pos="790" w:val="left"/>
        </w:tabs>
        <w:numPr>
          <w:ilvl w:val="1"/>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Evaluated the effectiveness of the registrant's disclosure controls and procedures as of a date within 90 days prior to the filing date of this Annual Report (the "Evaluation Date"); and</w:t>
      </w:r>
    </w:p>
    <w:p>
      <w:pPr>
        <w:spacing w:after="0" w:line="173" w:lineRule="exact"/>
        <w:rPr>
          <w:rFonts w:ascii="Courier New" w:cs="Courier New" w:eastAsia="Courier New" w:hAnsi="Courier New"/>
          <w:sz w:val="15"/>
          <w:szCs w:val="15"/>
          <w:color w:val="auto"/>
        </w:rPr>
      </w:pPr>
    </w:p>
    <w:p>
      <w:pPr>
        <w:jc w:val="both"/>
        <w:ind w:left="440" w:right="3239" w:firstLine="7"/>
        <w:spacing w:after="0" w:line="235" w:lineRule="auto"/>
        <w:tabs>
          <w:tab w:leader="none" w:pos="790" w:val="left"/>
        </w:tabs>
        <w:numPr>
          <w:ilvl w:val="1"/>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Presented in this Annual Report our conclusions about the effectiveness of the disclosure controls and procedures based on our evaluation as of the Evaluation Date;</w:t>
      </w:r>
    </w:p>
    <w:p>
      <w:pPr>
        <w:spacing w:after="0" w:line="173" w:lineRule="exact"/>
        <w:rPr>
          <w:rFonts w:ascii="Courier New" w:cs="Courier New" w:eastAsia="Courier New" w:hAnsi="Courier New"/>
          <w:sz w:val="15"/>
          <w:szCs w:val="15"/>
          <w:color w:val="auto"/>
        </w:rPr>
      </w:pPr>
    </w:p>
    <w:p>
      <w:pPr>
        <w:ind w:left="440" w:right="3399" w:hanging="430"/>
        <w:spacing w:after="0" w:line="235" w:lineRule="auto"/>
        <w:tabs>
          <w:tab w:leader="none" w:pos="440"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have disclosed, based on our most recent evaluation, to the registrant's auditors and the audit committee of registrant's board of directors (or persons performing the equivalent functions):</w:t>
      </w:r>
    </w:p>
    <w:p>
      <w:pPr>
        <w:spacing w:after="0" w:line="175" w:lineRule="exact"/>
        <w:rPr>
          <w:rFonts w:ascii="Courier New" w:cs="Courier New" w:eastAsia="Courier New" w:hAnsi="Courier New"/>
          <w:sz w:val="15"/>
          <w:szCs w:val="15"/>
          <w:color w:val="auto"/>
        </w:rPr>
      </w:pPr>
    </w:p>
    <w:p>
      <w:pPr>
        <w:ind w:left="440" w:right="3399" w:firstLine="7"/>
        <w:spacing w:after="0" w:line="256" w:lineRule="auto"/>
        <w:tabs>
          <w:tab w:leader="none" w:pos="790" w:val="left"/>
        </w:tabs>
        <w:numPr>
          <w:ilvl w:val="1"/>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64" w:lineRule="exact"/>
        <w:rPr>
          <w:rFonts w:ascii="Courier New" w:cs="Courier New" w:eastAsia="Courier New" w:hAnsi="Courier New"/>
          <w:sz w:val="14"/>
          <w:szCs w:val="14"/>
          <w:color w:val="auto"/>
        </w:rPr>
      </w:pPr>
    </w:p>
    <w:p>
      <w:pPr>
        <w:ind w:left="440" w:right="3399" w:firstLine="7"/>
        <w:spacing w:after="0" w:line="235" w:lineRule="auto"/>
        <w:tabs>
          <w:tab w:leader="none" w:pos="790" w:val="left"/>
        </w:tabs>
        <w:numPr>
          <w:ilvl w:val="1"/>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fraud, whether or not material, that involves management or other employees who have a significant role in the registrant's internal controls; and</w:t>
      </w:r>
    </w:p>
    <w:p>
      <w:pPr>
        <w:spacing w:after="0" w:line="173" w:lineRule="exact"/>
        <w:rPr>
          <w:rFonts w:ascii="Courier New" w:cs="Courier New" w:eastAsia="Courier New" w:hAnsi="Courier New"/>
          <w:sz w:val="15"/>
          <w:szCs w:val="15"/>
          <w:color w:val="auto"/>
        </w:rPr>
      </w:pPr>
    </w:p>
    <w:p>
      <w:pPr>
        <w:ind w:left="440" w:right="3399" w:hanging="430"/>
        <w:spacing w:after="0" w:line="236" w:lineRule="auto"/>
        <w:tabs>
          <w:tab w:leader="none" w:pos="440"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have indicated in this Annual Report whether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ectPr>
          <w:pgSz w:w="11900" w:h="16838" w:orient="portrait"/>
          <w:cols w:equalWidth="0" w:num="1">
            <w:col w:w="10239"/>
          </w:cols>
          <w:pgMar w:left="220" w:top="7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June 27, 2003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/s/__Jose Antonio Fernandez__</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Jose Antonio Fernandez</w:t>
      </w:r>
    </w:p>
    <w:p>
      <w:pPr>
        <w:ind w:left="440"/>
        <w:spacing w:after="0" w:line="237" w:lineRule="auto"/>
        <w:rPr>
          <w:sz w:val="20"/>
          <w:szCs w:val="20"/>
          <w:color w:val="auto"/>
        </w:rPr>
      </w:pPr>
      <w:r>
        <w:rPr>
          <w:rFonts w:ascii="Courier New" w:cs="Courier New" w:eastAsia="Courier New" w:hAnsi="Courier New"/>
          <w:sz w:val="15"/>
          <w:szCs w:val="15"/>
          <w:color w:val="auto"/>
        </w:rPr>
        <w:t>Chief Executive Officer</w:t>
      </w:r>
    </w:p>
    <w:p>
      <w:pPr>
        <w:sectPr>
          <w:pgSz w:w="11900" w:h="16838" w:orient="portrait"/>
          <w:cols w:equalWidth="0" w:num="2">
            <w:col w:w="2620" w:space="720"/>
            <w:col w:w="6899"/>
          </w:cols>
          <w:pgMar w:left="220" w:top="785" w:right="1440" w:bottom="1440" w:gutter="0" w:footer="0" w:header="0"/>
          <w:type w:val="continuous"/>
        </w:sectPr>
      </w:pPr>
    </w:p>
    <w:bookmarkStart w:id="214" w:name="page215"/>
    <w:bookmarkEnd w:id="214"/>
    <w:p>
      <w:pPr>
        <w:ind w:left="2900"/>
        <w:spacing w:after="0"/>
        <w:rPr>
          <w:sz w:val="20"/>
          <w:szCs w:val="20"/>
          <w:color w:val="auto"/>
        </w:rPr>
      </w:pPr>
      <w:r>
        <w:rPr>
          <w:rFonts w:ascii="Courier New" w:cs="Courier New" w:eastAsia="Courier New" w:hAnsi="Courier New"/>
          <w:sz w:val="15"/>
          <w:szCs w:val="15"/>
          <w:color w:val="auto"/>
        </w:rPr>
        <w:t>CERTIFICATIONS</w:t>
      </w:r>
    </w:p>
    <w:p>
      <w:pPr>
        <w:spacing w:after="0" w:line="166"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5"/>
          <w:szCs w:val="15"/>
          <w:color w:val="auto"/>
        </w:rPr>
        <w:t>I,</w:t>
        <w:tab/>
        <w:t>FEDERICO REYES GARCIA, certify that:</w:t>
      </w:r>
    </w:p>
    <w:p>
      <w:pPr>
        <w:spacing w:after="0" w:line="173" w:lineRule="exact"/>
        <w:rPr>
          <w:sz w:val="20"/>
          <w:szCs w:val="20"/>
          <w:color w:val="auto"/>
        </w:rPr>
      </w:pPr>
    </w:p>
    <w:p>
      <w:pPr>
        <w:ind w:left="440" w:right="3839" w:hanging="430"/>
        <w:spacing w:after="0" w:line="234" w:lineRule="auto"/>
        <w:tabs>
          <w:tab w:leader="none" w:pos="440"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reviewed this Annual Report on Form 20-F of Fomento Economico Mexicano, S.A. de C.V.;</w:t>
      </w:r>
    </w:p>
    <w:p>
      <w:pPr>
        <w:spacing w:after="0" w:line="173" w:lineRule="exact"/>
        <w:rPr>
          <w:rFonts w:ascii="Courier New" w:cs="Courier New" w:eastAsia="Courier New" w:hAnsi="Courier New"/>
          <w:sz w:val="15"/>
          <w:szCs w:val="15"/>
          <w:color w:val="auto"/>
        </w:rPr>
      </w:pPr>
    </w:p>
    <w:p>
      <w:pPr>
        <w:ind w:left="440" w:right="3319" w:hanging="430"/>
        <w:spacing w:after="0" w:line="236" w:lineRule="auto"/>
        <w:tabs>
          <w:tab w:leader="none" w:pos="440"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73" w:lineRule="exact"/>
        <w:rPr>
          <w:rFonts w:ascii="Courier New" w:cs="Courier New" w:eastAsia="Courier New" w:hAnsi="Courier New"/>
          <w:sz w:val="15"/>
          <w:szCs w:val="15"/>
          <w:color w:val="auto"/>
        </w:rPr>
      </w:pPr>
    </w:p>
    <w:p>
      <w:pPr>
        <w:ind w:left="440" w:right="3239" w:hanging="430"/>
        <w:spacing w:after="0" w:line="256" w:lineRule="auto"/>
        <w:tabs>
          <w:tab w:leader="none" w:pos="440"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64" w:lineRule="exact"/>
        <w:rPr>
          <w:rFonts w:ascii="Courier New" w:cs="Courier New" w:eastAsia="Courier New" w:hAnsi="Courier New"/>
          <w:sz w:val="14"/>
          <w:szCs w:val="14"/>
          <w:color w:val="auto"/>
        </w:rPr>
      </w:pPr>
    </w:p>
    <w:p>
      <w:pPr>
        <w:ind w:left="440" w:right="3239" w:hanging="430"/>
        <w:spacing w:after="0" w:line="258" w:lineRule="auto"/>
        <w:tabs>
          <w:tab w:leader="none" w:pos="440"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officers and I are responsible for establishing and maintaining disclosure controls and procedures (as defined in Exchange Act Rules 13a-15 and 15d-15) for the registrant and have:</w:t>
      </w:r>
    </w:p>
    <w:p>
      <w:pPr>
        <w:spacing w:after="0" w:line="161" w:lineRule="exact"/>
        <w:rPr>
          <w:rFonts w:ascii="Courier New" w:cs="Courier New" w:eastAsia="Courier New" w:hAnsi="Courier New"/>
          <w:sz w:val="14"/>
          <w:szCs w:val="14"/>
          <w:color w:val="auto"/>
        </w:rPr>
      </w:pPr>
    </w:p>
    <w:p>
      <w:pPr>
        <w:ind w:left="440" w:right="3239" w:firstLine="7"/>
        <w:spacing w:after="0" w:line="236" w:lineRule="auto"/>
        <w:tabs>
          <w:tab w:leader="none" w:pos="790" w:val="left"/>
        </w:tabs>
        <w:numPr>
          <w:ilvl w:val="1"/>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spacing w:after="0" w:line="173" w:lineRule="exact"/>
        <w:rPr>
          <w:rFonts w:ascii="Courier New" w:cs="Courier New" w:eastAsia="Courier New" w:hAnsi="Courier New"/>
          <w:sz w:val="15"/>
          <w:szCs w:val="15"/>
          <w:color w:val="auto"/>
        </w:rPr>
      </w:pPr>
    </w:p>
    <w:p>
      <w:pPr>
        <w:ind w:left="440" w:right="3239" w:firstLine="7"/>
        <w:spacing w:after="0" w:line="235" w:lineRule="auto"/>
        <w:tabs>
          <w:tab w:leader="none" w:pos="790" w:val="left"/>
        </w:tabs>
        <w:numPr>
          <w:ilvl w:val="1"/>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Evaluated the effectiveness of the registrant's disclosure controls and procedures as of a date within 90 days prior to the filing date of this Annual Report (the "Evaluation Date"); and</w:t>
      </w:r>
    </w:p>
    <w:p>
      <w:pPr>
        <w:spacing w:after="0" w:line="173" w:lineRule="exact"/>
        <w:rPr>
          <w:rFonts w:ascii="Courier New" w:cs="Courier New" w:eastAsia="Courier New" w:hAnsi="Courier New"/>
          <w:sz w:val="15"/>
          <w:szCs w:val="15"/>
          <w:color w:val="auto"/>
        </w:rPr>
      </w:pPr>
    </w:p>
    <w:p>
      <w:pPr>
        <w:jc w:val="both"/>
        <w:ind w:left="440" w:right="3239" w:firstLine="7"/>
        <w:spacing w:after="0" w:line="235" w:lineRule="auto"/>
        <w:tabs>
          <w:tab w:leader="none" w:pos="790" w:val="left"/>
        </w:tabs>
        <w:numPr>
          <w:ilvl w:val="1"/>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Presented in this Annual Report our conclusions about the effectiveness of the disclosure controls and procedures based on our evaluation as of the Evaluation Date;</w:t>
      </w:r>
    </w:p>
    <w:p>
      <w:pPr>
        <w:spacing w:after="0" w:line="173" w:lineRule="exact"/>
        <w:rPr>
          <w:rFonts w:ascii="Courier New" w:cs="Courier New" w:eastAsia="Courier New" w:hAnsi="Courier New"/>
          <w:sz w:val="15"/>
          <w:szCs w:val="15"/>
          <w:color w:val="auto"/>
        </w:rPr>
      </w:pPr>
    </w:p>
    <w:p>
      <w:pPr>
        <w:ind w:left="440" w:right="3399" w:hanging="430"/>
        <w:spacing w:after="0" w:line="235" w:lineRule="auto"/>
        <w:tabs>
          <w:tab w:leader="none" w:pos="440"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have disclosed, based on our most recent evaluation, to the registrant's auditors and the audit committee of registrant's board of directors (or persons performing the equivalent functions):</w:t>
      </w:r>
    </w:p>
    <w:p>
      <w:pPr>
        <w:spacing w:after="0" w:line="175" w:lineRule="exact"/>
        <w:rPr>
          <w:rFonts w:ascii="Courier New" w:cs="Courier New" w:eastAsia="Courier New" w:hAnsi="Courier New"/>
          <w:sz w:val="15"/>
          <w:szCs w:val="15"/>
          <w:color w:val="auto"/>
        </w:rPr>
      </w:pPr>
    </w:p>
    <w:p>
      <w:pPr>
        <w:ind w:left="440" w:right="3399" w:firstLine="7"/>
        <w:spacing w:after="0" w:line="256" w:lineRule="auto"/>
        <w:tabs>
          <w:tab w:leader="none" w:pos="790" w:val="left"/>
        </w:tabs>
        <w:numPr>
          <w:ilvl w:val="1"/>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64" w:lineRule="exact"/>
        <w:rPr>
          <w:rFonts w:ascii="Courier New" w:cs="Courier New" w:eastAsia="Courier New" w:hAnsi="Courier New"/>
          <w:sz w:val="14"/>
          <w:szCs w:val="14"/>
          <w:color w:val="auto"/>
        </w:rPr>
      </w:pPr>
    </w:p>
    <w:p>
      <w:pPr>
        <w:ind w:left="440" w:right="3399" w:firstLine="7"/>
        <w:spacing w:after="0" w:line="235" w:lineRule="auto"/>
        <w:tabs>
          <w:tab w:leader="none" w:pos="790" w:val="left"/>
        </w:tabs>
        <w:numPr>
          <w:ilvl w:val="1"/>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fraud, whether or not material, that involves management or other employees who have a significant role in the registrant's internal controls; and</w:t>
      </w:r>
    </w:p>
    <w:p>
      <w:pPr>
        <w:spacing w:after="0" w:line="173" w:lineRule="exact"/>
        <w:rPr>
          <w:rFonts w:ascii="Courier New" w:cs="Courier New" w:eastAsia="Courier New" w:hAnsi="Courier New"/>
          <w:sz w:val="15"/>
          <w:szCs w:val="15"/>
          <w:color w:val="auto"/>
        </w:rPr>
      </w:pPr>
    </w:p>
    <w:p>
      <w:pPr>
        <w:ind w:left="440" w:right="3399" w:hanging="430"/>
        <w:spacing w:after="0" w:line="236" w:lineRule="auto"/>
        <w:tabs>
          <w:tab w:leader="none" w:pos="440"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have indicated in this Annual Report whether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ectPr>
          <w:pgSz w:w="11900" w:h="16838" w:orient="portrait"/>
          <w:cols w:equalWidth="0" w:num="1">
            <w:col w:w="10239"/>
          </w:cols>
          <w:pgMar w:left="220" w:top="6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June 27, 2003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/s/__Federico Reyes Garcia____</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Federico Reyes Garcia</w:t>
      </w:r>
    </w:p>
    <w:p>
      <w:pPr>
        <w:ind w:left="440"/>
        <w:spacing w:after="0" w:line="237" w:lineRule="auto"/>
        <w:rPr>
          <w:sz w:val="20"/>
          <w:szCs w:val="20"/>
          <w:color w:val="auto"/>
        </w:rPr>
      </w:pPr>
      <w:r>
        <w:rPr>
          <w:rFonts w:ascii="Courier New" w:cs="Courier New" w:eastAsia="Courier New" w:hAnsi="Courier New"/>
          <w:sz w:val="15"/>
          <w:szCs w:val="15"/>
          <w:color w:val="auto"/>
        </w:rPr>
        <w:t>Chief Financial Officer</w:t>
      </w:r>
    </w:p>
    <w:p>
      <w:pPr>
        <w:sectPr>
          <w:pgSz w:w="11900" w:h="16838" w:orient="portrait"/>
          <w:cols w:equalWidth="0" w:num="2">
            <w:col w:w="2620" w:space="720"/>
            <w:col w:w="6899"/>
          </w:cols>
          <w:pgMar w:left="220" w:top="617" w:right="1440" w:bottom="1440" w:gutter="0" w:footer="0" w:header="0"/>
          <w:type w:val="continuous"/>
        </w:sectPr>
      </w:pPr>
    </w:p>
    <w:bookmarkStart w:id="215" w:name="page216"/>
    <w:bookmarkEnd w:id="215"/>
    <w:p>
      <w:pPr>
        <w:jc w:val="right"/>
        <w:ind w:right="3239"/>
        <w:spacing w:after="0"/>
        <w:rPr>
          <w:sz w:val="20"/>
          <w:szCs w:val="20"/>
          <w:color w:val="auto"/>
        </w:rPr>
      </w:pPr>
      <w:r>
        <w:rPr>
          <w:rFonts w:ascii="Courier New" w:cs="Courier New" w:eastAsia="Courier New" w:hAnsi="Courier New"/>
          <w:sz w:val="15"/>
          <w:szCs w:val="15"/>
          <w:color w:val="auto"/>
        </w:rPr>
        <w:t>Exhibit 2.4</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EXECUTION COPY</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U.S. $60,000,000</w:t>
      </w:r>
    </w:p>
    <w:p>
      <w:pPr>
        <w:ind w:left="2800"/>
        <w:spacing w:after="0" w:line="237" w:lineRule="auto"/>
        <w:rPr>
          <w:sz w:val="20"/>
          <w:szCs w:val="20"/>
          <w:color w:val="auto"/>
        </w:rPr>
      </w:pPr>
      <w:r>
        <w:rPr>
          <w:rFonts w:ascii="Courier New" w:cs="Courier New" w:eastAsia="Courier New" w:hAnsi="Courier New"/>
          <w:sz w:val="15"/>
          <w:szCs w:val="15"/>
          <w:color w:val="auto"/>
        </w:rPr>
        <w:t>CREDIT AGREEMENT</w:t>
      </w:r>
    </w:p>
    <w:p>
      <w:pPr>
        <w:spacing w:after="0" w:line="335"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Dated as of December 18, 2002</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among</w:t>
      </w:r>
    </w:p>
    <w:p>
      <w:pPr>
        <w:spacing w:after="0" w:line="335"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FEMSA EMPAQUES, S.A. DE C.V.,</w:t>
      </w:r>
    </w:p>
    <w:p>
      <w:pPr>
        <w:ind w:left="2980"/>
        <w:spacing w:after="0" w:line="237" w:lineRule="auto"/>
        <w:rPr>
          <w:sz w:val="20"/>
          <w:szCs w:val="20"/>
          <w:color w:val="auto"/>
        </w:rPr>
      </w:pPr>
      <w:r>
        <w:rPr>
          <w:rFonts w:ascii="Courier New" w:cs="Courier New" w:eastAsia="Courier New" w:hAnsi="Courier New"/>
          <w:sz w:val="15"/>
          <w:szCs w:val="15"/>
          <w:color w:val="auto"/>
        </w:rPr>
        <w:t>as Borrower,</w:t>
      </w:r>
    </w:p>
    <w:p>
      <w:pPr>
        <w:spacing w:after="0" w:line="335"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FABRICAS MONTERREY, S.A. DE C.V. and SILICES DE</w:t>
      </w:r>
    </w:p>
    <w:p>
      <w:pPr>
        <w:ind w:left="2540"/>
        <w:spacing w:after="0" w:line="237" w:lineRule="auto"/>
        <w:rPr>
          <w:sz w:val="20"/>
          <w:szCs w:val="20"/>
          <w:color w:val="auto"/>
        </w:rPr>
      </w:pPr>
      <w:r>
        <w:rPr>
          <w:rFonts w:ascii="Courier New" w:cs="Courier New" w:eastAsia="Courier New" w:hAnsi="Courier New"/>
          <w:sz w:val="15"/>
          <w:szCs w:val="15"/>
          <w:color w:val="auto"/>
        </w:rPr>
        <w:t>VERACRUZ, S.A. DE C.V.,</w:t>
      </w:r>
    </w:p>
    <w:p>
      <w:pPr>
        <w:ind w:left="2900"/>
        <w:spacing w:after="0" w:line="238" w:lineRule="auto"/>
        <w:rPr>
          <w:sz w:val="20"/>
          <w:szCs w:val="20"/>
          <w:color w:val="auto"/>
        </w:rPr>
      </w:pPr>
      <w:r>
        <w:rPr>
          <w:rFonts w:ascii="Courier New" w:cs="Courier New" w:eastAsia="Courier New" w:hAnsi="Courier New"/>
          <w:sz w:val="15"/>
          <w:szCs w:val="15"/>
          <w:color w:val="auto"/>
        </w:rPr>
        <w:t>as Guarantors,</w:t>
      </w:r>
    </w:p>
    <w:p>
      <w:pPr>
        <w:spacing w:after="0" w:line="33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THE FINANCIAL INSTITUTIONS PARTY HERETO,</w:t>
      </w:r>
    </w:p>
    <w:p>
      <w:pPr>
        <w:jc w:val="center"/>
        <w:ind w:right="3139"/>
        <w:spacing w:after="0" w:line="237" w:lineRule="auto"/>
        <w:rPr>
          <w:sz w:val="20"/>
          <w:szCs w:val="20"/>
          <w:color w:val="auto"/>
        </w:rPr>
      </w:pPr>
      <w:r>
        <w:rPr>
          <w:rFonts w:ascii="Courier New" w:cs="Courier New" w:eastAsia="Courier New" w:hAnsi="Courier New"/>
          <w:sz w:val="15"/>
          <w:szCs w:val="15"/>
          <w:color w:val="auto"/>
        </w:rPr>
        <w:t>as Lenders,</w:t>
      </w:r>
    </w:p>
    <w:p>
      <w:pPr>
        <w:spacing w:after="0" w:line="33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BBVA SECURITIES INC.,</w:t>
      </w:r>
    </w:p>
    <w:p>
      <w:pPr>
        <w:jc w:val="center"/>
        <w:ind w:right="3139"/>
        <w:spacing w:after="0" w:line="237" w:lineRule="auto"/>
        <w:rPr>
          <w:sz w:val="20"/>
          <w:szCs w:val="20"/>
          <w:color w:val="auto"/>
        </w:rPr>
      </w:pPr>
      <w:r>
        <w:rPr>
          <w:rFonts w:ascii="Courier New" w:cs="Courier New" w:eastAsia="Courier New" w:hAnsi="Courier New"/>
          <w:sz w:val="15"/>
          <w:szCs w:val="15"/>
          <w:color w:val="auto"/>
        </w:rPr>
        <w:t>as Lead Arranger,</w:t>
      </w:r>
    </w:p>
    <w:p>
      <w:pPr>
        <w:spacing w:after="0" w:line="335"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BBVA BANCOMER, S.A., INSTITUCION DE BANCA MULTIPLE,</w:t>
      </w:r>
    </w:p>
    <w:p>
      <w:pPr>
        <w:ind w:left="2200"/>
        <w:spacing w:after="0" w:line="237" w:lineRule="auto"/>
        <w:rPr>
          <w:sz w:val="20"/>
          <w:szCs w:val="20"/>
          <w:color w:val="auto"/>
        </w:rPr>
      </w:pPr>
      <w:r>
        <w:rPr>
          <w:rFonts w:ascii="Courier New" w:cs="Courier New" w:eastAsia="Courier New" w:hAnsi="Courier New"/>
          <w:sz w:val="15"/>
          <w:szCs w:val="15"/>
          <w:color w:val="auto"/>
        </w:rPr>
        <w:t>GRUPO FINANCIERO BBVA BANCOMER,</w:t>
      </w:r>
    </w:p>
    <w:p>
      <w:pPr>
        <w:ind w:left="2460"/>
        <w:spacing w:after="0" w:line="238" w:lineRule="auto"/>
        <w:rPr>
          <w:sz w:val="20"/>
          <w:szCs w:val="20"/>
          <w:color w:val="auto"/>
        </w:rPr>
      </w:pPr>
      <w:r>
        <w:rPr>
          <w:rFonts w:ascii="Courier New" w:cs="Courier New" w:eastAsia="Courier New" w:hAnsi="Courier New"/>
          <w:sz w:val="15"/>
          <w:szCs w:val="15"/>
          <w:color w:val="auto"/>
        </w:rPr>
        <w:t>as Administrative Agent,</w:t>
      </w:r>
    </w:p>
    <w:p>
      <w:pPr>
        <w:spacing w:after="0" w:line="335"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EXPORT DEVELOPMENT CANADA,</w:t>
      </w:r>
    </w:p>
    <w:p>
      <w:pPr>
        <w:ind w:left="2640"/>
        <w:spacing w:after="0" w:line="237" w:lineRule="auto"/>
        <w:rPr>
          <w:sz w:val="20"/>
          <w:szCs w:val="20"/>
          <w:color w:val="auto"/>
        </w:rPr>
      </w:pPr>
      <w:r>
        <w:rPr>
          <w:rFonts w:ascii="Courier New" w:cs="Courier New" w:eastAsia="Courier New" w:hAnsi="Courier New"/>
          <w:sz w:val="15"/>
          <w:szCs w:val="15"/>
          <w:color w:val="auto"/>
        </w:rPr>
        <w:t>as Syndication Agent,</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and</w:t>
      </w:r>
    </w:p>
    <w:p>
      <w:pPr>
        <w:spacing w:after="0" w:line="33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BANKBOSTON N.A.,</w:t>
      </w:r>
    </w:p>
    <w:p>
      <w:pPr>
        <w:jc w:val="center"/>
        <w:ind w:right="3239"/>
        <w:spacing w:after="0" w:line="237" w:lineRule="auto"/>
        <w:rPr>
          <w:sz w:val="20"/>
          <w:szCs w:val="20"/>
          <w:color w:val="auto"/>
        </w:rPr>
      </w:pPr>
      <w:r>
        <w:rPr>
          <w:rFonts w:ascii="Courier New" w:cs="Courier New" w:eastAsia="Courier New" w:hAnsi="Courier New"/>
          <w:sz w:val="15"/>
          <w:szCs w:val="15"/>
          <w:color w:val="auto"/>
        </w:rPr>
        <w:t>as Documentation Agent</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300"/>
        <w:spacing w:after="0"/>
        <w:rPr>
          <w:sz w:val="20"/>
          <w:szCs w:val="20"/>
          <w:color w:val="auto"/>
        </w:rPr>
      </w:pPr>
      <w:r>
        <w:rPr>
          <w:rFonts w:ascii="Courier New" w:cs="Courier New" w:eastAsia="Courier New" w:hAnsi="Courier New"/>
          <w:sz w:val="15"/>
          <w:szCs w:val="15"/>
          <w:color w:val="auto"/>
        </w:rPr>
        <w:t>TABLE OF CONTENTS</w:t>
      </w:r>
    </w:p>
    <w:p>
      <w:pPr>
        <w:spacing w:after="0" w:line="335" w:lineRule="exact"/>
        <w:rPr>
          <w:sz w:val="20"/>
          <w:szCs w:val="20"/>
          <w:color w:val="auto"/>
        </w:rPr>
      </w:pPr>
    </w:p>
    <w:p>
      <w:pPr>
        <w:jc w:val="right"/>
        <w:ind w:right="179"/>
        <w:spacing w:after="0"/>
        <w:rPr>
          <w:sz w:val="20"/>
          <w:szCs w:val="20"/>
          <w:color w:val="auto"/>
        </w:rPr>
      </w:pPr>
      <w:r>
        <w:rPr>
          <w:rFonts w:ascii="Courier New" w:cs="Courier New" w:eastAsia="Courier New" w:hAnsi="Courier New"/>
          <w:sz w:val="15"/>
          <w:szCs w:val="15"/>
          <w:color w:val="auto"/>
        </w:rPr>
        <w:t>Page</w:t>
      </w:r>
    </w:p>
    <w:p>
      <w:pPr>
        <w:spacing w:after="0" w:line="200" w:lineRule="exact"/>
        <w:rPr>
          <w:sz w:val="20"/>
          <w:szCs w:val="20"/>
          <w:color w:val="auto"/>
        </w:rPr>
      </w:pPr>
    </w:p>
    <w:p>
      <w:pPr>
        <w:spacing w:after="0" w:line="303" w:lineRule="exact"/>
        <w:rPr>
          <w:sz w:val="20"/>
          <w:szCs w:val="20"/>
          <w:color w:val="auto"/>
        </w:rPr>
      </w:pPr>
    </w:p>
    <w:p>
      <w:pPr>
        <w:spacing w:after="0"/>
        <w:tabs>
          <w:tab w:leader="none" w:pos="960" w:val="left"/>
          <w:tab w:leader="dot" w:pos="9880" w:val="left"/>
        </w:tabs>
        <w:rPr>
          <w:sz w:val="20"/>
          <w:szCs w:val="20"/>
          <w:color w:val="auto"/>
        </w:rPr>
      </w:pPr>
      <w:r>
        <w:rPr>
          <w:rFonts w:ascii="Courier New" w:cs="Courier New" w:eastAsia="Courier New" w:hAnsi="Courier New"/>
          <w:sz w:val="15"/>
          <w:szCs w:val="15"/>
          <w:color w:val="auto"/>
        </w:rPr>
        <w:t>ARTICLE I</w:t>
        <w:tab/>
        <w:t>DEFINITIONS AND ACCOUNTING TERMS</w:t>
      </w:r>
      <w:r>
        <w:rPr>
          <w:sz w:val="20"/>
          <w:szCs w:val="20"/>
          <w:color w:val="auto"/>
        </w:rPr>
        <w:tab/>
      </w:r>
      <w:r>
        <w:rPr>
          <w:rFonts w:ascii="Courier New" w:cs="Courier New" w:eastAsia="Courier New" w:hAnsi="Courier New"/>
          <w:sz w:val="12"/>
          <w:szCs w:val="12"/>
          <w:color w:val="auto"/>
        </w:rPr>
        <w:t>5</w:t>
      </w:r>
    </w:p>
    <w:p>
      <w:pPr>
        <w:spacing w:after="0" w:line="166" w:lineRule="exact"/>
        <w:rPr>
          <w:sz w:val="20"/>
          <w:szCs w:val="20"/>
          <w:color w:val="auto"/>
        </w:rPr>
      </w:pPr>
    </w:p>
    <w:p>
      <w:pPr>
        <w:ind w:left="800"/>
        <w:spacing w:after="0"/>
        <w:tabs>
          <w:tab w:leader="none" w:pos="2000" w:val="left"/>
          <w:tab w:leader="dot" w:pos="9880" w:val="left"/>
        </w:tabs>
        <w:rPr>
          <w:sz w:val="20"/>
          <w:szCs w:val="20"/>
          <w:color w:val="auto"/>
        </w:rPr>
      </w:pPr>
      <w:r>
        <w:rPr>
          <w:rFonts w:ascii="Courier New" w:cs="Courier New" w:eastAsia="Courier New" w:hAnsi="Courier New"/>
          <w:sz w:val="15"/>
          <w:szCs w:val="15"/>
          <w:color w:val="auto"/>
        </w:rPr>
        <w:t>SECTION 1.01</w:t>
        <w:tab/>
        <w:t>Certain Defined Terms</w:t>
      </w:r>
      <w:r>
        <w:rPr>
          <w:sz w:val="20"/>
          <w:szCs w:val="20"/>
          <w:color w:val="auto"/>
        </w:rPr>
        <w:tab/>
      </w:r>
      <w:r>
        <w:rPr>
          <w:rFonts w:ascii="Courier New" w:cs="Courier New" w:eastAsia="Courier New" w:hAnsi="Courier New"/>
          <w:sz w:val="12"/>
          <w:szCs w:val="12"/>
          <w:color w:val="auto"/>
        </w:rPr>
        <w:t>5</w:t>
      </w:r>
    </w:p>
    <w:p>
      <w:pPr>
        <w:spacing w:after="0" w:line="166" w:lineRule="exact"/>
        <w:rPr>
          <w:sz w:val="20"/>
          <w:szCs w:val="20"/>
          <w:color w:val="auto"/>
        </w:rPr>
      </w:pPr>
    </w:p>
    <w:p>
      <w:pPr>
        <w:ind w:left="800"/>
        <w:spacing w:after="0"/>
        <w:tabs>
          <w:tab w:leader="none" w:pos="2000" w:val="left"/>
          <w:tab w:leader="dot" w:pos="9780" w:val="left"/>
        </w:tabs>
        <w:rPr>
          <w:sz w:val="20"/>
          <w:szCs w:val="20"/>
          <w:color w:val="auto"/>
        </w:rPr>
      </w:pPr>
      <w:r>
        <w:rPr>
          <w:rFonts w:ascii="Courier New" w:cs="Courier New" w:eastAsia="Courier New" w:hAnsi="Courier New"/>
          <w:sz w:val="15"/>
          <w:szCs w:val="15"/>
          <w:color w:val="auto"/>
        </w:rPr>
        <w:t>SECTION 1.02</w:t>
        <w:tab/>
        <w:t>Accounting Terms</w:t>
      </w:r>
      <w:r>
        <w:rPr>
          <w:sz w:val="20"/>
          <w:szCs w:val="20"/>
          <w:color w:val="auto"/>
        </w:rPr>
        <w:tab/>
      </w:r>
      <w:r>
        <w:rPr>
          <w:rFonts w:ascii="Courier New" w:cs="Courier New" w:eastAsia="Courier New" w:hAnsi="Courier New"/>
          <w:sz w:val="15"/>
          <w:szCs w:val="15"/>
          <w:color w:val="auto"/>
        </w:rPr>
        <w:t>16</w:t>
      </w:r>
    </w:p>
    <w:p>
      <w:pPr>
        <w:spacing w:after="0" w:line="166" w:lineRule="exact"/>
        <w:rPr>
          <w:sz w:val="20"/>
          <w:szCs w:val="20"/>
          <w:color w:val="auto"/>
        </w:rPr>
      </w:pPr>
    </w:p>
    <w:p>
      <w:pPr>
        <w:ind w:left="800"/>
        <w:spacing w:after="0"/>
        <w:tabs>
          <w:tab w:leader="none" w:pos="2000" w:val="left"/>
          <w:tab w:leader="dot" w:pos="9780" w:val="left"/>
        </w:tabs>
        <w:rPr>
          <w:sz w:val="20"/>
          <w:szCs w:val="20"/>
          <w:color w:val="auto"/>
        </w:rPr>
      </w:pPr>
      <w:r>
        <w:rPr>
          <w:rFonts w:ascii="Courier New" w:cs="Courier New" w:eastAsia="Courier New" w:hAnsi="Courier New"/>
          <w:sz w:val="15"/>
          <w:szCs w:val="15"/>
          <w:color w:val="auto"/>
        </w:rPr>
        <w:t>SECTION 1.03</w:t>
        <w:tab/>
        <w:t>Computation of Time Periods</w:t>
      </w:r>
      <w:r>
        <w:rPr>
          <w:sz w:val="20"/>
          <w:szCs w:val="20"/>
          <w:color w:val="auto"/>
        </w:rPr>
        <w:tab/>
      </w:r>
      <w:r>
        <w:rPr>
          <w:rFonts w:ascii="Courier New" w:cs="Courier New" w:eastAsia="Courier New" w:hAnsi="Courier New"/>
          <w:sz w:val="15"/>
          <w:szCs w:val="15"/>
          <w:color w:val="auto"/>
        </w:rPr>
        <w:t>16</w:t>
      </w:r>
    </w:p>
    <w:p>
      <w:pPr>
        <w:spacing w:after="0" w:line="166" w:lineRule="exact"/>
        <w:rPr>
          <w:sz w:val="20"/>
          <w:szCs w:val="20"/>
          <w:color w:val="auto"/>
        </w:rPr>
      </w:pPr>
    </w:p>
    <w:p>
      <w:pPr>
        <w:spacing w:after="0"/>
        <w:tabs>
          <w:tab w:leader="none" w:pos="1040" w:val="left"/>
          <w:tab w:leader="dot" w:pos="9780" w:val="left"/>
        </w:tabs>
        <w:rPr>
          <w:sz w:val="20"/>
          <w:szCs w:val="20"/>
          <w:color w:val="auto"/>
        </w:rPr>
      </w:pPr>
      <w:r>
        <w:rPr>
          <w:rFonts w:ascii="Courier New" w:cs="Courier New" w:eastAsia="Courier New" w:hAnsi="Courier New"/>
          <w:sz w:val="15"/>
          <w:szCs w:val="15"/>
          <w:color w:val="auto"/>
        </w:rPr>
        <w:t>ARTICLE II</w:t>
        <w:tab/>
        <w:t>AMOUNTS AND TERMS OF THE ADVANCES</w:t>
      </w:r>
      <w:r>
        <w:rPr>
          <w:sz w:val="20"/>
          <w:szCs w:val="20"/>
          <w:color w:val="auto"/>
        </w:rPr>
        <w:tab/>
      </w:r>
      <w:r>
        <w:rPr>
          <w:rFonts w:ascii="Courier New" w:cs="Courier New" w:eastAsia="Courier New" w:hAnsi="Courier New"/>
          <w:sz w:val="15"/>
          <w:szCs w:val="15"/>
          <w:color w:val="auto"/>
        </w:rPr>
        <w:t>16</w:t>
      </w:r>
    </w:p>
    <w:p>
      <w:pPr>
        <w:spacing w:after="0" w:line="166" w:lineRule="exact"/>
        <w:rPr>
          <w:sz w:val="20"/>
          <w:szCs w:val="20"/>
          <w:color w:val="auto"/>
        </w:rPr>
      </w:pPr>
    </w:p>
    <w:p>
      <w:pPr>
        <w:ind w:left="800"/>
        <w:spacing w:after="0"/>
        <w:tabs>
          <w:tab w:leader="none" w:pos="2000" w:val="left"/>
          <w:tab w:leader="dot" w:pos="9780" w:val="left"/>
        </w:tabs>
        <w:rPr>
          <w:sz w:val="20"/>
          <w:szCs w:val="20"/>
          <w:color w:val="auto"/>
        </w:rPr>
      </w:pPr>
      <w:r>
        <w:rPr>
          <w:rFonts w:ascii="Courier New" w:cs="Courier New" w:eastAsia="Courier New" w:hAnsi="Courier New"/>
          <w:sz w:val="15"/>
          <w:szCs w:val="15"/>
          <w:color w:val="auto"/>
        </w:rPr>
        <w:t>SECTION 2.01</w:t>
        <w:tab/>
        <w:t>The Advances</w:t>
      </w:r>
      <w:r>
        <w:rPr>
          <w:sz w:val="20"/>
          <w:szCs w:val="20"/>
          <w:color w:val="auto"/>
        </w:rPr>
        <w:tab/>
      </w:r>
      <w:r>
        <w:rPr>
          <w:rFonts w:ascii="Courier New" w:cs="Courier New" w:eastAsia="Courier New" w:hAnsi="Courier New"/>
          <w:sz w:val="15"/>
          <w:szCs w:val="15"/>
          <w:color w:val="auto"/>
        </w:rPr>
        <w:t>16</w:t>
      </w:r>
    </w:p>
    <w:p>
      <w:pPr>
        <w:spacing w:after="0" w:line="166" w:lineRule="exact"/>
        <w:rPr>
          <w:sz w:val="20"/>
          <w:szCs w:val="20"/>
          <w:color w:val="auto"/>
        </w:rPr>
      </w:pPr>
    </w:p>
    <w:p>
      <w:pPr>
        <w:ind w:left="800"/>
        <w:spacing w:after="0"/>
        <w:tabs>
          <w:tab w:leader="none" w:pos="2080" w:val="left"/>
          <w:tab w:leader="dot" w:pos="9780" w:val="left"/>
        </w:tabs>
        <w:rPr>
          <w:sz w:val="20"/>
          <w:szCs w:val="20"/>
          <w:color w:val="auto"/>
        </w:rPr>
      </w:pPr>
      <w:r>
        <w:rPr>
          <w:rFonts w:ascii="Courier New" w:cs="Courier New" w:eastAsia="Courier New" w:hAnsi="Courier New"/>
          <w:sz w:val="15"/>
          <w:szCs w:val="15"/>
          <w:color w:val="auto"/>
        </w:rPr>
        <w:t>SECTION 2.02</w:t>
        <w:tab/>
        <w:t>Making the Advances</w:t>
      </w:r>
      <w:r>
        <w:rPr>
          <w:sz w:val="20"/>
          <w:szCs w:val="20"/>
          <w:color w:val="auto"/>
        </w:rPr>
        <w:tab/>
      </w:r>
      <w:r>
        <w:rPr>
          <w:rFonts w:ascii="Courier New" w:cs="Courier New" w:eastAsia="Courier New" w:hAnsi="Courier New"/>
          <w:sz w:val="15"/>
          <w:szCs w:val="15"/>
          <w:color w:val="auto"/>
        </w:rPr>
        <w:t>17</w:t>
      </w:r>
    </w:p>
    <w:p>
      <w:pPr>
        <w:spacing w:after="0" w:line="166" w:lineRule="exact"/>
        <w:rPr>
          <w:sz w:val="20"/>
          <w:szCs w:val="20"/>
          <w:color w:val="auto"/>
        </w:rPr>
      </w:pPr>
    </w:p>
    <w:p>
      <w:pPr>
        <w:ind w:left="800"/>
        <w:spacing w:after="0"/>
        <w:tabs>
          <w:tab w:leader="none" w:pos="2000" w:val="left"/>
          <w:tab w:leader="dot" w:pos="9780" w:val="left"/>
        </w:tabs>
        <w:rPr>
          <w:sz w:val="20"/>
          <w:szCs w:val="20"/>
          <w:color w:val="auto"/>
        </w:rPr>
      </w:pPr>
      <w:r>
        <w:rPr>
          <w:rFonts w:ascii="Courier New" w:cs="Courier New" w:eastAsia="Courier New" w:hAnsi="Courier New"/>
          <w:sz w:val="15"/>
          <w:szCs w:val="15"/>
          <w:color w:val="auto"/>
        </w:rPr>
        <w:t>SECTION 2.03</w:t>
        <w:tab/>
        <w:t>Notes</w:t>
      </w:r>
      <w:r>
        <w:rPr>
          <w:sz w:val="20"/>
          <w:szCs w:val="20"/>
          <w:color w:val="auto"/>
        </w:rPr>
        <w:tab/>
      </w:r>
      <w:r>
        <w:rPr>
          <w:rFonts w:ascii="Courier New" w:cs="Courier New" w:eastAsia="Courier New" w:hAnsi="Courier New"/>
          <w:sz w:val="15"/>
          <w:szCs w:val="15"/>
          <w:color w:val="auto"/>
        </w:rPr>
        <w:t>18</w:t>
      </w:r>
    </w:p>
    <w:p>
      <w:pPr>
        <w:spacing w:after="0" w:line="166" w:lineRule="exact"/>
        <w:rPr>
          <w:sz w:val="20"/>
          <w:szCs w:val="20"/>
          <w:color w:val="auto"/>
        </w:rPr>
      </w:pPr>
    </w:p>
    <w:p>
      <w:pPr>
        <w:ind w:left="800"/>
        <w:spacing w:after="0"/>
        <w:tabs>
          <w:tab w:leader="none" w:pos="2000" w:val="left"/>
          <w:tab w:leader="dot" w:pos="9780" w:val="left"/>
        </w:tabs>
        <w:rPr>
          <w:sz w:val="20"/>
          <w:szCs w:val="20"/>
          <w:color w:val="auto"/>
        </w:rPr>
      </w:pPr>
      <w:r>
        <w:rPr>
          <w:rFonts w:ascii="Courier New" w:cs="Courier New" w:eastAsia="Courier New" w:hAnsi="Courier New"/>
          <w:sz w:val="15"/>
          <w:szCs w:val="15"/>
          <w:color w:val="auto"/>
        </w:rPr>
        <w:t>SECTION 2.04</w:t>
        <w:tab/>
        <w:t>Prepayments; Payments</w:t>
      </w:r>
      <w:r>
        <w:rPr>
          <w:sz w:val="20"/>
          <w:szCs w:val="20"/>
          <w:color w:val="auto"/>
        </w:rPr>
        <w:tab/>
      </w:r>
      <w:r>
        <w:rPr>
          <w:rFonts w:ascii="Courier New" w:cs="Courier New" w:eastAsia="Courier New" w:hAnsi="Courier New"/>
          <w:sz w:val="15"/>
          <w:szCs w:val="15"/>
          <w:color w:val="auto"/>
        </w:rPr>
        <w:t>18</w:t>
      </w:r>
    </w:p>
    <w:p>
      <w:pPr>
        <w:spacing w:after="0" w:line="166" w:lineRule="exact"/>
        <w:rPr>
          <w:sz w:val="20"/>
          <w:szCs w:val="20"/>
          <w:color w:val="auto"/>
        </w:rPr>
      </w:pPr>
    </w:p>
    <w:p>
      <w:pPr>
        <w:ind w:left="800"/>
        <w:spacing w:after="0"/>
        <w:tabs>
          <w:tab w:leader="none" w:pos="2000" w:val="left"/>
          <w:tab w:leader="dot" w:pos="9780" w:val="left"/>
        </w:tabs>
        <w:rPr>
          <w:sz w:val="20"/>
          <w:szCs w:val="20"/>
          <w:color w:val="auto"/>
        </w:rPr>
      </w:pPr>
      <w:r>
        <w:rPr>
          <w:rFonts w:ascii="Courier New" w:cs="Courier New" w:eastAsia="Courier New" w:hAnsi="Courier New"/>
          <w:sz w:val="15"/>
          <w:szCs w:val="15"/>
          <w:color w:val="auto"/>
        </w:rPr>
        <w:t>SECTION 2.05</w:t>
        <w:tab/>
        <w:t>Interest</w:t>
      </w:r>
      <w:r>
        <w:rPr>
          <w:sz w:val="20"/>
          <w:szCs w:val="20"/>
          <w:color w:val="auto"/>
        </w:rPr>
        <w:tab/>
      </w:r>
      <w:r>
        <w:rPr>
          <w:rFonts w:ascii="Courier New" w:cs="Courier New" w:eastAsia="Courier New" w:hAnsi="Courier New"/>
          <w:sz w:val="15"/>
          <w:szCs w:val="15"/>
          <w:color w:val="auto"/>
        </w:rPr>
        <w:t>20</w:t>
      </w:r>
    </w:p>
    <w:p>
      <w:pPr>
        <w:spacing w:after="0" w:line="166" w:lineRule="exact"/>
        <w:rPr>
          <w:sz w:val="20"/>
          <w:szCs w:val="20"/>
          <w:color w:val="auto"/>
        </w:rPr>
      </w:pPr>
    </w:p>
    <w:p>
      <w:pPr>
        <w:ind w:left="800"/>
        <w:spacing w:after="0"/>
        <w:tabs>
          <w:tab w:leader="none" w:pos="2000" w:val="left"/>
          <w:tab w:leader="dot" w:pos="9780" w:val="left"/>
        </w:tabs>
        <w:rPr>
          <w:sz w:val="20"/>
          <w:szCs w:val="20"/>
          <w:color w:val="auto"/>
        </w:rPr>
      </w:pPr>
      <w:r>
        <w:rPr>
          <w:rFonts w:ascii="Courier New" w:cs="Courier New" w:eastAsia="Courier New" w:hAnsi="Courier New"/>
          <w:sz w:val="15"/>
          <w:szCs w:val="15"/>
          <w:color w:val="auto"/>
        </w:rPr>
        <w:t>SECTION 2.06</w:t>
        <w:tab/>
        <w:t>Continuations, Interest Rate Determination</w:t>
      </w:r>
      <w:r>
        <w:rPr>
          <w:sz w:val="20"/>
          <w:szCs w:val="20"/>
          <w:color w:val="auto"/>
        </w:rPr>
        <w:tab/>
      </w:r>
      <w:r>
        <w:rPr>
          <w:rFonts w:ascii="Courier New" w:cs="Courier New" w:eastAsia="Courier New" w:hAnsi="Courier New"/>
          <w:sz w:val="15"/>
          <w:szCs w:val="15"/>
          <w:color w:val="auto"/>
        </w:rPr>
        <w:t>20</w:t>
      </w:r>
    </w:p>
    <w:p>
      <w:pPr>
        <w:spacing w:after="0" w:line="166" w:lineRule="exact"/>
        <w:rPr>
          <w:sz w:val="20"/>
          <w:szCs w:val="20"/>
          <w:color w:val="auto"/>
        </w:rPr>
      </w:pPr>
    </w:p>
    <w:p>
      <w:pPr>
        <w:ind w:left="800"/>
        <w:spacing w:after="0"/>
        <w:tabs>
          <w:tab w:leader="none" w:pos="2000" w:val="left"/>
          <w:tab w:leader="dot" w:pos="9780" w:val="left"/>
        </w:tabs>
        <w:rPr>
          <w:sz w:val="20"/>
          <w:szCs w:val="20"/>
          <w:color w:val="auto"/>
        </w:rPr>
      </w:pPr>
      <w:r>
        <w:rPr>
          <w:rFonts w:ascii="Courier New" w:cs="Courier New" w:eastAsia="Courier New" w:hAnsi="Courier New"/>
          <w:sz w:val="15"/>
          <w:szCs w:val="15"/>
          <w:color w:val="auto"/>
        </w:rPr>
        <w:t>SECTION 2.07</w:t>
        <w:tab/>
        <w:t>Fees</w:t>
      </w:r>
      <w:r>
        <w:rPr>
          <w:sz w:val="20"/>
          <w:szCs w:val="20"/>
          <w:color w:val="auto"/>
        </w:rPr>
        <w:tab/>
      </w:r>
      <w:r>
        <w:rPr>
          <w:rFonts w:ascii="Courier New" w:cs="Courier New" w:eastAsia="Courier New" w:hAnsi="Courier New"/>
          <w:sz w:val="15"/>
          <w:szCs w:val="15"/>
          <w:color w:val="auto"/>
        </w:rPr>
        <w:t>21</w:t>
      </w:r>
    </w:p>
    <w:p>
      <w:pPr>
        <w:spacing w:after="0" w:line="166" w:lineRule="exact"/>
        <w:rPr>
          <w:sz w:val="20"/>
          <w:szCs w:val="20"/>
          <w:color w:val="auto"/>
        </w:rPr>
      </w:pPr>
    </w:p>
    <w:p>
      <w:pPr>
        <w:ind w:left="800"/>
        <w:spacing w:after="0"/>
        <w:tabs>
          <w:tab w:leader="none" w:pos="2000" w:val="left"/>
          <w:tab w:leader="dot" w:pos="9780" w:val="left"/>
        </w:tabs>
        <w:rPr>
          <w:sz w:val="20"/>
          <w:szCs w:val="20"/>
          <w:color w:val="auto"/>
        </w:rPr>
      </w:pPr>
      <w:r>
        <w:rPr>
          <w:rFonts w:ascii="Courier New" w:cs="Courier New" w:eastAsia="Courier New" w:hAnsi="Courier New"/>
          <w:sz w:val="15"/>
          <w:szCs w:val="15"/>
          <w:color w:val="auto"/>
        </w:rPr>
        <w:t>SECTION 2.08</w:t>
        <w:tab/>
        <w:t>Increased Costs, Etc</w:t>
      </w:r>
      <w:r>
        <w:rPr>
          <w:sz w:val="20"/>
          <w:szCs w:val="20"/>
          <w:color w:val="auto"/>
        </w:rPr>
        <w:tab/>
      </w:r>
      <w:r>
        <w:rPr>
          <w:rFonts w:ascii="Courier New" w:cs="Courier New" w:eastAsia="Courier New" w:hAnsi="Courier New"/>
          <w:sz w:val="15"/>
          <w:szCs w:val="15"/>
          <w:color w:val="auto"/>
        </w:rPr>
        <w:t>21</w:t>
      </w:r>
    </w:p>
    <w:p>
      <w:pPr>
        <w:spacing w:after="0" w:line="166" w:lineRule="exact"/>
        <w:rPr>
          <w:sz w:val="20"/>
          <w:szCs w:val="20"/>
          <w:color w:val="auto"/>
        </w:rPr>
      </w:pPr>
    </w:p>
    <w:p>
      <w:pPr>
        <w:ind w:left="800"/>
        <w:spacing w:after="0"/>
        <w:tabs>
          <w:tab w:leader="none" w:pos="2000" w:val="left"/>
          <w:tab w:leader="dot" w:pos="9780" w:val="left"/>
        </w:tabs>
        <w:rPr>
          <w:sz w:val="20"/>
          <w:szCs w:val="20"/>
          <w:color w:val="auto"/>
        </w:rPr>
      </w:pPr>
      <w:r>
        <w:rPr>
          <w:rFonts w:ascii="Courier New" w:cs="Courier New" w:eastAsia="Courier New" w:hAnsi="Courier New"/>
          <w:sz w:val="15"/>
          <w:szCs w:val="15"/>
          <w:color w:val="auto"/>
        </w:rPr>
        <w:t>SECTION 2.09</w:t>
        <w:tab/>
        <w:t>Payments and Computations</w:t>
      </w:r>
      <w:r>
        <w:rPr>
          <w:sz w:val="20"/>
          <w:szCs w:val="20"/>
          <w:color w:val="auto"/>
        </w:rPr>
        <w:tab/>
      </w:r>
      <w:r>
        <w:rPr>
          <w:rFonts w:ascii="Courier New" w:cs="Courier New" w:eastAsia="Courier New" w:hAnsi="Courier New"/>
          <w:sz w:val="15"/>
          <w:szCs w:val="15"/>
          <w:color w:val="auto"/>
        </w:rPr>
        <w:t>23</w:t>
      </w:r>
    </w:p>
    <w:p>
      <w:pPr>
        <w:spacing w:after="0" w:line="166" w:lineRule="exact"/>
        <w:rPr>
          <w:sz w:val="20"/>
          <w:szCs w:val="20"/>
          <w:color w:val="auto"/>
        </w:rPr>
      </w:pPr>
    </w:p>
    <w:p>
      <w:pPr>
        <w:ind w:left="800"/>
        <w:spacing w:after="0"/>
        <w:tabs>
          <w:tab w:leader="none" w:pos="2000" w:val="left"/>
          <w:tab w:leader="dot" w:pos="9780" w:val="left"/>
        </w:tabs>
        <w:rPr>
          <w:sz w:val="20"/>
          <w:szCs w:val="20"/>
          <w:color w:val="auto"/>
        </w:rPr>
      </w:pPr>
      <w:r>
        <w:rPr>
          <w:rFonts w:ascii="Courier New" w:cs="Courier New" w:eastAsia="Courier New" w:hAnsi="Courier New"/>
          <w:sz w:val="15"/>
          <w:szCs w:val="15"/>
          <w:color w:val="auto"/>
        </w:rPr>
        <w:t>SECTION 2.10</w:t>
        <w:tab/>
        <w:t>Taxes</w:t>
      </w:r>
      <w:r>
        <w:rPr>
          <w:sz w:val="20"/>
          <w:szCs w:val="20"/>
          <w:color w:val="auto"/>
        </w:rPr>
        <w:tab/>
      </w:r>
      <w:r>
        <w:rPr>
          <w:rFonts w:ascii="Courier New" w:cs="Courier New" w:eastAsia="Courier New" w:hAnsi="Courier New"/>
          <w:sz w:val="15"/>
          <w:szCs w:val="15"/>
          <w:color w:val="auto"/>
        </w:rPr>
        <w:t>24</w:t>
      </w:r>
    </w:p>
    <w:p>
      <w:pPr>
        <w:spacing w:after="0" w:line="166" w:lineRule="exact"/>
        <w:rPr>
          <w:sz w:val="20"/>
          <w:szCs w:val="20"/>
          <w:color w:val="auto"/>
        </w:rPr>
      </w:pPr>
    </w:p>
    <w:p>
      <w:pPr>
        <w:ind w:left="800"/>
        <w:spacing w:after="0"/>
        <w:tabs>
          <w:tab w:leader="none" w:pos="2000" w:val="left"/>
          <w:tab w:leader="dot" w:pos="9780" w:val="left"/>
        </w:tabs>
        <w:rPr>
          <w:sz w:val="20"/>
          <w:szCs w:val="20"/>
          <w:color w:val="auto"/>
        </w:rPr>
      </w:pPr>
      <w:r>
        <w:rPr>
          <w:rFonts w:ascii="Courier New" w:cs="Courier New" w:eastAsia="Courier New" w:hAnsi="Courier New"/>
          <w:sz w:val="15"/>
          <w:szCs w:val="15"/>
          <w:color w:val="auto"/>
        </w:rPr>
        <w:t>SECTION 2.11</w:t>
        <w:tab/>
        <w:t>Sharing of Payments, Etc</w:t>
      </w:r>
      <w:r>
        <w:rPr>
          <w:sz w:val="20"/>
          <w:szCs w:val="20"/>
          <w:color w:val="auto"/>
        </w:rPr>
        <w:tab/>
      </w:r>
      <w:r>
        <w:rPr>
          <w:rFonts w:ascii="Courier New" w:cs="Courier New" w:eastAsia="Courier New" w:hAnsi="Courier New"/>
          <w:sz w:val="15"/>
          <w:szCs w:val="15"/>
          <w:color w:val="auto"/>
        </w:rPr>
        <w:t>27</w:t>
      </w:r>
    </w:p>
    <w:p>
      <w:pPr>
        <w:spacing w:after="0" w:line="166" w:lineRule="exact"/>
        <w:rPr>
          <w:sz w:val="20"/>
          <w:szCs w:val="20"/>
          <w:color w:val="auto"/>
        </w:rPr>
      </w:pPr>
    </w:p>
    <w:p>
      <w:pPr>
        <w:ind w:left="800"/>
        <w:spacing w:after="0"/>
        <w:tabs>
          <w:tab w:leader="none" w:pos="2000" w:val="left"/>
          <w:tab w:leader="dot" w:pos="9780" w:val="left"/>
        </w:tabs>
        <w:rPr>
          <w:sz w:val="20"/>
          <w:szCs w:val="20"/>
          <w:color w:val="auto"/>
        </w:rPr>
      </w:pPr>
      <w:r>
        <w:rPr>
          <w:rFonts w:ascii="Courier New" w:cs="Courier New" w:eastAsia="Courier New" w:hAnsi="Courier New"/>
          <w:sz w:val="15"/>
          <w:szCs w:val="15"/>
          <w:color w:val="auto"/>
        </w:rPr>
        <w:t>SECTION 2.12</w:t>
        <w:tab/>
        <w:t>Funding Losses</w:t>
      </w:r>
      <w:r>
        <w:rPr>
          <w:sz w:val="20"/>
          <w:szCs w:val="20"/>
          <w:color w:val="auto"/>
        </w:rPr>
        <w:tab/>
      </w:r>
      <w:r>
        <w:rPr>
          <w:rFonts w:ascii="Courier New" w:cs="Courier New" w:eastAsia="Courier New" w:hAnsi="Courier New"/>
          <w:sz w:val="15"/>
          <w:szCs w:val="15"/>
          <w:color w:val="auto"/>
        </w:rPr>
        <w:t>27</w:t>
      </w:r>
    </w:p>
    <w:p>
      <w:pPr>
        <w:spacing w:after="0" w:line="166" w:lineRule="exact"/>
        <w:rPr>
          <w:sz w:val="20"/>
          <w:szCs w:val="20"/>
          <w:color w:val="auto"/>
        </w:rPr>
      </w:pPr>
    </w:p>
    <w:p>
      <w:pPr>
        <w:ind w:left="800"/>
        <w:spacing w:after="0"/>
        <w:tabs>
          <w:tab w:leader="none" w:pos="2000" w:val="left"/>
          <w:tab w:leader="dot" w:pos="9780" w:val="left"/>
        </w:tabs>
        <w:rPr>
          <w:sz w:val="20"/>
          <w:szCs w:val="20"/>
          <w:color w:val="auto"/>
        </w:rPr>
      </w:pPr>
      <w:r>
        <w:rPr>
          <w:rFonts w:ascii="Courier New" w:cs="Courier New" w:eastAsia="Courier New" w:hAnsi="Courier New"/>
          <w:sz w:val="15"/>
          <w:szCs w:val="15"/>
          <w:color w:val="auto"/>
        </w:rPr>
        <w:t>SECTION 2.13</w:t>
        <w:tab/>
        <w:t>Use of Proceeds</w:t>
      </w:r>
      <w:r>
        <w:rPr>
          <w:sz w:val="20"/>
          <w:szCs w:val="20"/>
          <w:color w:val="auto"/>
        </w:rPr>
        <w:tab/>
      </w:r>
      <w:r>
        <w:rPr>
          <w:rFonts w:ascii="Courier New" w:cs="Courier New" w:eastAsia="Courier New" w:hAnsi="Courier New"/>
          <w:sz w:val="15"/>
          <w:szCs w:val="15"/>
          <w:color w:val="auto"/>
        </w:rPr>
        <w:t>27</w:t>
      </w:r>
    </w:p>
    <w:p>
      <w:pPr>
        <w:sectPr>
          <w:pgSz w:w="11900" w:h="16838" w:orient="portrait"/>
          <w:cols w:equalWidth="0" w:num="1">
            <w:col w:w="10239"/>
          </w:cols>
          <w:pgMar w:left="220" w:top="135" w:right="1440" w:bottom="0" w:gutter="0" w:footer="0" w:header="0"/>
        </w:sectPr>
      </w:pPr>
    </w:p>
    <w:bookmarkStart w:id="216" w:name="page217"/>
    <w:bookmarkEnd w:id="216"/>
    <w:tbl>
      <w:tblPr>
        <w:tblLayout w:type="fixed"/>
        <w:tblInd w:w="0" w:type="dxa"/>
        <w:tblCellMar>
          <w:top w:w="0" w:type="dxa"/>
          <w:left w:w="0" w:type="dxa"/>
          <w:bottom w:w="0" w:type="dxa"/>
          <w:right w:w="0" w:type="dxa"/>
        </w:tblCellMar>
      </w:tblPr>
      <w:tr>
        <w:trPr>
          <w:trHeight w:val="170"/>
        </w:trPr>
        <w:tc>
          <w:tcPr>
            <w:tcW w:w="98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ARTICLE III  CONDITIONS OF LENDING..............................................................................</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28</w:t>
            </w:r>
          </w:p>
        </w:tc>
      </w:tr>
      <w:tr>
        <w:trPr>
          <w:trHeight w:val="336"/>
        </w:trPr>
        <w:tc>
          <w:tcPr>
            <w:tcW w:w="9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SECTION 3.01  Conditions Precedent to the Borrowing....................................................</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28</w:t>
            </w:r>
          </w:p>
        </w:tc>
      </w:tr>
      <w:tr>
        <w:trPr>
          <w:trHeight w:val="336"/>
        </w:trPr>
        <w:tc>
          <w:tcPr>
            <w:tcW w:w="98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ARTICLE IV  REPRESENTATIONS AND WARRANTIES......................................................................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30</w:t>
            </w:r>
          </w:p>
        </w:tc>
      </w:tr>
      <w:tr>
        <w:trPr>
          <w:trHeight w:val="336"/>
        </w:trPr>
        <w:tc>
          <w:tcPr>
            <w:tcW w:w="1940" w:type="dxa"/>
            <w:vAlign w:val="bottom"/>
          </w:tcPr>
          <w:p>
            <w:pPr>
              <w:ind w:left="800"/>
              <w:spacing w:after="0"/>
              <w:rPr>
                <w:sz w:val="20"/>
                <w:szCs w:val="20"/>
                <w:color w:val="auto"/>
              </w:rPr>
            </w:pPr>
            <w:r>
              <w:rPr>
                <w:rFonts w:ascii="Courier New" w:cs="Courier New" w:eastAsia="Courier New" w:hAnsi="Courier New"/>
                <w:sz w:val="15"/>
                <w:szCs w:val="15"/>
                <w:color w:val="auto"/>
              </w:rPr>
              <w:t>SECTION 4.01</w:t>
            </w:r>
          </w:p>
        </w:tc>
        <w:tc>
          <w:tcPr>
            <w:tcW w:w="7860" w:type="dxa"/>
            <w:vAlign w:val="bottom"/>
          </w:tcPr>
          <w:p>
            <w:pPr>
              <w:jc w:val="right"/>
              <w:spacing w:after="0"/>
              <w:rPr>
                <w:sz w:val="20"/>
                <w:szCs w:val="20"/>
                <w:color w:val="auto"/>
              </w:rPr>
            </w:pPr>
            <w:r>
              <w:rPr>
                <w:rFonts w:ascii="Courier New" w:cs="Courier New" w:eastAsia="Courier New" w:hAnsi="Courier New"/>
                <w:sz w:val="15"/>
                <w:szCs w:val="15"/>
                <w:color w:val="auto"/>
                <w:w w:val="97"/>
              </w:rPr>
              <w:t>Legal Status.............................................................................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30</w:t>
            </w:r>
          </w:p>
        </w:tc>
      </w:tr>
      <w:tr>
        <w:trPr>
          <w:trHeight w:val="336"/>
        </w:trPr>
        <w:tc>
          <w:tcPr>
            <w:tcW w:w="1940" w:type="dxa"/>
            <w:vAlign w:val="bottom"/>
          </w:tcPr>
          <w:p>
            <w:pPr>
              <w:ind w:left="800"/>
              <w:spacing w:after="0"/>
              <w:rPr>
                <w:sz w:val="20"/>
                <w:szCs w:val="20"/>
                <w:color w:val="auto"/>
              </w:rPr>
            </w:pPr>
            <w:r>
              <w:rPr>
                <w:rFonts w:ascii="Courier New" w:cs="Courier New" w:eastAsia="Courier New" w:hAnsi="Courier New"/>
                <w:sz w:val="15"/>
                <w:szCs w:val="15"/>
                <w:color w:val="auto"/>
              </w:rPr>
              <w:t>SECTION 4.02</w:t>
            </w:r>
          </w:p>
        </w:tc>
        <w:tc>
          <w:tcPr>
            <w:tcW w:w="7860" w:type="dxa"/>
            <w:vAlign w:val="bottom"/>
          </w:tcPr>
          <w:p>
            <w:pPr>
              <w:jc w:val="right"/>
              <w:spacing w:after="0"/>
              <w:rPr>
                <w:sz w:val="20"/>
                <w:szCs w:val="20"/>
                <w:color w:val="auto"/>
              </w:rPr>
            </w:pPr>
            <w:r>
              <w:rPr>
                <w:rFonts w:ascii="Courier New" w:cs="Courier New" w:eastAsia="Courier New" w:hAnsi="Courier New"/>
                <w:sz w:val="15"/>
                <w:szCs w:val="15"/>
                <w:color w:val="auto"/>
                <w:w w:val="97"/>
              </w:rPr>
              <w:t>Governmental Approvals...................................................................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30</w:t>
            </w:r>
          </w:p>
        </w:tc>
      </w:tr>
      <w:tr>
        <w:trPr>
          <w:trHeight w:val="336"/>
        </w:trPr>
        <w:tc>
          <w:tcPr>
            <w:tcW w:w="1940" w:type="dxa"/>
            <w:vAlign w:val="bottom"/>
          </w:tcPr>
          <w:p>
            <w:pPr>
              <w:ind w:left="800"/>
              <w:spacing w:after="0"/>
              <w:rPr>
                <w:sz w:val="20"/>
                <w:szCs w:val="20"/>
                <w:color w:val="auto"/>
              </w:rPr>
            </w:pPr>
            <w:r>
              <w:rPr>
                <w:rFonts w:ascii="Courier New" w:cs="Courier New" w:eastAsia="Courier New" w:hAnsi="Courier New"/>
                <w:sz w:val="15"/>
                <w:szCs w:val="15"/>
                <w:color w:val="auto"/>
              </w:rPr>
              <w:t>SECTION 4.03</w:t>
            </w:r>
          </w:p>
        </w:tc>
        <w:tc>
          <w:tcPr>
            <w:tcW w:w="7860" w:type="dxa"/>
            <w:vAlign w:val="bottom"/>
          </w:tcPr>
          <w:p>
            <w:pPr>
              <w:jc w:val="right"/>
              <w:spacing w:after="0"/>
              <w:rPr>
                <w:sz w:val="20"/>
                <w:szCs w:val="20"/>
                <w:color w:val="auto"/>
              </w:rPr>
            </w:pPr>
            <w:r>
              <w:rPr>
                <w:rFonts w:ascii="Courier New" w:cs="Courier New" w:eastAsia="Courier New" w:hAnsi="Courier New"/>
                <w:sz w:val="15"/>
                <w:szCs w:val="15"/>
                <w:color w:val="auto"/>
                <w:w w:val="97"/>
              </w:rPr>
              <w:t>No Violation.............................................................................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30</w:t>
            </w:r>
          </w:p>
        </w:tc>
      </w:tr>
      <w:tr>
        <w:trPr>
          <w:trHeight w:val="336"/>
        </w:trPr>
        <w:tc>
          <w:tcPr>
            <w:tcW w:w="1940" w:type="dxa"/>
            <w:vAlign w:val="bottom"/>
          </w:tcPr>
          <w:p>
            <w:pPr>
              <w:ind w:left="800"/>
              <w:spacing w:after="0"/>
              <w:rPr>
                <w:sz w:val="20"/>
                <w:szCs w:val="20"/>
                <w:color w:val="auto"/>
              </w:rPr>
            </w:pPr>
            <w:r>
              <w:rPr>
                <w:rFonts w:ascii="Courier New" w:cs="Courier New" w:eastAsia="Courier New" w:hAnsi="Courier New"/>
                <w:sz w:val="15"/>
                <w:szCs w:val="15"/>
                <w:color w:val="auto"/>
              </w:rPr>
              <w:t>SECTION 4.04</w:t>
            </w:r>
          </w:p>
        </w:tc>
        <w:tc>
          <w:tcPr>
            <w:tcW w:w="7860" w:type="dxa"/>
            <w:vAlign w:val="bottom"/>
          </w:tcPr>
          <w:p>
            <w:pPr>
              <w:jc w:val="right"/>
              <w:spacing w:after="0"/>
              <w:rPr>
                <w:sz w:val="20"/>
                <w:szCs w:val="20"/>
                <w:color w:val="auto"/>
              </w:rPr>
            </w:pPr>
            <w:r>
              <w:rPr>
                <w:rFonts w:ascii="Courier New" w:cs="Courier New" w:eastAsia="Courier New" w:hAnsi="Courier New"/>
                <w:sz w:val="15"/>
                <w:szCs w:val="15"/>
                <w:color w:val="auto"/>
                <w:w w:val="97"/>
              </w:rPr>
              <w:t>Litigation...............................................................................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31</w:t>
            </w:r>
          </w:p>
        </w:tc>
      </w:tr>
      <w:tr>
        <w:trPr>
          <w:trHeight w:val="336"/>
        </w:trPr>
        <w:tc>
          <w:tcPr>
            <w:tcW w:w="1940" w:type="dxa"/>
            <w:vAlign w:val="bottom"/>
          </w:tcPr>
          <w:p>
            <w:pPr>
              <w:ind w:left="800"/>
              <w:spacing w:after="0"/>
              <w:rPr>
                <w:sz w:val="20"/>
                <w:szCs w:val="20"/>
                <w:color w:val="auto"/>
              </w:rPr>
            </w:pPr>
            <w:r>
              <w:rPr>
                <w:rFonts w:ascii="Courier New" w:cs="Courier New" w:eastAsia="Courier New" w:hAnsi="Courier New"/>
                <w:sz w:val="15"/>
                <w:szCs w:val="15"/>
                <w:color w:val="auto"/>
              </w:rPr>
              <w:t>SECTION 4.05</w:t>
            </w:r>
          </w:p>
        </w:tc>
        <w:tc>
          <w:tcPr>
            <w:tcW w:w="7860" w:type="dxa"/>
            <w:vAlign w:val="bottom"/>
          </w:tcPr>
          <w:p>
            <w:pPr>
              <w:jc w:val="right"/>
              <w:spacing w:after="0"/>
              <w:rPr>
                <w:sz w:val="20"/>
                <w:szCs w:val="20"/>
                <w:color w:val="auto"/>
              </w:rPr>
            </w:pPr>
            <w:r>
              <w:rPr>
                <w:rFonts w:ascii="Courier New" w:cs="Courier New" w:eastAsia="Courier New" w:hAnsi="Courier New"/>
                <w:sz w:val="15"/>
                <w:szCs w:val="15"/>
                <w:color w:val="auto"/>
                <w:w w:val="97"/>
              </w:rPr>
              <w:t>Financial Statements; No Material Adverse Change.........................................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31</w:t>
            </w:r>
          </w:p>
        </w:tc>
      </w:tr>
      <w:tr>
        <w:trPr>
          <w:trHeight w:val="336"/>
        </w:trPr>
        <w:tc>
          <w:tcPr>
            <w:tcW w:w="1940" w:type="dxa"/>
            <w:vAlign w:val="bottom"/>
          </w:tcPr>
          <w:p>
            <w:pPr>
              <w:ind w:left="800"/>
              <w:spacing w:after="0"/>
              <w:rPr>
                <w:sz w:val="20"/>
                <w:szCs w:val="20"/>
                <w:color w:val="auto"/>
              </w:rPr>
            </w:pPr>
            <w:r>
              <w:rPr>
                <w:rFonts w:ascii="Courier New" w:cs="Courier New" w:eastAsia="Courier New" w:hAnsi="Courier New"/>
                <w:sz w:val="15"/>
                <w:szCs w:val="15"/>
                <w:color w:val="auto"/>
              </w:rPr>
              <w:t>SECTION 4.06</w:t>
            </w:r>
          </w:p>
        </w:tc>
        <w:tc>
          <w:tcPr>
            <w:tcW w:w="7860" w:type="dxa"/>
            <w:vAlign w:val="bottom"/>
          </w:tcPr>
          <w:p>
            <w:pPr>
              <w:jc w:val="right"/>
              <w:spacing w:after="0"/>
              <w:rPr>
                <w:sz w:val="20"/>
                <w:szCs w:val="20"/>
                <w:color w:val="auto"/>
              </w:rPr>
            </w:pPr>
            <w:r>
              <w:rPr>
                <w:rFonts w:ascii="Courier New" w:cs="Courier New" w:eastAsia="Courier New" w:hAnsi="Courier New"/>
                <w:sz w:val="15"/>
                <w:szCs w:val="15"/>
                <w:color w:val="auto"/>
                <w:w w:val="97"/>
              </w:rPr>
              <w:t>Tax Returns and Payments.................................................................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31</w:t>
            </w:r>
          </w:p>
        </w:tc>
      </w:tr>
      <w:tr>
        <w:trPr>
          <w:trHeight w:val="336"/>
        </w:trPr>
        <w:tc>
          <w:tcPr>
            <w:tcW w:w="1940" w:type="dxa"/>
            <w:vAlign w:val="bottom"/>
          </w:tcPr>
          <w:p>
            <w:pPr>
              <w:ind w:left="800"/>
              <w:spacing w:after="0"/>
              <w:rPr>
                <w:sz w:val="20"/>
                <w:szCs w:val="20"/>
                <w:color w:val="auto"/>
              </w:rPr>
            </w:pPr>
            <w:r>
              <w:rPr>
                <w:rFonts w:ascii="Courier New" w:cs="Courier New" w:eastAsia="Courier New" w:hAnsi="Courier New"/>
                <w:sz w:val="15"/>
                <w:szCs w:val="15"/>
                <w:color w:val="auto"/>
              </w:rPr>
              <w:t>SECTION 4.07</w:t>
            </w:r>
          </w:p>
        </w:tc>
        <w:tc>
          <w:tcPr>
            <w:tcW w:w="7860" w:type="dxa"/>
            <w:vAlign w:val="bottom"/>
          </w:tcPr>
          <w:p>
            <w:pPr>
              <w:jc w:val="right"/>
              <w:spacing w:after="0"/>
              <w:rPr>
                <w:sz w:val="20"/>
                <w:szCs w:val="20"/>
                <w:color w:val="auto"/>
              </w:rPr>
            </w:pPr>
            <w:r>
              <w:rPr>
                <w:rFonts w:ascii="Courier New" w:cs="Courier New" w:eastAsia="Courier New" w:hAnsi="Courier New"/>
                <w:sz w:val="15"/>
                <w:szCs w:val="15"/>
                <w:color w:val="auto"/>
                <w:w w:val="97"/>
              </w:rPr>
              <w:t>Power and Authority......................................................................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31</w:t>
            </w:r>
          </w:p>
        </w:tc>
      </w:tr>
      <w:tr>
        <w:trPr>
          <w:trHeight w:val="336"/>
        </w:trPr>
        <w:tc>
          <w:tcPr>
            <w:tcW w:w="1940" w:type="dxa"/>
            <w:vAlign w:val="bottom"/>
          </w:tcPr>
          <w:p>
            <w:pPr>
              <w:ind w:left="800"/>
              <w:spacing w:after="0"/>
              <w:rPr>
                <w:sz w:val="20"/>
                <w:szCs w:val="20"/>
                <w:color w:val="auto"/>
              </w:rPr>
            </w:pPr>
            <w:r>
              <w:rPr>
                <w:rFonts w:ascii="Courier New" w:cs="Courier New" w:eastAsia="Courier New" w:hAnsi="Courier New"/>
                <w:sz w:val="15"/>
                <w:szCs w:val="15"/>
                <w:color w:val="auto"/>
              </w:rPr>
              <w:t>SECTION 4.08</w:t>
            </w:r>
          </w:p>
        </w:tc>
        <w:tc>
          <w:tcPr>
            <w:tcW w:w="7860" w:type="dxa"/>
            <w:vAlign w:val="bottom"/>
          </w:tcPr>
          <w:p>
            <w:pPr>
              <w:jc w:val="right"/>
              <w:spacing w:after="0"/>
              <w:rPr>
                <w:sz w:val="20"/>
                <w:szCs w:val="20"/>
                <w:color w:val="auto"/>
              </w:rPr>
            </w:pPr>
            <w:r>
              <w:rPr>
                <w:rFonts w:ascii="Courier New" w:cs="Courier New" w:eastAsia="Courier New" w:hAnsi="Courier New"/>
                <w:sz w:val="15"/>
                <w:szCs w:val="15"/>
                <w:color w:val="auto"/>
                <w:w w:val="97"/>
              </w:rPr>
              <w:t>Compliance with Laws.....................................................................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31</w:t>
            </w:r>
          </w:p>
        </w:tc>
      </w:tr>
      <w:tr>
        <w:trPr>
          <w:trHeight w:val="336"/>
        </w:trPr>
        <w:tc>
          <w:tcPr>
            <w:tcW w:w="1940" w:type="dxa"/>
            <w:vAlign w:val="bottom"/>
          </w:tcPr>
          <w:p>
            <w:pPr>
              <w:ind w:left="800"/>
              <w:spacing w:after="0"/>
              <w:rPr>
                <w:sz w:val="20"/>
                <w:szCs w:val="20"/>
                <w:color w:val="auto"/>
              </w:rPr>
            </w:pPr>
            <w:r>
              <w:rPr>
                <w:rFonts w:ascii="Courier New" w:cs="Courier New" w:eastAsia="Courier New" w:hAnsi="Courier New"/>
                <w:sz w:val="15"/>
                <w:szCs w:val="15"/>
                <w:color w:val="auto"/>
              </w:rPr>
              <w:t>SECTION 4.09</w:t>
            </w:r>
          </w:p>
        </w:tc>
        <w:tc>
          <w:tcPr>
            <w:tcW w:w="7860" w:type="dxa"/>
            <w:vAlign w:val="bottom"/>
          </w:tcPr>
          <w:p>
            <w:pPr>
              <w:jc w:val="right"/>
              <w:spacing w:after="0"/>
              <w:rPr>
                <w:sz w:val="20"/>
                <w:szCs w:val="20"/>
                <w:color w:val="auto"/>
              </w:rPr>
            </w:pPr>
            <w:r>
              <w:rPr>
                <w:rFonts w:ascii="Courier New" w:cs="Courier New" w:eastAsia="Courier New" w:hAnsi="Courier New"/>
                <w:sz w:val="15"/>
                <w:szCs w:val="15"/>
                <w:color w:val="auto"/>
                <w:w w:val="97"/>
              </w:rPr>
              <w:t>Compliance with Environmental Laws.......................................................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32</w:t>
            </w:r>
          </w:p>
        </w:tc>
      </w:tr>
      <w:tr>
        <w:trPr>
          <w:trHeight w:val="336"/>
        </w:trPr>
        <w:tc>
          <w:tcPr>
            <w:tcW w:w="9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SECTION 4.10  Priority of Advances.....................................................................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32</w:t>
            </w:r>
          </w:p>
        </w:tc>
      </w:tr>
      <w:tr>
        <w:trPr>
          <w:trHeight w:val="336"/>
        </w:trPr>
        <w:tc>
          <w:tcPr>
            <w:tcW w:w="9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SECTION 4.11  True and Complete Disclosure.............................................................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32</w:t>
            </w:r>
          </w:p>
        </w:tc>
      </w:tr>
      <w:tr>
        <w:trPr>
          <w:trHeight w:val="841"/>
        </w:trPr>
        <w:tc>
          <w:tcPr>
            <w:tcW w:w="1940" w:type="dxa"/>
            <w:vAlign w:val="bottom"/>
          </w:tcPr>
          <w:p>
            <w:pPr>
              <w:spacing w:after="0"/>
              <w:rPr>
                <w:sz w:val="24"/>
                <w:szCs w:val="24"/>
                <w:color w:val="auto"/>
              </w:rPr>
            </w:pPr>
          </w:p>
        </w:tc>
        <w:tc>
          <w:tcPr>
            <w:tcW w:w="7860" w:type="dxa"/>
            <w:vAlign w:val="bottom"/>
          </w:tcPr>
          <w:p>
            <w:pPr>
              <w:jc w:val="right"/>
              <w:ind w:right="6227"/>
              <w:spacing w:after="0"/>
              <w:rPr>
                <w:sz w:val="20"/>
                <w:szCs w:val="20"/>
                <w:color w:val="auto"/>
              </w:rPr>
            </w:pPr>
            <w:r>
              <w:rPr>
                <w:rFonts w:ascii="Courier New" w:cs="Courier New" w:eastAsia="Courier New" w:hAnsi="Courier New"/>
                <w:sz w:val="15"/>
                <w:szCs w:val="15"/>
                <w:color w:val="auto"/>
              </w:rPr>
              <w:t>2</w:t>
            </w:r>
          </w:p>
        </w:tc>
        <w:tc>
          <w:tcPr>
            <w:tcW w:w="180" w:type="dxa"/>
            <w:vAlign w:val="bottom"/>
          </w:tcPr>
          <w:p>
            <w:pPr>
              <w:spacing w:after="0"/>
              <w:rPr>
                <w:sz w:val="24"/>
                <w:szCs w:val="24"/>
                <w:color w:val="auto"/>
              </w:rPr>
            </w:pPr>
          </w:p>
        </w:tc>
      </w:tr>
    </w:tbl>
    <w:p>
      <w:pPr>
        <w:sectPr>
          <w:pgSz w:w="11900" w:h="16838" w:orient="portrait"/>
          <w:cols w:equalWidth="0" w:num="1">
            <w:col w:w="10239"/>
          </w:cols>
          <w:pgMar w:left="220" w:top="135" w:right="1440" w:bottom="1440" w:gutter="0" w:footer="0" w:header="0"/>
        </w:sectPr>
      </w:pPr>
    </w:p>
    <w:bookmarkStart w:id="217" w:name="page218"/>
    <w:bookmarkEnd w:id="2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SECTION 4.12</w:t>
            </w:r>
          </w:p>
        </w:tc>
        <w:tc>
          <w:tcPr>
            <w:tcW w:w="7960" w:type="dxa"/>
            <w:vAlign w:val="bottom"/>
          </w:tcPr>
          <w:p>
            <w:pPr>
              <w:jc w:val="right"/>
              <w:spacing w:after="0"/>
              <w:rPr>
                <w:sz w:val="20"/>
                <w:szCs w:val="20"/>
                <w:color w:val="auto"/>
              </w:rPr>
            </w:pPr>
            <w:r>
              <w:rPr>
                <w:rFonts w:ascii="Courier New" w:cs="Courier New" w:eastAsia="Courier New" w:hAnsi="Courier New"/>
                <w:sz w:val="15"/>
                <w:szCs w:val="15"/>
                <w:color w:val="auto"/>
                <w:w w:val="99"/>
              </w:rPr>
              <w:t>Investment Company Act; Public Utility Holding Company Act...............................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32</w:t>
            </w:r>
          </w:p>
        </w:tc>
      </w:tr>
      <w:tr>
        <w:trPr>
          <w:trHeight w:val="336"/>
        </w:trPr>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SECTION 4.13</w:t>
            </w:r>
          </w:p>
        </w:tc>
        <w:tc>
          <w:tcPr>
            <w:tcW w:w="7960" w:type="dxa"/>
            <w:vAlign w:val="bottom"/>
          </w:tcPr>
          <w:p>
            <w:pPr>
              <w:jc w:val="right"/>
              <w:spacing w:after="0"/>
              <w:rPr>
                <w:sz w:val="20"/>
                <w:szCs w:val="20"/>
                <w:color w:val="auto"/>
              </w:rPr>
            </w:pPr>
            <w:r>
              <w:rPr>
                <w:rFonts w:ascii="Courier New" w:cs="Courier New" w:eastAsia="Courier New" w:hAnsi="Courier New"/>
                <w:sz w:val="15"/>
                <w:szCs w:val="15"/>
                <w:color w:val="auto"/>
                <w:w w:val="99"/>
              </w:rPr>
              <w:t>No Immunity..............................................................................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32</w:t>
            </w:r>
          </w:p>
        </w:tc>
      </w:tr>
      <w:tr>
        <w:trPr>
          <w:trHeight w:val="336"/>
        </w:trPr>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SECTION 4.14</w:t>
            </w:r>
          </w:p>
        </w:tc>
        <w:tc>
          <w:tcPr>
            <w:tcW w:w="7960" w:type="dxa"/>
            <w:vAlign w:val="bottom"/>
          </w:tcPr>
          <w:p>
            <w:pPr>
              <w:jc w:val="right"/>
              <w:spacing w:after="0"/>
              <w:rPr>
                <w:sz w:val="20"/>
                <w:szCs w:val="20"/>
                <w:color w:val="auto"/>
              </w:rPr>
            </w:pPr>
            <w:r>
              <w:rPr>
                <w:rFonts w:ascii="Courier New" w:cs="Courier New" w:eastAsia="Courier New" w:hAnsi="Courier New"/>
                <w:sz w:val="15"/>
                <w:szCs w:val="15"/>
                <w:color w:val="auto"/>
                <w:w w:val="99"/>
              </w:rPr>
              <w:t>Use of Proceeds..........................................................................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32</w:t>
            </w:r>
          </w:p>
        </w:tc>
      </w:tr>
      <w:tr>
        <w:trPr>
          <w:trHeight w:val="336"/>
        </w:trPr>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SECTION 4.15</w:t>
            </w:r>
          </w:p>
        </w:tc>
        <w:tc>
          <w:tcPr>
            <w:tcW w:w="7960" w:type="dxa"/>
            <w:vAlign w:val="bottom"/>
          </w:tcPr>
          <w:p>
            <w:pPr>
              <w:jc w:val="right"/>
              <w:spacing w:after="0"/>
              <w:rPr>
                <w:sz w:val="20"/>
                <w:szCs w:val="20"/>
                <w:color w:val="auto"/>
              </w:rPr>
            </w:pPr>
            <w:r>
              <w:rPr>
                <w:rFonts w:ascii="Courier New" w:cs="Courier New" w:eastAsia="Courier New" w:hAnsi="Courier New"/>
                <w:sz w:val="15"/>
                <w:szCs w:val="15"/>
                <w:color w:val="auto"/>
                <w:w w:val="99"/>
              </w:rPr>
              <w:t>Debt.....................................................................................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33</w:t>
            </w:r>
          </w:p>
        </w:tc>
      </w:tr>
      <w:tr>
        <w:trPr>
          <w:trHeight w:val="336"/>
        </w:trPr>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SECTION 4.16</w:t>
            </w:r>
          </w:p>
        </w:tc>
        <w:tc>
          <w:tcPr>
            <w:tcW w:w="7960" w:type="dxa"/>
            <w:vAlign w:val="bottom"/>
          </w:tcPr>
          <w:p>
            <w:pPr>
              <w:jc w:val="right"/>
              <w:spacing w:after="0"/>
              <w:rPr>
                <w:sz w:val="20"/>
                <w:szCs w:val="20"/>
                <w:color w:val="auto"/>
              </w:rPr>
            </w:pPr>
            <w:r>
              <w:rPr>
                <w:rFonts w:ascii="Courier New" w:cs="Courier New" w:eastAsia="Courier New" w:hAnsi="Courier New"/>
                <w:sz w:val="15"/>
                <w:szCs w:val="15"/>
                <w:color w:val="auto"/>
                <w:w w:val="99"/>
              </w:rPr>
              <w:t>Subsidiaries.............................................................................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33</w:t>
            </w:r>
          </w:p>
        </w:tc>
      </w:tr>
      <w:tr>
        <w:trPr>
          <w:trHeight w:val="336"/>
        </w:trPr>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SECTION 4.17</w:t>
            </w:r>
          </w:p>
        </w:tc>
        <w:tc>
          <w:tcPr>
            <w:tcW w:w="7960" w:type="dxa"/>
            <w:vAlign w:val="bottom"/>
          </w:tcPr>
          <w:p>
            <w:pPr>
              <w:jc w:val="right"/>
              <w:spacing w:after="0"/>
              <w:rPr>
                <w:sz w:val="20"/>
                <w:szCs w:val="20"/>
                <w:color w:val="auto"/>
              </w:rPr>
            </w:pPr>
            <w:r>
              <w:rPr>
                <w:rFonts w:ascii="Courier New" w:cs="Courier New" w:eastAsia="Courier New" w:hAnsi="Courier New"/>
                <w:sz w:val="15"/>
                <w:szCs w:val="15"/>
                <w:color w:val="auto"/>
                <w:w w:val="99"/>
              </w:rPr>
              <w:t>Fees and Enforcement.....................................................................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33</w:t>
            </w:r>
          </w:p>
        </w:tc>
      </w:tr>
      <w:tr>
        <w:trPr>
          <w:trHeight w:val="336"/>
        </w:trPr>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SECTION 4.18</w:t>
            </w:r>
          </w:p>
        </w:tc>
        <w:tc>
          <w:tcPr>
            <w:tcW w:w="7960" w:type="dxa"/>
            <w:vAlign w:val="bottom"/>
          </w:tcPr>
          <w:p>
            <w:pPr>
              <w:jc w:val="right"/>
              <w:spacing w:after="0"/>
              <w:rPr>
                <w:sz w:val="20"/>
                <w:szCs w:val="20"/>
                <w:color w:val="auto"/>
              </w:rPr>
            </w:pPr>
            <w:r>
              <w:rPr>
                <w:rFonts w:ascii="Courier New" w:cs="Courier New" w:eastAsia="Courier New" w:hAnsi="Courier New"/>
                <w:sz w:val="15"/>
                <w:szCs w:val="15"/>
                <w:color w:val="auto"/>
                <w:w w:val="99"/>
              </w:rPr>
              <w:t>Form of Documentation....................................................................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33</w:t>
            </w:r>
          </w:p>
        </w:tc>
      </w:tr>
      <w:tr>
        <w:trPr>
          <w:trHeight w:val="336"/>
        </w:trPr>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SECTION 4.19</w:t>
            </w:r>
          </w:p>
        </w:tc>
        <w:tc>
          <w:tcPr>
            <w:tcW w:w="7960" w:type="dxa"/>
            <w:vAlign w:val="bottom"/>
          </w:tcPr>
          <w:p>
            <w:pPr>
              <w:jc w:val="right"/>
              <w:spacing w:after="0"/>
              <w:rPr>
                <w:sz w:val="20"/>
                <w:szCs w:val="20"/>
                <w:color w:val="auto"/>
              </w:rPr>
            </w:pPr>
            <w:r>
              <w:rPr>
                <w:rFonts w:ascii="Courier New" w:cs="Courier New" w:eastAsia="Courier New" w:hAnsi="Courier New"/>
                <w:sz w:val="15"/>
                <w:szCs w:val="15"/>
                <w:color w:val="auto"/>
                <w:w w:val="99"/>
              </w:rPr>
              <w:t>Withholding and Value-Added Taxes........................................................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33</w:t>
            </w:r>
          </w:p>
        </w:tc>
      </w:tr>
      <w:tr>
        <w:trPr>
          <w:trHeight w:val="336"/>
        </w:trPr>
        <w:tc>
          <w:tcPr>
            <w:tcW w:w="9800" w:type="dxa"/>
            <w:vAlign w:val="bottom"/>
            <w:gridSpan w:val="3"/>
          </w:tcPr>
          <w:p>
            <w:pPr>
              <w:spacing w:after="0"/>
              <w:rPr>
                <w:sz w:val="20"/>
                <w:szCs w:val="20"/>
                <w:color w:val="auto"/>
              </w:rPr>
            </w:pPr>
            <w:r>
              <w:rPr>
                <w:rFonts w:ascii="Courier New" w:cs="Courier New" w:eastAsia="Courier New" w:hAnsi="Courier New"/>
                <w:sz w:val="15"/>
                <w:szCs w:val="15"/>
                <w:color w:val="auto"/>
                <w:w w:val="97"/>
              </w:rPr>
              <w:t>ARTICLE V  COVENANTS OF THE CREDIT PARTIES......................................................................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34</w:t>
            </w:r>
          </w:p>
        </w:tc>
      </w:tr>
      <w:tr>
        <w:trPr>
          <w:trHeight w:val="336"/>
        </w:trPr>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SECTION 5.01</w:t>
            </w:r>
          </w:p>
        </w:tc>
        <w:tc>
          <w:tcPr>
            <w:tcW w:w="7960" w:type="dxa"/>
            <w:vAlign w:val="bottom"/>
          </w:tcPr>
          <w:p>
            <w:pPr>
              <w:jc w:val="right"/>
              <w:spacing w:after="0"/>
              <w:rPr>
                <w:sz w:val="20"/>
                <w:szCs w:val="20"/>
                <w:color w:val="auto"/>
              </w:rPr>
            </w:pPr>
            <w:r>
              <w:rPr>
                <w:rFonts w:ascii="Courier New" w:cs="Courier New" w:eastAsia="Courier New" w:hAnsi="Courier New"/>
                <w:sz w:val="15"/>
                <w:szCs w:val="15"/>
                <w:color w:val="auto"/>
                <w:w w:val="99"/>
              </w:rPr>
              <w:t>Affirmative Covenants....................................................................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34</w:t>
            </w:r>
          </w:p>
        </w:tc>
      </w:tr>
      <w:tr>
        <w:trPr>
          <w:trHeight w:val="336"/>
        </w:trPr>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SECTION 5.02</w:t>
            </w:r>
          </w:p>
        </w:tc>
        <w:tc>
          <w:tcPr>
            <w:tcW w:w="7960" w:type="dxa"/>
            <w:vAlign w:val="bottom"/>
          </w:tcPr>
          <w:p>
            <w:pPr>
              <w:jc w:val="right"/>
              <w:spacing w:after="0"/>
              <w:rPr>
                <w:sz w:val="20"/>
                <w:szCs w:val="20"/>
                <w:color w:val="auto"/>
              </w:rPr>
            </w:pPr>
            <w:r>
              <w:rPr>
                <w:rFonts w:ascii="Courier New" w:cs="Courier New" w:eastAsia="Courier New" w:hAnsi="Courier New"/>
                <w:sz w:val="15"/>
                <w:szCs w:val="15"/>
                <w:color w:val="auto"/>
                <w:w w:val="99"/>
              </w:rPr>
              <w:t>Negative Covenants.......................................................................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36</w:t>
            </w:r>
          </w:p>
        </w:tc>
      </w:tr>
      <w:tr>
        <w:trPr>
          <w:trHeight w:val="336"/>
        </w:trPr>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SECTION 5.03</w:t>
            </w:r>
          </w:p>
        </w:tc>
        <w:tc>
          <w:tcPr>
            <w:tcW w:w="7960" w:type="dxa"/>
            <w:vAlign w:val="bottom"/>
          </w:tcPr>
          <w:p>
            <w:pPr>
              <w:jc w:val="right"/>
              <w:spacing w:after="0"/>
              <w:rPr>
                <w:sz w:val="20"/>
                <w:szCs w:val="20"/>
                <w:color w:val="auto"/>
              </w:rPr>
            </w:pPr>
            <w:r>
              <w:rPr>
                <w:rFonts w:ascii="Courier New" w:cs="Courier New" w:eastAsia="Courier New" w:hAnsi="Courier New"/>
                <w:sz w:val="15"/>
                <w:szCs w:val="15"/>
                <w:color w:val="auto"/>
                <w:w w:val="99"/>
              </w:rPr>
              <w:t>Reporting Requirements...................................................................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39</w:t>
            </w:r>
          </w:p>
        </w:tc>
      </w:tr>
      <w:tr>
        <w:trPr>
          <w:trHeight w:val="336"/>
        </w:trPr>
        <w:tc>
          <w:tcPr>
            <w:tcW w:w="1060" w:type="dxa"/>
            <w:vAlign w:val="bottom"/>
          </w:tcPr>
          <w:p>
            <w:pPr>
              <w:spacing w:after="0"/>
              <w:rPr>
                <w:sz w:val="20"/>
                <w:szCs w:val="20"/>
                <w:color w:val="auto"/>
              </w:rPr>
            </w:pPr>
            <w:r>
              <w:rPr>
                <w:rFonts w:ascii="Courier New" w:cs="Courier New" w:eastAsia="Courier New" w:hAnsi="Courier New"/>
                <w:sz w:val="15"/>
                <w:szCs w:val="15"/>
                <w:color w:val="auto"/>
              </w:rPr>
              <w:t>ARTICLE VI</w:t>
            </w:r>
          </w:p>
        </w:tc>
        <w:tc>
          <w:tcPr>
            <w:tcW w:w="87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EVENTS OF DEFAULT...................................................................................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41</w:t>
            </w:r>
          </w:p>
        </w:tc>
      </w:tr>
      <w:tr>
        <w:trPr>
          <w:trHeight w:val="336"/>
        </w:trPr>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SECTION 6.01</w:t>
            </w:r>
          </w:p>
        </w:tc>
        <w:tc>
          <w:tcPr>
            <w:tcW w:w="7960" w:type="dxa"/>
            <w:vAlign w:val="bottom"/>
          </w:tcPr>
          <w:p>
            <w:pPr>
              <w:jc w:val="right"/>
              <w:spacing w:after="0"/>
              <w:rPr>
                <w:sz w:val="20"/>
                <w:szCs w:val="20"/>
                <w:color w:val="auto"/>
              </w:rPr>
            </w:pPr>
            <w:r>
              <w:rPr>
                <w:rFonts w:ascii="Courier New" w:cs="Courier New" w:eastAsia="Courier New" w:hAnsi="Courier New"/>
                <w:sz w:val="15"/>
                <w:szCs w:val="15"/>
                <w:color w:val="auto"/>
                <w:w w:val="99"/>
              </w:rPr>
              <w:t>Events of Default........................................................................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41</w:t>
            </w:r>
          </w:p>
        </w:tc>
      </w:tr>
      <w:tr>
        <w:trPr>
          <w:trHeight w:val="336"/>
        </w:trPr>
        <w:tc>
          <w:tcPr>
            <w:tcW w:w="1060" w:type="dxa"/>
            <w:vAlign w:val="bottom"/>
          </w:tcPr>
          <w:p>
            <w:pPr>
              <w:spacing w:after="0"/>
              <w:rPr>
                <w:sz w:val="20"/>
                <w:szCs w:val="20"/>
                <w:color w:val="auto"/>
              </w:rPr>
            </w:pPr>
            <w:r>
              <w:rPr>
                <w:rFonts w:ascii="Courier New" w:cs="Courier New" w:eastAsia="Courier New" w:hAnsi="Courier New"/>
                <w:sz w:val="15"/>
                <w:szCs w:val="15"/>
                <w:color w:val="auto"/>
              </w:rPr>
              <w:t>ARTICLE VII</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GUARANTY</w:t>
            </w:r>
          </w:p>
        </w:tc>
        <w:tc>
          <w:tcPr>
            <w:tcW w:w="796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43</w:t>
            </w:r>
          </w:p>
        </w:tc>
      </w:tr>
      <w:tr>
        <w:trPr>
          <w:trHeight w:val="336"/>
        </w:trPr>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SECTION 7.01</w:t>
            </w:r>
          </w:p>
        </w:tc>
        <w:tc>
          <w:tcPr>
            <w:tcW w:w="7960" w:type="dxa"/>
            <w:vAlign w:val="bottom"/>
          </w:tcPr>
          <w:p>
            <w:pPr>
              <w:jc w:val="right"/>
              <w:spacing w:after="0"/>
              <w:rPr>
                <w:sz w:val="20"/>
                <w:szCs w:val="20"/>
                <w:color w:val="auto"/>
              </w:rPr>
            </w:pPr>
            <w:r>
              <w:rPr>
                <w:rFonts w:ascii="Courier New" w:cs="Courier New" w:eastAsia="Courier New" w:hAnsi="Courier New"/>
                <w:sz w:val="15"/>
                <w:szCs w:val="15"/>
                <w:color w:val="auto"/>
                <w:w w:val="99"/>
              </w:rPr>
              <w:t>The Guaranteed Obligations...............................................................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43</w:t>
            </w:r>
          </w:p>
        </w:tc>
      </w:tr>
      <w:tr>
        <w:trPr>
          <w:trHeight w:val="336"/>
        </w:trPr>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SECTION 7.02</w:t>
            </w:r>
          </w:p>
        </w:tc>
        <w:tc>
          <w:tcPr>
            <w:tcW w:w="7960" w:type="dxa"/>
            <w:vAlign w:val="bottom"/>
          </w:tcPr>
          <w:p>
            <w:pPr>
              <w:jc w:val="right"/>
              <w:spacing w:after="0"/>
              <w:rPr>
                <w:sz w:val="20"/>
                <w:szCs w:val="20"/>
                <w:color w:val="auto"/>
              </w:rPr>
            </w:pPr>
            <w:r>
              <w:rPr>
                <w:rFonts w:ascii="Courier New" w:cs="Courier New" w:eastAsia="Courier New" w:hAnsi="Courier New"/>
                <w:sz w:val="15"/>
                <w:szCs w:val="15"/>
                <w:color w:val="auto"/>
                <w:w w:val="99"/>
              </w:rPr>
              <w:t>Continuing Obligation....................................................................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43</w:t>
            </w:r>
          </w:p>
        </w:tc>
      </w:tr>
      <w:tr>
        <w:trPr>
          <w:trHeight w:val="336"/>
        </w:trPr>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SECTION 7.03</w:t>
            </w:r>
          </w:p>
        </w:tc>
        <w:tc>
          <w:tcPr>
            <w:tcW w:w="7960" w:type="dxa"/>
            <w:vAlign w:val="bottom"/>
          </w:tcPr>
          <w:p>
            <w:pPr>
              <w:jc w:val="right"/>
              <w:spacing w:after="0"/>
              <w:rPr>
                <w:sz w:val="20"/>
                <w:szCs w:val="20"/>
                <w:color w:val="auto"/>
              </w:rPr>
            </w:pPr>
            <w:r>
              <w:rPr>
                <w:rFonts w:ascii="Courier New" w:cs="Courier New" w:eastAsia="Courier New" w:hAnsi="Courier New"/>
                <w:sz w:val="15"/>
                <w:szCs w:val="15"/>
                <w:color w:val="auto"/>
                <w:w w:val="99"/>
              </w:rPr>
              <w:t>No Discharge.............................................................................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43</w:t>
            </w:r>
          </w:p>
        </w:tc>
      </w:tr>
      <w:tr>
        <w:trPr>
          <w:trHeight w:val="336"/>
        </w:trPr>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SECTION 7.04</w:t>
            </w:r>
          </w:p>
        </w:tc>
        <w:tc>
          <w:tcPr>
            <w:tcW w:w="7960" w:type="dxa"/>
            <w:vAlign w:val="bottom"/>
          </w:tcPr>
          <w:p>
            <w:pPr>
              <w:jc w:val="right"/>
              <w:spacing w:after="0"/>
              <w:rPr>
                <w:sz w:val="20"/>
                <w:szCs w:val="20"/>
                <w:color w:val="auto"/>
              </w:rPr>
            </w:pPr>
            <w:r>
              <w:rPr>
                <w:rFonts w:ascii="Courier New" w:cs="Courier New" w:eastAsia="Courier New" w:hAnsi="Courier New"/>
                <w:sz w:val="15"/>
                <w:szCs w:val="15"/>
                <w:color w:val="auto"/>
                <w:w w:val="99"/>
              </w:rPr>
              <w:t>Tolling of Statute of Limitations........................................................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44</w:t>
            </w:r>
          </w:p>
        </w:tc>
      </w:tr>
      <w:tr>
        <w:trPr>
          <w:trHeight w:val="336"/>
        </w:trPr>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SECTION 7.05</w:t>
            </w:r>
          </w:p>
        </w:tc>
        <w:tc>
          <w:tcPr>
            <w:tcW w:w="7960" w:type="dxa"/>
            <w:vAlign w:val="bottom"/>
          </w:tcPr>
          <w:p>
            <w:pPr>
              <w:jc w:val="right"/>
              <w:spacing w:after="0"/>
              <w:rPr>
                <w:sz w:val="20"/>
                <w:szCs w:val="20"/>
                <w:color w:val="auto"/>
              </w:rPr>
            </w:pPr>
            <w:r>
              <w:rPr>
                <w:rFonts w:ascii="Courier New" w:cs="Courier New" w:eastAsia="Courier New" w:hAnsi="Courier New"/>
                <w:sz w:val="15"/>
                <w:szCs w:val="15"/>
                <w:color w:val="auto"/>
                <w:w w:val="99"/>
              </w:rPr>
              <w:t>Bankruptcy...............................................................................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44</w:t>
            </w:r>
          </w:p>
        </w:tc>
      </w:tr>
      <w:tr>
        <w:trPr>
          <w:trHeight w:val="336"/>
        </w:trPr>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SECTION 7.06</w:t>
            </w:r>
          </w:p>
        </w:tc>
        <w:tc>
          <w:tcPr>
            <w:tcW w:w="7960" w:type="dxa"/>
            <w:vAlign w:val="bottom"/>
          </w:tcPr>
          <w:p>
            <w:pPr>
              <w:jc w:val="right"/>
              <w:spacing w:after="0"/>
              <w:rPr>
                <w:sz w:val="20"/>
                <w:szCs w:val="20"/>
                <w:color w:val="auto"/>
              </w:rPr>
            </w:pPr>
            <w:r>
              <w:rPr>
                <w:rFonts w:ascii="Courier New" w:cs="Courier New" w:eastAsia="Courier New" w:hAnsi="Courier New"/>
                <w:sz w:val="15"/>
                <w:szCs w:val="15"/>
                <w:color w:val="auto"/>
                <w:w w:val="99"/>
              </w:rPr>
              <w:t>Independent Obligation...................................................................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44</w:t>
            </w:r>
          </w:p>
        </w:tc>
      </w:tr>
      <w:tr>
        <w:trPr>
          <w:trHeight w:val="336"/>
        </w:trPr>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SECTION 7.07</w:t>
            </w:r>
          </w:p>
        </w:tc>
        <w:tc>
          <w:tcPr>
            <w:tcW w:w="7960" w:type="dxa"/>
            <w:vAlign w:val="bottom"/>
          </w:tcPr>
          <w:p>
            <w:pPr>
              <w:jc w:val="right"/>
              <w:spacing w:after="0"/>
              <w:rPr>
                <w:sz w:val="20"/>
                <w:szCs w:val="20"/>
                <w:color w:val="auto"/>
              </w:rPr>
            </w:pPr>
            <w:r>
              <w:rPr>
                <w:rFonts w:ascii="Courier New" w:cs="Courier New" w:eastAsia="Courier New" w:hAnsi="Courier New"/>
                <w:sz w:val="15"/>
                <w:szCs w:val="15"/>
                <w:color w:val="auto"/>
                <w:w w:val="99"/>
              </w:rPr>
              <w:t>Authorization............................................................................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44</w:t>
            </w:r>
          </w:p>
        </w:tc>
      </w:tr>
      <w:tr>
        <w:trPr>
          <w:trHeight w:val="336"/>
        </w:trPr>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SECTION 7.08</w:t>
            </w:r>
          </w:p>
        </w:tc>
        <w:tc>
          <w:tcPr>
            <w:tcW w:w="7960" w:type="dxa"/>
            <w:vAlign w:val="bottom"/>
          </w:tcPr>
          <w:p>
            <w:pPr>
              <w:jc w:val="right"/>
              <w:spacing w:after="0"/>
              <w:rPr>
                <w:sz w:val="20"/>
                <w:szCs w:val="20"/>
                <w:color w:val="auto"/>
              </w:rPr>
            </w:pPr>
            <w:r>
              <w:rPr>
                <w:rFonts w:ascii="Courier New" w:cs="Courier New" w:eastAsia="Courier New" w:hAnsi="Courier New"/>
                <w:sz w:val="15"/>
                <w:szCs w:val="15"/>
                <w:color w:val="auto"/>
                <w:w w:val="99"/>
              </w:rPr>
              <w:t>Reliance.................................................................................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45</w:t>
            </w:r>
          </w:p>
        </w:tc>
      </w:tr>
      <w:tr>
        <w:trPr>
          <w:trHeight w:val="336"/>
        </w:trPr>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SECTION 7.09</w:t>
            </w:r>
          </w:p>
        </w:tc>
        <w:tc>
          <w:tcPr>
            <w:tcW w:w="7960" w:type="dxa"/>
            <w:vAlign w:val="bottom"/>
          </w:tcPr>
          <w:p>
            <w:pPr>
              <w:jc w:val="right"/>
              <w:spacing w:after="0"/>
              <w:rPr>
                <w:sz w:val="20"/>
                <w:szCs w:val="20"/>
                <w:color w:val="auto"/>
              </w:rPr>
            </w:pPr>
            <w:r>
              <w:rPr>
                <w:rFonts w:ascii="Courier New" w:cs="Courier New" w:eastAsia="Courier New" w:hAnsi="Courier New"/>
                <w:sz w:val="15"/>
                <w:szCs w:val="15"/>
                <w:color w:val="auto"/>
                <w:w w:val="99"/>
              </w:rPr>
              <w:t>Waiver...................................................................................</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45</w:t>
            </w:r>
          </w:p>
        </w:tc>
      </w:tr>
      <w:tr>
        <w:trPr>
          <w:trHeight w:val="336"/>
        </w:trPr>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SECTION 7.10</w:t>
            </w:r>
          </w:p>
        </w:tc>
        <w:tc>
          <w:tcPr>
            <w:tcW w:w="7960" w:type="dxa"/>
            <w:vAlign w:val="bottom"/>
          </w:tcPr>
          <w:p>
            <w:pPr>
              <w:jc w:val="right"/>
              <w:spacing w:after="0"/>
              <w:rPr>
                <w:sz w:val="20"/>
                <w:szCs w:val="20"/>
                <w:color w:val="auto"/>
              </w:rPr>
            </w:pPr>
            <w:r>
              <w:rPr>
                <w:rFonts w:ascii="Courier New" w:cs="Courier New" w:eastAsia="Courier New" w:hAnsi="Courier New"/>
                <w:sz w:val="15"/>
                <w:szCs w:val="15"/>
                <w:color w:val="auto"/>
                <w:w w:val="99"/>
              </w:rPr>
              <w:t>Nature of Liability......................................................................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46</w:t>
            </w:r>
          </w:p>
        </w:tc>
      </w:tr>
      <w:tr>
        <w:trPr>
          <w:trHeight w:val="336"/>
        </w:trPr>
        <w:tc>
          <w:tcPr>
            <w:tcW w:w="1060" w:type="dxa"/>
            <w:vAlign w:val="bottom"/>
          </w:tcPr>
          <w:p>
            <w:pPr>
              <w:spacing w:after="0"/>
              <w:rPr>
                <w:sz w:val="20"/>
                <w:szCs w:val="20"/>
                <w:color w:val="auto"/>
              </w:rPr>
            </w:pPr>
            <w:r>
              <w:rPr>
                <w:rFonts w:ascii="Courier New" w:cs="Courier New" w:eastAsia="Courier New" w:hAnsi="Courier New"/>
                <w:sz w:val="15"/>
                <w:szCs w:val="15"/>
                <w:color w:val="auto"/>
                <w:w w:val="96"/>
              </w:rPr>
              <w:t>ARTICLE VIII</w:t>
            </w:r>
          </w:p>
        </w:tc>
        <w:tc>
          <w:tcPr>
            <w:tcW w:w="87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THE ADMINISTRATIVE AGENT..........................................................................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46</w:t>
            </w:r>
          </w:p>
        </w:tc>
      </w:tr>
      <w:tr>
        <w:trPr>
          <w:trHeight w:val="336"/>
        </w:trPr>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SECTION 8.01</w:t>
            </w:r>
          </w:p>
        </w:tc>
        <w:tc>
          <w:tcPr>
            <w:tcW w:w="7960" w:type="dxa"/>
            <w:vAlign w:val="bottom"/>
          </w:tcPr>
          <w:p>
            <w:pPr>
              <w:jc w:val="right"/>
              <w:spacing w:after="0"/>
              <w:rPr>
                <w:sz w:val="20"/>
                <w:szCs w:val="20"/>
                <w:color w:val="auto"/>
              </w:rPr>
            </w:pPr>
            <w:r>
              <w:rPr>
                <w:rFonts w:ascii="Courier New" w:cs="Courier New" w:eastAsia="Courier New" w:hAnsi="Courier New"/>
                <w:sz w:val="15"/>
                <w:szCs w:val="15"/>
                <w:color w:val="auto"/>
                <w:w w:val="99"/>
              </w:rPr>
              <w:t>Authorization and Action.................................................................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46</w:t>
            </w:r>
          </w:p>
        </w:tc>
      </w:tr>
      <w:tr>
        <w:trPr>
          <w:trHeight w:val="336"/>
        </w:trPr>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SECTION 8.02</w:t>
            </w:r>
          </w:p>
        </w:tc>
        <w:tc>
          <w:tcPr>
            <w:tcW w:w="7960" w:type="dxa"/>
            <w:vAlign w:val="bottom"/>
          </w:tcPr>
          <w:p>
            <w:pPr>
              <w:jc w:val="right"/>
              <w:spacing w:after="0"/>
              <w:rPr>
                <w:sz w:val="20"/>
                <w:szCs w:val="20"/>
                <w:color w:val="auto"/>
              </w:rPr>
            </w:pPr>
            <w:r>
              <w:rPr>
                <w:rFonts w:ascii="Courier New" w:cs="Courier New" w:eastAsia="Courier New" w:hAnsi="Courier New"/>
                <w:sz w:val="15"/>
                <w:szCs w:val="15"/>
                <w:color w:val="auto"/>
                <w:w w:val="99"/>
              </w:rPr>
              <w:t>Duties and Reliance, Etc.................................................................</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47</w:t>
            </w:r>
          </w:p>
        </w:tc>
      </w:tr>
      <w:tr>
        <w:trPr>
          <w:trHeight w:val="336"/>
        </w:trPr>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SECTION 8.03</w:t>
            </w:r>
          </w:p>
        </w:tc>
        <w:tc>
          <w:tcPr>
            <w:tcW w:w="7960" w:type="dxa"/>
            <w:vAlign w:val="bottom"/>
          </w:tcPr>
          <w:p>
            <w:pPr>
              <w:jc w:val="right"/>
              <w:spacing w:after="0"/>
              <w:rPr>
                <w:sz w:val="20"/>
                <w:szCs w:val="20"/>
                <w:color w:val="auto"/>
              </w:rPr>
            </w:pPr>
            <w:r>
              <w:rPr>
                <w:rFonts w:ascii="Courier New" w:cs="Courier New" w:eastAsia="Courier New" w:hAnsi="Courier New"/>
                <w:sz w:val="15"/>
                <w:szCs w:val="15"/>
                <w:color w:val="auto"/>
                <w:w w:val="99"/>
              </w:rPr>
              <w:t>Administrative Agent and Affiliates......................................................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47</w:t>
            </w:r>
          </w:p>
        </w:tc>
      </w:tr>
      <w:tr>
        <w:trPr>
          <w:trHeight w:val="336"/>
        </w:trPr>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SECTION 8.04</w:t>
            </w:r>
          </w:p>
        </w:tc>
        <w:tc>
          <w:tcPr>
            <w:tcW w:w="7960" w:type="dxa"/>
            <w:vAlign w:val="bottom"/>
          </w:tcPr>
          <w:p>
            <w:pPr>
              <w:jc w:val="right"/>
              <w:spacing w:after="0"/>
              <w:rPr>
                <w:sz w:val="20"/>
                <w:szCs w:val="20"/>
                <w:color w:val="auto"/>
              </w:rPr>
            </w:pPr>
            <w:r>
              <w:rPr>
                <w:rFonts w:ascii="Courier New" w:cs="Courier New" w:eastAsia="Courier New" w:hAnsi="Courier New"/>
                <w:sz w:val="15"/>
                <w:szCs w:val="15"/>
                <w:color w:val="auto"/>
                <w:w w:val="99"/>
              </w:rPr>
              <w:t>Lender Credit Decision...................................................................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48</w:t>
            </w:r>
          </w:p>
        </w:tc>
      </w:tr>
      <w:tr>
        <w:trPr>
          <w:trHeight w:val="336"/>
        </w:trPr>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SECTION 8.05</w:t>
            </w:r>
          </w:p>
        </w:tc>
        <w:tc>
          <w:tcPr>
            <w:tcW w:w="7960" w:type="dxa"/>
            <w:vAlign w:val="bottom"/>
          </w:tcPr>
          <w:p>
            <w:pPr>
              <w:jc w:val="right"/>
              <w:spacing w:after="0"/>
              <w:rPr>
                <w:sz w:val="20"/>
                <w:szCs w:val="20"/>
                <w:color w:val="auto"/>
              </w:rPr>
            </w:pPr>
            <w:r>
              <w:rPr>
                <w:rFonts w:ascii="Courier New" w:cs="Courier New" w:eastAsia="Courier New" w:hAnsi="Courier New"/>
                <w:sz w:val="15"/>
                <w:szCs w:val="15"/>
                <w:color w:val="auto"/>
                <w:w w:val="99"/>
              </w:rPr>
              <w:t>Indemnification..........................................................................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48</w:t>
            </w:r>
          </w:p>
        </w:tc>
      </w:tr>
      <w:tr>
        <w:trPr>
          <w:trHeight w:val="336"/>
        </w:trPr>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SECTION 8.06</w:t>
            </w:r>
          </w:p>
        </w:tc>
        <w:tc>
          <w:tcPr>
            <w:tcW w:w="7960" w:type="dxa"/>
            <w:vAlign w:val="bottom"/>
          </w:tcPr>
          <w:p>
            <w:pPr>
              <w:jc w:val="right"/>
              <w:spacing w:after="0"/>
              <w:rPr>
                <w:sz w:val="20"/>
                <w:szCs w:val="20"/>
                <w:color w:val="auto"/>
              </w:rPr>
            </w:pPr>
            <w:r>
              <w:rPr>
                <w:rFonts w:ascii="Courier New" w:cs="Courier New" w:eastAsia="Courier New" w:hAnsi="Courier New"/>
                <w:sz w:val="15"/>
                <w:szCs w:val="15"/>
                <w:color w:val="auto"/>
                <w:w w:val="99"/>
              </w:rPr>
              <w:t>Successors to Administrative Agent.......................................................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48</w:t>
            </w:r>
          </w:p>
        </w:tc>
      </w:tr>
      <w:tr>
        <w:trPr>
          <w:trHeight w:val="336"/>
        </w:trPr>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SECTION 8.07</w:t>
            </w:r>
          </w:p>
        </w:tc>
        <w:tc>
          <w:tcPr>
            <w:tcW w:w="7960" w:type="dxa"/>
            <w:vAlign w:val="bottom"/>
          </w:tcPr>
          <w:p>
            <w:pPr>
              <w:jc w:val="right"/>
              <w:spacing w:after="0"/>
              <w:rPr>
                <w:sz w:val="20"/>
                <w:szCs w:val="20"/>
                <w:color w:val="auto"/>
              </w:rPr>
            </w:pPr>
            <w:r>
              <w:rPr>
                <w:rFonts w:ascii="Courier New" w:cs="Courier New" w:eastAsia="Courier New" w:hAnsi="Courier New"/>
                <w:sz w:val="15"/>
                <w:szCs w:val="15"/>
                <w:color w:val="auto"/>
                <w:w w:val="99"/>
              </w:rPr>
              <w:t>Documentation Agent; Syndication Agent; Arrangers........................................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49</w:t>
            </w:r>
          </w:p>
        </w:tc>
      </w:tr>
      <w:tr>
        <w:trPr>
          <w:trHeight w:val="336"/>
        </w:trPr>
        <w:tc>
          <w:tcPr>
            <w:tcW w:w="1060" w:type="dxa"/>
            <w:vAlign w:val="bottom"/>
          </w:tcPr>
          <w:p>
            <w:pPr>
              <w:spacing w:after="0"/>
              <w:rPr>
                <w:sz w:val="20"/>
                <w:szCs w:val="20"/>
                <w:color w:val="auto"/>
              </w:rPr>
            </w:pPr>
            <w:r>
              <w:rPr>
                <w:rFonts w:ascii="Courier New" w:cs="Courier New" w:eastAsia="Courier New" w:hAnsi="Courier New"/>
                <w:sz w:val="15"/>
                <w:szCs w:val="15"/>
                <w:color w:val="auto"/>
              </w:rPr>
              <w:t>ARTICLE IX</w:t>
            </w:r>
          </w:p>
        </w:tc>
        <w:tc>
          <w:tcPr>
            <w:tcW w:w="87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MISCELLANEOUS.......................................................................................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49</w:t>
            </w:r>
          </w:p>
        </w:tc>
      </w:tr>
      <w:tr>
        <w:trPr>
          <w:trHeight w:val="336"/>
        </w:trPr>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SECTION 9.01</w:t>
            </w:r>
          </w:p>
        </w:tc>
        <w:tc>
          <w:tcPr>
            <w:tcW w:w="7960" w:type="dxa"/>
            <w:vAlign w:val="bottom"/>
          </w:tcPr>
          <w:p>
            <w:pPr>
              <w:jc w:val="right"/>
              <w:spacing w:after="0"/>
              <w:rPr>
                <w:sz w:val="20"/>
                <w:szCs w:val="20"/>
                <w:color w:val="auto"/>
              </w:rPr>
            </w:pPr>
            <w:r>
              <w:rPr>
                <w:rFonts w:ascii="Courier New" w:cs="Courier New" w:eastAsia="Courier New" w:hAnsi="Courier New"/>
                <w:sz w:val="15"/>
                <w:szCs w:val="15"/>
                <w:color w:val="auto"/>
                <w:w w:val="99"/>
              </w:rPr>
              <w:t>Amendments, Etc..........................................................................</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49</w:t>
            </w:r>
          </w:p>
        </w:tc>
      </w:tr>
      <w:tr>
        <w:trPr>
          <w:trHeight w:val="336"/>
        </w:trPr>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SECTION 9.02</w:t>
            </w:r>
          </w:p>
        </w:tc>
        <w:tc>
          <w:tcPr>
            <w:tcW w:w="7960" w:type="dxa"/>
            <w:vAlign w:val="bottom"/>
          </w:tcPr>
          <w:p>
            <w:pPr>
              <w:jc w:val="right"/>
              <w:spacing w:after="0"/>
              <w:rPr>
                <w:sz w:val="20"/>
                <w:szCs w:val="20"/>
                <w:color w:val="auto"/>
              </w:rPr>
            </w:pPr>
            <w:r>
              <w:rPr>
                <w:rFonts w:ascii="Courier New" w:cs="Courier New" w:eastAsia="Courier New" w:hAnsi="Courier New"/>
                <w:sz w:val="15"/>
                <w:szCs w:val="15"/>
                <w:color w:val="auto"/>
                <w:w w:val="99"/>
              </w:rPr>
              <w:t>Notices, Etc.............................................................................</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49</w:t>
            </w:r>
          </w:p>
        </w:tc>
      </w:tr>
      <w:tr>
        <w:trPr>
          <w:trHeight w:val="336"/>
        </w:trPr>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SECTION 9.03</w:t>
            </w:r>
          </w:p>
        </w:tc>
        <w:tc>
          <w:tcPr>
            <w:tcW w:w="7960" w:type="dxa"/>
            <w:vAlign w:val="bottom"/>
          </w:tcPr>
          <w:p>
            <w:pPr>
              <w:jc w:val="right"/>
              <w:spacing w:after="0"/>
              <w:rPr>
                <w:sz w:val="20"/>
                <w:szCs w:val="20"/>
                <w:color w:val="auto"/>
              </w:rPr>
            </w:pPr>
            <w:r>
              <w:rPr>
                <w:rFonts w:ascii="Courier New" w:cs="Courier New" w:eastAsia="Courier New" w:hAnsi="Courier New"/>
                <w:sz w:val="15"/>
                <w:szCs w:val="15"/>
                <w:color w:val="auto"/>
                <w:w w:val="99"/>
              </w:rPr>
              <w:t>No Waiver, Remedies......................................................................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50</w:t>
            </w:r>
          </w:p>
        </w:tc>
      </w:tr>
      <w:tr>
        <w:trPr>
          <w:trHeight w:val="505"/>
        </w:trPr>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960" w:type="dxa"/>
            <w:vAlign w:val="bottom"/>
          </w:tcPr>
          <w:p>
            <w:pPr>
              <w:jc w:val="right"/>
              <w:ind w:right="6227"/>
              <w:spacing w:after="0"/>
              <w:rPr>
                <w:sz w:val="20"/>
                <w:szCs w:val="20"/>
                <w:color w:val="auto"/>
              </w:rPr>
            </w:pPr>
            <w:r>
              <w:rPr>
                <w:rFonts w:ascii="Courier New" w:cs="Courier New" w:eastAsia="Courier New" w:hAnsi="Courier New"/>
                <w:sz w:val="15"/>
                <w:szCs w:val="15"/>
                <w:color w:val="auto"/>
              </w:rPr>
              <w:t>3</w:t>
            </w:r>
          </w:p>
        </w:tc>
        <w:tc>
          <w:tcPr>
            <w:tcW w:w="180" w:type="dxa"/>
            <w:vAlign w:val="bottom"/>
          </w:tcPr>
          <w:p>
            <w:pPr>
              <w:spacing w:after="0"/>
              <w:rPr>
                <w:sz w:val="24"/>
                <w:szCs w:val="24"/>
                <w:color w:val="auto"/>
              </w:rPr>
            </w:pPr>
          </w:p>
        </w:tc>
      </w:tr>
    </w:tbl>
    <w:p>
      <w:pPr>
        <w:sectPr>
          <w:pgSz w:w="11900" w:h="16838" w:orient="portrait"/>
          <w:cols w:equalWidth="0" w:num="1">
            <w:col w:w="10239"/>
          </w:cols>
          <w:pgMar w:left="220" w:top="1122" w:right="1440" w:bottom="1440" w:gutter="0" w:footer="0" w:header="0"/>
        </w:sectPr>
      </w:pPr>
    </w:p>
    <w:bookmarkStart w:id="218" w:name="page219"/>
    <w:bookmarkEnd w:id="218"/>
    <w:p>
      <w:pPr>
        <w:spacing w:after="0" w:line="1"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9.04</w:t>
            </w:r>
          </w:p>
        </w:tc>
        <w:tc>
          <w:tcPr>
            <w:tcW w:w="7860" w:type="dxa"/>
            <w:vAlign w:val="bottom"/>
          </w:tcPr>
          <w:p>
            <w:pPr>
              <w:ind w:left="80"/>
              <w:spacing w:after="0"/>
              <w:rPr>
                <w:sz w:val="20"/>
                <w:szCs w:val="20"/>
                <w:color w:val="auto"/>
              </w:rPr>
            </w:pPr>
            <w:r>
              <w:rPr>
                <w:rFonts w:ascii="Courier New" w:cs="Courier New" w:eastAsia="Courier New" w:hAnsi="Courier New"/>
                <w:sz w:val="15"/>
                <w:szCs w:val="15"/>
                <w:color w:val="auto"/>
                <w:w w:val="96"/>
              </w:rPr>
              <w:t>Costs, Expenses and Indemnification......................................................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50</w:t>
            </w: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9.05</w:t>
            </w:r>
          </w:p>
        </w:tc>
        <w:tc>
          <w:tcPr>
            <w:tcW w:w="7860" w:type="dxa"/>
            <w:vAlign w:val="bottom"/>
          </w:tcPr>
          <w:p>
            <w:pPr>
              <w:ind w:left="80"/>
              <w:spacing w:after="0"/>
              <w:rPr>
                <w:sz w:val="20"/>
                <w:szCs w:val="20"/>
                <w:color w:val="auto"/>
              </w:rPr>
            </w:pPr>
            <w:r>
              <w:rPr>
                <w:rFonts w:ascii="Courier New" w:cs="Courier New" w:eastAsia="Courier New" w:hAnsi="Courier New"/>
                <w:sz w:val="15"/>
                <w:szCs w:val="15"/>
                <w:color w:val="auto"/>
                <w:w w:val="96"/>
              </w:rPr>
              <w:t>Right of Set-off.........................................................................</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51</w:t>
            </w: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9.06</w:t>
            </w:r>
          </w:p>
        </w:tc>
        <w:tc>
          <w:tcPr>
            <w:tcW w:w="7860" w:type="dxa"/>
            <w:vAlign w:val="bottom"/>
          </w:tcPr>
          <w:p>
            <w:pPr>
              <w:ind w:left="80"/>
              <w:spacing w:after="0"/>
              <w:rPr>
                <w:sz w:val="20"/>
                <w:szCs w:val="20"/>
                <w:color w:val="auto"/>
              </w:rPr>
            </w:pPr>
            <w:r>
              <w:rPr>
                <w:rFonts w:ascii="Courier New" w:cs="Courier New" w:eastAsia="Courier New" w:hAnsi="Courier New"/>
                <w:sz w:val="15"/>
                <w:szCs w:val="15"/>
                <w:color w:val="auto"/>
                <w:w w:val="96"/>
              </w:rPr>
              <w:t>Binding Effect...........................................................................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51</w:t>
            </w: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9.07</w:t>
            </w:r>
          </w:p>
        </w:tc>
        <w:tc>
          <w:tcPr>
            <w:tcW w:w="7860" w:type="dxa"/>
            <w:vAlign w:val="bottom"/>
          </w:tcPr>
          <w:p>
            <w:pPr>
              <w:ind w:left="80"/>
              <w:spacing w:after="0"/>
              <w:rPr>
                <w:sz w:val="20"/>
                <w:szCs w:val="20"/>
                <w:color w:val="auto"/>
              </w:rPr>
            </w:pPr>
            <w:r>
              <w:rPr>
                <w:rFonts w:ascii="Courier New" w:cs="Courier New" w:eastAsia="Courier New" w:hAnsi="Courier New"/>
                <w:sz w:val="15"/>
                <w:szCs w:val="15"/>
                <w:color w:val="auto"/>
                <w:w w:val="96"/>
              </w:rPr>
              <w:t>Assignments and Participations...........................................................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51</w:t>
            </w: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9.08</w:t>
            </w:r>
          </w:p>
        </w:tc>
        <w:tc>
          <w:tcPr>
            <w:tcW w:w="7860" w:type="dxa"/>
            <w:vAlign w:val="bottom"/>
          </w:tcPr>
          <w:p>
            <w:pPr>
              <w:ind w:left="80"/>
              <w:spacing w:after="0"/>
              <w:rPr>
                <w:sz w:val="20"/>
                <w:szCs w:val="20"/>
                <w:color w:val="auto"/>
              </w:rPr>
            </w:pPr>
            <w:r>
              <w:rPr>
                <w:rFonts w:ascii="Courier New" w:cs="Courier New" w:eastAsia="Courier New" w:hAnsi="Courier New"/>
                <w:sz w:val="15"/>
                <w:szCs w:val="15"/>
                <w:color w:val="auto"/>
                <w:w w:val="96"/>
              </w:rPr>
              <w:t>Governing Law............................................................................</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53</w:t>
            </w: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9.09</w:t>
            </w:r>
          </w:p>
        </w:tc>
        <w:tc>
          <w:tcPr>
            <w:tcW w:w="7860" w:type="dxa"/>
            <w:vAlign w:val="bottom"/>
          </w:tcPr>
          <w:p>
            <w:pPr>
              <w:ind w:left="80"/>
              <w:spacing w:after="0"/>
              <w:rPr>
                <w:sz w:val="20"/>
                <w:szCs w:val="20"/>
                <w:color w:val="auto"/>
              </w:rPr>
            </w:pPr>
            <w:r>
              <w:rPr>
                <w:rFonts w:ascii="Courier New" w:cs="Courier New" w:eastAsia="Courier New" w:hAnsi="Courier New"/>
                <w:sz w:val="15"/>
                <w:szCs w:val="15"/>
                <w:color w:val="auto"/>
                <w:w w:val="96"/>
              </w:rPr>
              <w:t>Execution in Counterparts; Integration...................................................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53</w:t>
            </w: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9.10</w:t>
            </w:r>
          </w:p>
        </w:tc>
        <w:tc>
          <w:tcPr>
            <w:tcW w:w="7860" w:type="dxa"/>
            <w:vAlign w:val="bottom"/>
          </w:tcPr>
          <w:p>
            <w:pPr>
              <w:ind w:left="80"/>
              <w:spacing w:after="0"/>
              <w:rPr>
                <w:sz w:val="20"/>
                <w:szCs w:val="20"/>
                <w:color w:val="auto"/>
              </w:rPr>
            </w:pPr>
            <w:r>
              <w:rPr>
                <w:rFonts w:ascii="Courier New" w:cs="Courier New" w:eastAsia="Courier New" w:hAnsi="Courier New"/>
                <w:sz w:val="15"/>
                <w:szCs w:val="15"/>
                <w:color w:val="auto"/>
                <w:w w:val="96"/>
              </w:rPr>
              <w:t>Confidentiality..........................................................................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54</w:t>
            </w: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9.11</w:t>
            </w:r>
          </w:p>
        </w:tc>
        <w:tc>
          <w:tcPr>
            <w:tcW w:w="7860" w:type="dxa"/>
            <w:vAlign w:val="bottom"/>
          </w:tcPr>
          <w:p>
            <w:pPr>
              <w:ind w:left="80"/>
              <w:spacing w:after="0"/>
              <w:rPr>
                <w:sz w:val="20"/>
                <w:szCs w:val="20"/>
                <w:color w:val="auto"/>
              </w:rPr>
            </w:pPr>
            <w:r>
              <w:rPr>
                <w:rFonts w:ascii="Courier New" w:cs="Courier New" w:eastAsia="Courier New" w:hAnsi="Courier New"/>
                <w:sz w:val="15"/>
                <w:szCs w:val="15"/>
                <w:color w:val="auto"/>
                <w:w w:val="96"/>
              </w:rPr>
              <w:t>Judgment Currency........................................................................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54</w:t>
            </w:r>
          </w:p>
        </w:tc>
      </w:tr>
      <w:tr>
        <w:trPr>
          <w:trHeight w:val="336"/>
        </w:trPr>
        <w:tc>
          <w:tcPr>
            <w:tcW w:w="9000" w:type="dxa"/>
            <w:vAlign w:val="bottom"/>
            <w:gridSpan w:val="2"/>
          </w:tcPr>
          <w:p>
            <w:pPr>
              <w:spacing w:after="0"/>
              <w:rPr>
                <w:sz w:val="20"/>
                <w:szCs w:val="20"/>
                <w:color w:val="auto"/>
              </w:rPr>
            </w:pPr>
            <w:r>
              <w:rPr>
                <w:rFonts w:ascii="Courier New" w:cs="Courier New" w:eastAsia="Courier New" w:hAnsi="Courier New"/>
                <w:sz w:val="15"/>
                <w:szCs w:val="15"/>
                <w:color w:val="auto"/>
                <w:w w:val="96"/>
              </w:rPr>
              <w:t>SECTION 9.12  Consent to Jurisdiction..................................................................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54</w:t>
            </w: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9.13</w:t>
            </w:r>
          </w:p>
        </w:tc>
        <w:tc>
          <w:tcPr>
            <w:tcW w:w="7860" w:type="dxa"/>
            <w:vAlign w:val="bottom"/>
          </w:tcPr>
          <w:p>
            <w:pPr>
              <w:ind w:left="80"/>
              <w:spacing w:after="0"/>
              <w:rPr>
                <w:sz w:val="20"/>
                <w:szCs w:val="20"/>
                <w:color w:val="auto"/>
              </w:rPr>
            </w:pPr>
            <w:r>
              <w:rPr>
                <w:rFonts w:ascii="Courier New" w:cs="Courier New" w:eastAsia="Courier New" w:hAnsi="Courier New"/>
                <w:sz w:val="15"/>
                <w:szCs w:val="15"/>
                <w:color w:val="auto"/>
                <w:w w:val="96"/>
              </w:rPr>
              <w:t>Survival.................................................................................</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55</w:t>
            </w: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9.14</w:t>
            </w:r>
          </w:p>
        </w:tc>
        <w:tc>
          <w:tcPr>
            <w:tcW w:w="7860" w:type="dxa"/>
            <w:vAlign w:val="bottom"/>
          </w:tcPr>
          <w:p>
            <w:pPr>
              <w:ind w:left="80"/>
              <w:spacing w:after="0"/>
              <w:rPr>
                <w:sz w:val="20"/>
                <w:szCs w:val="20"/>
                <w:color w:val="auto"/>
              </w:rPr>
            </w:pPr>
            <w:r>
              <w:rPr>
                <w:rFonts w:ascii="Courier New" w:cs="Courier New" w:eastAsia="Courier New" w:hAnsi="Courier New"/>
                <w:sz w:val="15"/>
                <w:szCs w:val="15"/>
                <w:color w:val="auto"/>
                <w:w w:val="96"/>
              </w:rPr>
              <w:t>WAIVER OF JURY TRIAL.....................................................................</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55</w:t>
            </w:r>
          </w:p>
        </w:tc>
      </w:tr>
      <w:tr>
        <w:trPr>
          <w:trHeight w:val="336"/>
        </w:trPr>
        <w:tc>
          <w:tcPr>
            <w:tcW w:w="9000" w:type="dxa"/>
            <w:vAlign w:val="bottom"/>
            <w:gridSpan w:val="2"/>
          </w:tcPr>
          <w:p>
            <w:pPr>
              <w:spacing w:after="0"/>
              <w:rPr>
                <w:sz w:val="20"/>
                <w:szCs w:val="20"/>
                <w:color w:val="auto"/>
              </w:rPr>
            </w:pPr>
            <w:r>
              <w:rPr>
                <w:rFonts w:ascii="Courier New" w:cs="Courier New" w:eastAsia="Courier New" w:hAnsi="Courier New"/>
                <w:sz w:val="15"/>
                <w:szCs w:val="15"/>
                <w:color w:val="auto"/>
                <w:w w:val="96"/>
              </w:rPr>
              <w:t>SECTION 9.15  Limitation on Liability..................................................................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55</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ANNEX I - Lending Offices and Commitments</w:t>
      </w:r>
    </w:p>
    <w:p>
      <w:pPr>
        <w:spacing w:after="0" w:line="237" w:lineRule="auto"/>
        <w:rPr>
          <w:sz w:val="20"/>
          <w:szCs w:val="20"/>
          <w:color w:val="auto"/>
        </w:rPr>
      </w:pPr>
      <w:r>
        <w:rPr>
          <w:rFonts w:ascii="Courier New" w:cs="Courier New" w:eastAsia="Courier New" w:hAnsi="Courier New"/>
          <w:sz w:val="15"/>
          <w:szCs w:val="15"/>
          <w:color w:val="auto"/>
        </w:rPr>
        <w:t>ANNEX II - Existing Liens</w:t>
      </w:r>
    </w:p>
    <w:p>
      <w:pPr>
        <w:spacing w:after="0" w:line="238" w:lineRule="auto"/>
        <w:rPr>
          <w:sz w:val="20"/>
          <w:szCs w:val="20"/>
          <w:color w:val="auto"/>
        </w:rPr>
      </w:pPr>
      <w:r>
        <w:rPr>
          <w:rFonts w:ascii="Courier New" w:cs="Courier New" w:eastAsia="Courier New" w:hAnsi="Courier New"/>
          <w:sz w:val="15"/>
          <w:szCs w:val="15"/>
          <w:color w:val="auto"/>
        </w:rPr>
        <w:t>ANNEX III - Existing Debt</w:t>
      </w:r>
    </w:p>
    <w:p>
      <w:pPr>
        <w:spacing w:after="0" w:line="237" w:lineRule="auto"/>
        <w:rPr>
          <w:sz w:val="20"/>
          <w:szCs w:val="20"/>
          <w:color w:val="auto"/>
        </w:rPr>
      </w:pPr>
      <w:r>
        <w:rPr>
          <w:rFonts w:ascii="Courier New" w:cs="Courier New" w:eastAsia="Courier New" w:hAnsi="Courier New"/>
          <w:sz w:val="15"/>
          <w:szCs w:val="15"/>
          <w:color w:val="auto"/>
        </w:rPr>
        <w:t>ANNEX IV - Existing Subsidiaries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A - Form of Note</w:t>
      </w:r>
    </w:p>
    <w:p>
      <w:pPr>
        <w:spacing w:after="0" w:line="237" w:lineRule="auto"/>
        <w:rPr>
          <w:sz w:val="20"/>
          <w:szCs w:val="20"/>
          <w:color w:val="auto"/>
        </w:rPr>
      </w:pPr>
      <w:r>
        <w:rPr>
          <w:rFonts w:ascii="Courier New" w:cs="Courier New" w:eastAsia="Courier New" w:hAnsi="Courier New"/>
          <w:sz w:val="15"/>
          <w:szCs w:val="15"/>
          <w:color w:val="auto"/>
        </w:rPr>
        <w:t>EXHIBIT B - Notice of Borrowing</w:t>
      </w:r>
    </w:p>
    <w:p>
      <w:pPr>
        <w:spacing w:after="0" w:line="238" w:lineRule="auto"/>
        <w:rPr>
          <w:sz w:val="20"/>
          <w:szCs w:val="20"/>
          <w:color w:val="auto"/>
        </w:rPr>
      </w:pPr>
      <w:r>
        <w:rPr>
          <w:rFonts w:ascii="Courier New" w:cs="Courier New" w:eastAsia="Courier New" w:hAnsi="Courier New"/>
          <w:sz w:val="15"/>
          <w:szCs w:val="15"/>
          <w:color w:val="auto"/>
        </w:rPr>
        <w:t>EXHIBIT C - Officer's Certificate</w:t>
      </w:r>
    </w:p>
    <w:p>
      <w:pPr>
        <w:spacing w:after="0" w:line="237" w:lineRule="auto"/>
        <w:rPr>
          <w:sz w:val="20"/>
          <w:szCs w:val="20"/>
          <w:color w:val="auto"/>
        </w:rPr>
      </w:pPr>
      <w:r>
        <w:rPr>
          <w:rFonts w:ascii="Courier New" w:cs="Courier New" w:eastAsia="Courier New" w:hAnsi="Courier New"/>
          <w:sz w:val="15"/>
          <w:szCs w:val="15"/>
          <w:color w:val="auto"/>
        </w:rPr>
        <w:t>EXHIBIT D - Secretary's Certificate</w:t>
      </w:r>
    </w:p>
    <w:p>
      <w:pPr>
        <w:spacing w:after="0" w:line="5" w:lineRule="exact"/>
        <w:rPr>
          <w:sz w:val="20"/>
          <w:szCs w:val="20"/>
          <w:color w:val="auto"/>
        </w:rPr>
      </w:pPr>
    </w:p>
    <w:p>
      <w:pPr>
        <w:ind w:right="2879"/>
        <w:spacing w:after="0" w:line="254" w:lineRule="auto"/>
        <w:rPr>
          <w:sz w:val="20"/>
          <w:szCs w:val="20"/>
          <w:color w:val="auto"/>
        </w:rPr>
      </w:pPr>
      <w:r>
        <w:rPr>
          <w:rFonts w:ascii="Courier New" w:cs="Courier New" w:eastAsia="Courier New" w:hAnsi="Courier New"/>
          <w:sz w:val="14"/>
          <w:szCs w:val="14"/>
          <w:color w:val="auto"/>
        </w:rPr>
        <w:t>EXHIBIT E-1 - Form of Opinion of New York Counsel to the Borrower and the Guarantors EXHIBIT E-2 - Form of Opinion of Mexican Counsel to the Borrower and the Guarantors</w:t>
      </w:r>
    </w:p>
    <w:p>
      <w:pPr>
        <w:spacing w:after="0" w:line="231" w:lineRule="auto"/>
        <w:rPr>
          <w:sz w:val="20"/>
          <w:szCs w:val="20"/>
          <w:color w:val="auto"/>
        </w:rPr>
      </w:pPr>
      <w:r>
        <w:rPr>
          <w:rFonts w:ascii="Courier New" w:cs="Courier New" w:eastAsia="Courier New" w:hAnsi="Courier New"/>
          <w:sz w:val="15"/>
          <w:szCs w:val="15"/>
          <w:color w:val="auto"/>
        </w:rPr>
        <w:t>EXHIBIT E-3 - Form of Opinion of New York Counsel to the Lenders and the Administrative Agent</w:t>
      </w:r>
    </w:p>
    <w:p>
      <w:pPr>
        <w:spacing w:after="0" w:line="238" w:lineRule="auto"/>
        <w:rPr>
          <w:sz w:val="20"/>
          <w:szCs w:val="20"/>
          <w:color w:val="auto"/>
        </w:rPr>
      </w:pPr>
      <w:r>
        <w:rPr>
          <w:rFonts w:ascii="Courier New" w:cs="Courier New" w:eastAsia="Courier New" w:hAnsi="Courier New"/>
          <w:sz w:val="15"/>
          <w:szCs w:val="15"/>
          <w:color w:val="auto"/>
        </w:rPr>
        <w:t>EXHIBIT F - Form of Assignment and Acceptance</w:t>
      </w:r>
    </w:p>
    <w:p>
      <w:pPr>
        <w:spacing w:after="0" w:line="237" w:lineRule="auto"/>
        <w:rPr>
          <w:sz w:val="20"/>
          <w:szCs w:val="20"/>
          <w:color w:val="auto"/>
        </w:rPr>
      </w:pPr>
      <w:r>
        <w:rPr>
          <w:rFonts w:ascii="Courier New" w:cs="Courier New" w:eastAsia="Courier New" w:hAnsi="Courier New"/>
          <w:sz w:val="15"/>
          <w:szCs w:val="15"/>
          <w:color w:val="auto"/>
        </w:rPr>
        <w:t>EXHIBIT G - Form of Subordination Agreement</w:t>
      </w:r>
    </w:p>
    <w:p>
      <w:pPr>
        <w:spacing w:after="0" w:line="238" w:lineRule="auto"/>
        <w:rPr>
          <w:sz w:val="20"/>
          <w:szCs w:val="20"/>
          <w:color w:val="auto"/>
        </w:rPr>
      </w:pPr>
      <w:r>
        <w:rPr>
          <w:rFonts w:ascii="Courier New" w:cs="Courier New" w:eastAsia="Courier New" w:hAnsi="Courier New"/>
          <w:sz w:val="15"/>
          <w:szCs w:val="15"/>
          <w:color w:val="auto"/>
        </w:rPr>
        <w:t>EXHIBIT H - Poder</w:t>
      </w:r>
    </w:p>
    <w:p>
      <w:pPr>
        <w:spacing w:after="0" w:line="238" w:lineRule="auto"/>
        <w:rPr>
          <w:sz w:val="20"/>
          <w:szCs w:val="20"/>
          <w:color w:val="auto"/>
        </w:rPr>
      </w:pPr>
      <w:r>
        <w:rPr>
          <w:rFonts w:ascii="Courier New" w:cs="Courier New" w:eastAsia="Courier New" w:hAnsi="Courier New"/>
          <w:sz w:val="15"/>
          <w:szCs w:val="15"/>
          <w:color w:val="auto"/>
        </w:rPr>
        <w:t>EXHIBIT I - Joinder Agreement</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1122" w:right="1440" w:bottom="1440" w:gutter="0" w:footer="0" w:header="0"/>
        </w:sectPr>
      </w:pPr>
    </w:p>
    <w:bookmarkStart w:id="219" w:name="page220"/>
    <w:bookmarkEnd w:id="219"/>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CREDIT AGREEMENT, dated as of December 18, 2002, is made among FEMSA EMPAQUES, S.A. de C.V. (the "Borrower"), a sociedad anonima de capital variable organized and existing under the laws of Mexico, FABRICAS MONTERREY, S.A. DE C.V. and SILICES DE VERACRUZ, S.A. DE C.V., each a sociedad anonima de capital variable organized and existing under the laws of Mexico, and such other Material Subsidiaries (as defined below) of the Borrower as may, from time to time, pursuant to Section 5.01(j) hereof, join in this Agreement (as defined below) as guarantors (each, a "Guarantor" and collectively, the "Guarantors"), the financial institutions (the "Lenders") listed on the signature pages hereof and which may from time to time become parties hereto, BBVA BANCOMER, S.A., INSTITUCION DE BANCA MULTIPLE, GRUPO FINANCIERO BBVA BANCOMER, as administrative agent (the "Administrative Agent") for the Lenders hereunder, EXPORT DEVELOPMENT CANADA, as syndication agent (the "Syndication Agent" or "EDC"), BANKBOSTON N.A., as documentation agent (the "Documentation Agent"), BBVA SECURITIES INC., as lead arranger (the "Lead Arranger") and EXPORT DEVELOPMENT CANADA and BANKBOSTON N.A., as arrangers (the "Arrangers").</w:t>
      </w:r>
    </w:p>
    <w:p>
      <w:pPr>
        <w:spacing w:after="0" w:line="157"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 I T N E S S E T H :</w:t>
      </w:r>
    </w:p>
    <w:p>
      <w:pPr>
        <w:spacing w:after="0" w:line="341"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WHEREAS, subject to and upon the terms and conditions herein set forth, the Lenders are willing to make available to the Borrower the credit facility provided for herein;</w:t>
      </w:r>
    </w:p>
    <w:p>
      <w:pPr>
        <w:spacing w:after="0" w:line="174"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NOW, THEREFORE, in consideration of the premises and mutual agreements hereinafter contained, the parties hereto hereby agree as follows:</w:t>
      </w:r>
    </w:p>
    <w:p>
      <w:pPr>
        <w:spacing w:after="0" w:line="167"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I</w:t>
      </w:r>
    </w:p>
    <w:p>
      <w:pPr>
        <w:spacing w:after="0" w:line="16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DEFINITIONS AND ACCOUNTING TERMS</w:t>
      </w:r>
    </w:p>
    <w:p>
      <w:pPr>
        <w:spacing w:after="0" w:line="173" w:lineRule="exact"/>
        <w:rPr>
          <w:sz w:val="20"/>
          <w:szCs w:val="20"/>
          <w:color w:val="auto"/>
        </w:rPr>
      </w:pPr>
    </w:p>
    <w:p>
      <w:pPr>
        <w:jc w:val="both"/>
        <w:ind w:right="3239" w:firstLine="437"/>
        <w:spacing w:after="0" w:line="258" w:lineRule="auto"/>
        <w:rPr>
          <w:sz w:val="20"/>
          <w:szCs w:val="20"/>
          <w:color w:val="auto"/>
        </w:rPr>
      </w:pPr>
      <w:r>
        <w:rPr>
          <w:rFonts w:ascii="Courier New" w:cs="Courier New" w:eastAsia="Courier New" w:hAnsi="Courier New"/>
          <w:sz w:val="14"/>
          <w:szCs w:val="14"/>
          <w:color w:val="auto"/>
        </w:rPr>
        <w:t>1.01 Certain Defined Terms. As used in this Agreement (as defined below), the following terms shall have the following meanings (such meanings to be equally applicable to both the singular and plural forms of the terms defined):</w:t>
      </w:r>
    </w:p>
    <w:p>
      <w:pPr>
        <w:spacing w:after="0" w:line="161"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"Administrative Agent" shall have the meaning specified in the preamble to this Agreement and shall include any successor appointed pursuant to Section 8.06.</w:t>
      </w:r>
    </w:p>
    <w:p>
      <w:pPr>
        <w:spacing w:after="0" w:line="17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"Administrative Agent's Account" shall mean the account of the Administrative Agent maintained by the Administrative Agent with BBVA New York, New York, Account No. 0000157115, Beneficiary: BBVA Bancomer, S.A. Mexico D.F., Reference: Femsa Empaques, S.A. de C.V., ABA No.: 026001847, or such other account as the Administrative Agent may hereafter designate in writing as such to each of the other parties hereto.</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"Advance" shall have the meaning specified in Section 2.01.</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"Affiliate" shall mean, as to any Person, any other Person that, directly or indirectly, controls, is controlled by or is under common control with such Person or is a director or officer of such Person. For purposes of this definition, the term "control" (including the terms "controlling," "controlled by" and "under common control with") of a Person means the possession, direct or indirect, of the power to vote 10% or more of the Voting Stock of such Person or to direct or cause the direction of the management and policies of such Person, whether through the ownership of Voting Stock, by contract or otherwise.</w:t>
      </w:r>
    </w:p>
    <w:p>
      <w:pPr>
        <w:spacing w:after="0" w:line="166"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"Agreement" shall mean this Credit Agreement, as modified, supplemented or amended from time to time.</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"Applicable Margin" shall mean 0.95%.</w:t>
      </w:r>
    </w:p>
    <w:p>
      <w:pPr>
        <w:spacing w:after="0" w:line="173"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"Arrangers" shall have the meaning specified in the preamble to this Agreement.</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"Asset Sale" shall mean any sale, transfer or other disposition to any Person of any Non-Guarantor Subsidiary or all or substantially all of the assets of any such Non-Guarantor Subsidiary.</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24" w:right="1440" w:bottom="1440" w:gutter="0" w:footer="0" w:header="0"/>
        </w:sectPr>
      </w:pPr>
    </w:p>
    <w:bookmarkStart w:id="220" w:name="page221"/>
    <w:bookmarkEnd w:id="220"/>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"Assignment and Acceptance" shall mean an assignment and acceptance entered into by a Lender and an Eligible Assignee, and accepted by the Administrative Agent and the Borrower, in accordance with Section 9.07 and in substantially the form of Exhibit F hereto.</w:t>
      </w:r>
    </w:p>
    <w:p>
      <w:pPr>
        <w:spacing w:after="0" w:line="175"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"Bankruptcy Code" shall mean Title 11 of the United States Code entitled "Bankruptcy," as now or hereafter in effect, or any successor thereto.</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"Bankruptcy Law" shall mean any applicable U.S. federal, Mexican federal, state, foreign or local statute, law, rule, regulation, ordinance, code, binding and enforceable guideline, binding and enforceable written policy and rule of common law now or hereafter in effect and in each case as amended, and any judicial or administrative interpretation thereof, including any judicial or administrative order, consent, decree or judgment, to the extent now or hereafter in effect with respect to the Borrower, the Guarantors or any of their respective Subsidiaries, relating to the reorganization, arrangement, adjustment of debt, relief of debtors, dissolution, suspension of payments, insolvency or liquidation or similar law of any jurisdiction. The term Bankruptcy Law shall include, without limitation, the Mexican Ley de Concursos Mercantiles, as now or hereafter in effect, or any successor thereto, and the Bankruptcy Code.</w:t>
      </w:r>
    </w:p>
    <w:p>
      <w:pPr>
        <w:spacing w:after="0" w:line="164"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"Borrower" shall have the meaning specified in the preamble to this Agreement.</w:t>
      </w:r>
    </w:p>
    <w:p>
      <w:pPr>
        <w:spacing w:after="0" w:line="173"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"Borrowing" shall mean a borrowing consisting of simultaneous Advances made by the Lenders.</w:t>
      </w:r>
    </w:p>
    <w:p>
      <w:pPr>
        <w:spacing w:after="0" w:line="173"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"Borrowing Date" shall mean the date on which the Borrowing hereunder occurs.</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"Business Day" shall mean (i) for all purposes other than as covered by clause (ii) below, any day except a Saturday, Sunday or any other day which shall be in New York, Ottawa or Mexico City a legal holiday or a day on which banking institutions are authorized or required by law or other government action to close, and (ii) with respect to all notices and determinations in connection with, and payments of principal and interest on, Advances, any day</w:t>
      </w:r>
    </w:p>
    <w:p>
      <w:pPr>
        <w:spacing w:after="0" w:line="7" w:lineRule="exact"/>
        <w:rPr>
          <w:sz w:val="20"/>
          <w:szCs w:val="20"/>
          <w:color w:val="auto"/>
        </w:rPr>
      </w:pPr>
    </w:p>
    <w:p>
      <w:pPr>
        <w:jc w:val="both"/>
        <w:ind w:right="3239" w:firstLine="10"/>
        <w:spacing w:after="0" w:line="236" w:lineRule="auto"/>
        <w:tabs>
          <w:tab w:leader="none" w:pos="437"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 Saturday, Sunday or any other day which shall be in New York, Ottawa or Mexico City a legal holiday or a day on which banking institutions are authorized or required by law or other government action to close and (y) which is also a day for trading by and between banks in the London interbank Eurodollar market.</w:t>
      </w:r>
    </w:p>
    <w:p>
      <w:pPr>
        <w:spacing w:after="0" w:line="174"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"Capitalized Leases" shall have the meaning specified in clause (d) of the definition of Debt.</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"Change of Control" shall mean (i) any Person or two or more Persons acting in concert (other than FEMSA and/or any Subsidiary of FEMSA) shall have acquired beneficial ownership, directly or indirectly, of Voting Stock of the Borrower (or other securities convertible into such Voting Stock) representing 51% or more of the combined voting power of all Voting Stock of the Borrower or (ii) any Person or two or more Persons acting in concert (other than FEMSA and/or any Subsidiary of FEMSA) shall have acquired by contract or otherwise, or shall have entered into a contract or arrangement that, upon consummation, will result in its or their acquisition of the power to exercise, directly or indirectly, a controlling influence over the management or policies of the Borrower.</w:t>
      </w:r>
    </w:p>
    <w:p>
      <w:pPr>
        <w:spacing w:after="0" w:line="1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"Commitment" shall have the meaning specified in Section 2.01.</w:t>
      </w:r>
    </w:p>
    <w:p>
      <w:pPr>
        <w:spacing w:after="0" w:line="173"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"Commitment Expiration Date" shall mean the date 10 days after the Effective Date.</w:t>
      </w:r>
    </w:p>
    <w:p>
      <w:pPr>
        <w:spacing w:after="0" w:line="173"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"Confidential Information" shall mean information furnished by or on behalf of the Borrower or its Affiliates to the Administrative Agent or any Lender in connection with this Agreement, but does not include any such information that</w:t>
      </w:r>
    </w:p>
    <w:p>
      <w:pPr>
        <w:spacing w:after="0" w:line="1" w:lineRule="exact"/>
        <w:rPr>
          <w:sz w:val="20"/>
          <w:szCs w:val="20"/>
          <w:color w:val="auto"/>
        </w:rPr>
      </w:pPr>
    </w:p>
    <w:p>
      <w:pPr>
        <w:jc w:val="both"/>
        <w:ind w:right="3239" w:firstLine="10"/>
        <w:spacing w:after="0" w:line="235" w:lineRule="auto"/>
        <w:tabs>
          <w:tab w:leader="none" w:pos="350"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or becomes generally available to the public or (ii) is or becomes available to the Administrative Agent or such Lender from a source other than the Borrower or its Affiliates other than as a result of a breach by the Administrative Agent or any Lender of its obligations hereunder.</w:t>
      </w:r>
    </w:p>
    <w:p>
      <w:pPr>
        <w:spacing w:after="0" w:line="175" w:lineRule="exact"/>
        <w:rPr>
          <w:sz w:val="20"/>
          <w:szCs w:val="20"/>
          <w:color w:val="auto"/>
        </w:rPr>
      </w:pPr>
    </w:p>
    <w:p>
      <w:pPr>
        <w:ind w:left="440"/>
        <w:spacing w:after="0"/>
        <w:tabs>
          <w:tab w:leader="none" w:pos="1820" w:val="left"/>
        </w:tabs>
        <w:rPr>
          <w:sz w:val="20"/>
          <w:szCs w:val="20"/>
          <w:color w:val="auto"/>
        </w:rPr>
      </w:pPr>
      <w:r>
        <w:rPr>
          <w:rFonts w:ascii="Courier New" w:cs="Courier New" w:eastAsia="Courier New" w:hAnsi="Courier New"/>
          <w:sz w:val="14"/>
          <w:szCs w:val="14"/>
          <w:color w:val="auto"/>
        </w:rPr>
        <w:t>"Consolidated"</w:t>
        <w:tab/>
        <w:t>shall mean the consolidation of accounts in accordance with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GAAP.</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"Consolidated Debt" shall mean, without duplication, all Debt of the Borrower and its Consolidated Subsidiaries, other than Inter-company Debt.</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24" w:right="1440" w:bottom="1440" w:gutter="0" w:footer="0" w:header="0"/>
        </w:sectPr>
      </w:pPr>
    </w:p>
    <w:bookmarkStart w:id="221" w:name="page222"/>
    <w:bookmarkEnd w:id="221"/>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"Consolidated Financial Debt" shall mean, without duplication, all Debt for borrowed money of the Borrower and its Consolidated Subsidiaries.</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"Consolidated EBITDA" shall mean, for any period, the sum, determined on a consolidated basis, of (a) operating income (or loss) for such period, plus (b) depreciation and amortization and any other non-cash charges that have been deducted from operating income for such period minus all non-cash credits that have been added to operating income for such period, in each case of the Borrower and its Consolidated Subsidiaries, determined in accordance with GAAP for such period.</w:t>
      </w:r>
    </w:p>
    <w:p>
      <w:pPr>
        <w:spacing w:after="0" w:line="176"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"Consolidated Interest Expense" shall mean, for any period, the consolidated total interest expense of the Borrower and its Subsidiaries with respect to all outstanding Debt of the Borrower and its Subsidiaries or other obligations of the Borrower and its Subsidiaries (calculated without regard to any limitations on the payment thereof).</w:t>
      </w:r>
    </w:p>
    <w:p>
      <w:pPr>
        <w:spacing w:after="0" w:line="174"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"Consolidated Net Worth" shall mean, as to any Person, the Net Worth of such Person and its Subsidiaries determined on a consolidated basis after appropriate deduction for any minority interests in Subsidiaries.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"Credit Party" shall mean the Borrower and each of the Guarantors.</w:t>
      </w:r>
    </w:p>
    <w:p>
      <w:pPr>
        <w:spacing w:after="0" w:line="173"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"Debt" of any Person shall mean, without duplication, (a) all indebtedness of such Person for borrowed money, (b) all Obligations of such Person for the deferred purchase price of property or services, (c) all Obligations of such Person evidenced by notes, bonds, debentures or other similar instruments, (d) all Obligations of such Person as lessee under leases that have been or should be, in accordance with GAAP, recorded as capital leases ("Capitalized Leases"),</w:t>
      </w:r>
    </w:p>
    <w:p>
      <w:pPr>
        <w:spacing w:after="0" w:line="2" w:lineRule="exact"/>
        <w:rPr>
          <w:sz w:val="20"/>
          <w:szCs w:val="20"/>
          <w:color w:val="auto"/>
        </w:rPr>
      </w:pPr>
    </w:p>
    <w:p>
      <w:pPr>
        <w:jc w:val="both"/>
        <w:ind w:right="3239" w:firstLine="10"/>
        <w:spacing w:after="0" w:line="255" w:lineRule="auto"/>
        <w:tabs>
          <w:tab w:leader="none" w:pos="350"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non-contingent Obligations of such Person under acceptance, letter of credit or similar facilities, (f) all Obligations of such Person in respect of Hedge Agreements, (g) all Debt of others referred to in clauses (a) through (f) above guaranteed directly or indirectly in any manner by such Person, but only to the extent of such guaranty, and (h) all Debt referred to in clauses (a) through (f) above secured by (or for which the holder of such Debt has an existing right, contingent or otherwise, to be secured by) any Lien on property (including, without limitation, accounts and contracts rights) owned by such Person, even though such Person has not assumed or become liable for the payment of such Debt; provided, however, that Debt shall not include trade accounts payable arising in the ordinary course of business or any obligations for ad valorem taxes, value-added taxes, excise taxes or any other taxes.</w:t>
      </w:r>
    </w:p>
    <w:p>
      <w:pPr>
        <w:spacing w:after="0" w:line="164"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"Default" shall mean any event, act or condition, which, with notice or lapse of time, or both, would constitute an Event of Default.</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"Derivatives Obligations" of any Person shall mean all payment obligations of such Person in respect of any rate swap transaction, basis swap, forward rate transaction, forward purchase, commodity swap, commodity option, equity or equity index swap, equity or equity index option, bond option, interest rate option, foreign exchange transaction, cap transaction, floor transaction, collar transaction, currency swap transaction, cross-currency rate swap transaction, currency option or any other similar transaction (including any option with respect to any of the foregoing transactions) or any combination of the foregoing transactions.</w:t>
      </w:r>
    </w:p>
    <w:p>
      <w:pPr>
        <w:spacing w:after="0" w:line="178"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"Documentation Agent" shall have the meaning specified in the preamble to this Agreement.</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"Dollar" or "$" shall mean the lawful money of the United States.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"Effective Date" shall have the meaning specified in Section 9.06.</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"Eligible Assignee" shall mean (a) a Lender, (b) an Affiliate of a Lender or (c) any other Person approved by the Administrative Agent (such approval not to be unreasonably withheld or delayed); provided that, in the case of clause (c), so long as the Advances, the Notes, all interest thereon and all other amounts payable under this Agreement and the other Loan Documents shall not have become due and payable (whether by acceleration or otherwise) at or prior to the time the related assignment is effected pursuant to clauses (a) through (d) of Section 9.07, the Borrower shall have given written consent to such assignment (such consent not to be unreasonably withheld or delayed and such consent to be</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23" w:right="1440" w:bottom="1440" w:gutter="0" w:footer="0" w:header="0"/>
        </w:sectPr>
      </w:pPr>
    </w:p>
    <w:bookmarkStart w:id="222" w:name="page223"/>
    <w:bookmarkEnd w:id="222"/>
    <w:p>
      <w:pPr>
        <w:jc w:val="both"/>
        <w:ind w:right="3239"/>
        <w:spacing w:after="0" w:line="236" w:lineRule="auto"/>
        <w:rPr>
          <w:sz w:val="20"/>
          <w:szCs w:val="20"/>
          <w:color w:val="auto"/>
        </w:rPr>
      </w:pPr>
      <w:r>
        <w:rPr>
          <w:rFonts w:ascii="Courier New" w:cs="Courier New" w:eastAsia="Courier New" w:hAnsi="Courier New"/>
          <w:sz w:val="15"/>
          <w:szCs w:val="15"/>
          <w:color w:val="auto"/>
        </w:rPr>
        <w:t>deemed to have been given if no objection thereto is received by the Administrative Agent and the assigning Lender within five Business Days after the date on which notice of the proposed assignment is received by the Borrower); provided, further, however, that neither the Borrower nor any Affiliate of the Borrower shall qualify as an Eligible Assignee under this definition.</w:t>
      </w:r>
    </w:p>
    <w:p>
      <w:pPr>
        <w:spacing w:after="0" w:line="175"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"Environmental Action" shall mean any administrative, regulatory or judicial action, suit, demand, demand letter, notice of non-compliance or violation, investigation, proceeding, consent order or consent agreement relating in any way to any Environmental Law or any Environmental Permit, including, without limitation, (a) any claim by any Governmental Authority for enforcement, cleanup, removal, response, remedial or other actions or damages pursuant to any Environmental Law and (b) any claim by any third party seeking damages, contribution, indemnification, cost recovery, compensation or injunctive relief resulting from Hazardous Materials or arising from alleged injury or threat of injury to health, safety or the environment.</w:t>
      </w:r>
    </w:p>
    <w:p>
      <w:pPr>
        <w:spacing w:after="0" w:line="165" w:lineRule="exact"/>
        <w:rPr>
          <w:sz w:val="20"/>
          <w:szCs w:val="20"/>
          <w:color w:val="auto"/>
        </w:rPr>
      </w:pPr>
    </w:p>
    <w:p>
      <w:pPr>
        <w:jc w:val="both"/>
        <w:ind w:right="3239" w:firstLine="437"/>
        <w:spacing w:after="0" w:line="256" w:lineRule="auto"/>
        <w:rPr>
          <w:sz w:val="20"/>
          <w:szCs w:val="20"/>
          <w:color w:val="auto"/>
        </w:rPr>
      </w:pPr>
      <w:r>
        <w:rPr>
          <w:rFonts w:ascii="Courier New" w:cs="Courier New" w:eastAsia="Courier New" w:hAnsi="Courier New"/>
          <w:sz w:val="14"/>
          <w:szCs w:val="14"/>
          <w:color w:val="auto"/>
        </w:rPr>
        <w:t>"Environmental Law" shall mean any supranational, federal, national, state, provincial, tribal, local or municipal law, rule, regulation, order, writ, judgment, injunction, decree, determination or award of any Governmental Authority within or outside the United States relating to or imposing standards of conduct concerning the environment, health, safety or Hazardous Materials.</w:t>
      </w:r>
    </w:p>
    <w:p>
      <w:pPr>
        <w:spacing w:after="0" w:line="163"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"Environmental Permit" shall mean any permit, approval, identification number, license or other authorization required under any Environmental Law.</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"Eurocurrency Liabilities" shall have the meaning specified in Regulation D of the Board of Governors of the U.S. Federal Reserve System, as in effect from time to time.</w:t>
      </w:r>
    </w:p>
    <w:p>
      <w:pPr>
        <w:spacing w:after="0" w:line="174"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"Eurodollar Rate" shall mean, for any Interest Period, an interest rate per annum equal to the rate per annum obtained by dividing (i) (A) the rate per annum which appears on the Reuters Screen LIBO Page (rounded upward to the next whole multiple of 1/16th of 1%) as the London interbank offered rate for deposits in Dollars comparable to the outstanding principal amount of the Advances and for a term comparable to such Interest Period at or about 11:00 A.M. (London time) on the date which is two Business Days prior to the commencement of such Interest Period; provided, however, that if more than one rate is specified on the Reuters Screen LIBO Page, the applicable rate shall be the arithmetic mean of all such rates (rounded upward to the next whole multiple of 1/16th of 1%), (B) if for any reason such Reuters Screen LIBO Page is not available or such rate is not quoted thereon, then the rate per annum which appears on page 3750 of the Dow Jones Market Service (rounded upward to the next whole multiple of 1/16th of 1%) as the London interbank offered rate for deposits in Dollars comparable to the outstanding principal amount of the Advances for a term comparable to such Interest Period at or about 11:00 A.M. (London time) on the date which is two Business Days prior to the commencement of such Interest Period; provided, however, that if more than one rate is specified on page 3750 of the Dow Jones Market Service, the applicable rate shall be the arithmetic mean of all such rates (rounded upward to the next whole multiple of 1/16th of 1%), or (C) if such page 3750 of the Dow Jones Market Service is for any reason not available or such rate is not quoted thereon, then the arithmetic mean determined by the Administrative Agent of the respective rates per annum quoted by the Reference Banks to prime banks in the London interbank market for deposits in Dollars comparable to the outstanding principal amount of the Advances for a term comparable to such Interest Period (in each such case, rounded upward to the next whole multiple of 1/16th of 1%), determined as of 11:00 A.M. (London time) on the date which is two Business Days prior to the commencement of such Interest Period, by (ii) a percentage equal to 100% minus the Eurodollar Rate Reserve Percentage for such Interest Period.</w:t>
      </w:r>
    </w:p>
    <w:p>
      <w:pPr>
        <w:spacing w:after="0" w:line="200" w:lineRule="exact"/>
        <w:rPr>
          <w:sz w:val="20"/>
          <w:szCs w:val="20"/>
          <w:color w:val="auto"/>
        </w:r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624" w:right="1440" w:bottom="1440" w:gutter="0" w:footer="0" w:header="0"/>
        </w:sectPr>
      </w:pPr>
    </w:p>
    <w:bookmarkStart w:id="223" w:name="page224"/>
    <w:bookmarkEnd w:id="223"/>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"Eurodollar Rate Reserve Percentage" for any Interest Period for each Advance shall mean the reserve percentage applicable two Business Days before the first day of such Interest Period, under regulations issued from time to time by the Board of Governors of the U.S. Federal Reserve System (or any successor) for determining the maximum reserve requirement (including, without limitation, any emergency, supplemental or other marginal reserve requirement) for a member bank of the U.S. Federal Reserve System in New York City or by the European Central Bank with respect to liabilities or assets consisting of or including Eurocurrency Liabilities (or with respect to any other category of liabilities that includes deposits by reference to which the interest rate on Advances is determined) having a term equal to such Interest Period.</w:t>
      </w:r>
    </w:p>
    <w:p>
      <w:pPr>
        <w:spacing w:after="0" w:line="15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"Event of Default" shall have the meaning specified in Section 6.01.</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"Exchange Rate" shall mean the Dollar/Peso exchange rate published by the Central Bank of Mexico in the Official Gazette of the Federation on the day payment is made.</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"Existing Debt" shall have the meaning specified in Section 4.15.</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"Facility" shall mean the aggregate amount of the Commitments.</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"Federal Funds Rate" shall mean, for any period, a fluctuating interest rate per annum equal for each day during such period to the weighted average of the rates on overnight Federal funds transactions with members of the U.S. Federal Reserve System arranged by Federal funds brokers, as published for such day (or, if such day is not a Business Day, for the next preceding Business Day) by the Federal Reserve Bank of New York, or, if such rate is not so published for any day that is a Business Day, the average of the quotations for such day for such transactions received by the Administrative Agent from three Federal funds brokers of recognized standing selected by it.</w:t>
      </w:r>
    </w:p>
    <w:p>
      <w:pPr>
        <w:spacing w:after="0" w:line="172"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"Fee Letter" shall have the meaning specified in Section 2.07.</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"FEMSA" shall mean Fomento Economico Mexicano, S.A. de C.V.</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"GAAP" shall mean generally accepted accounting principles in Mexico consistent with those applied in the preparation of the financial statements furnished to the Lenders prior to the date of this Agreement; provided, however, that if the Borrower notifies the Administrative Agent in writing that the Borrower wishes to amend the covenants in Section 5.02 (d), (j) or (k) to eliminate the effect of any change in GAAP on the operation of such covenants (or if the Administrative Agent notifies the Borrower that the Required Lenders wish to amend such covenants), then compliance with such covenants shall be determined on the basis of GAAP in effect immediately before the relevant change in GAAP became effective, until either such written notice is withdrawn or such covenants are amended in a manner satisfactory to the Required Lenders.</w:t>
      </w:r>
    </w:p>
    <w:p>
      <w:pPr>
        <w:spacing w:after="0" w:line="165"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"Governmental Approval" shall mean any authorization, approval, consent, license, concession, ruling, permit, tariff, rate, certification, order, validation, exemption, waiver, opinion of, or registration, filing or recordation with, any Governmental Authority.</w:t>
      </w:r>
    </w:p>
    <w:p>
      <w:pPr>
        <w:spacing w:after="0" w:line="175"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"Governmental Authority" shall mean any federation, nation, state, sovereign, or government, any federal, supranational, regional, state, tribal, local or political subdivision, any governmental or administrative body, instrumentality, department or agency or any court, tribunal, administrative hearing body, arbitration panel, commission or any other similar dispute-resolving panel or body, and any other entity exercising executive, legislative, judicial, regulatory or administrative functions of government.</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"Guaranteed Obligations" shall have the meaning specified in Section 7.01.</w:t>
      </w:r>
    </w:p>
    <w:p>
      <w:pPr>
        <w:spacing w:after="0" w:line="178"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"Guarantor" shall have the meaning specified in the preamble to this Agreement.</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"Guaranty" shall have the meaning specified in Section 7.01.</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624" w:right="1440" w:bottom="1440" w:gutter="0" w:footer="0" w:header="0"/>
        </w:sectPr>
      </w:pPr>
    </w:p>
    <w:bookmarkStart w:id="224" w:name="page225"/>
    <w:bookmarkEnd w:id="224"/>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"Hazardous Materials" shall mean (a) petroleum or petroleum products, natural or synthetic gas, asbestos in any form that is or could become friable, urea formaldehyde foam insulation and radon gas, (b) any substances defined as or included in the definition of "hazardous substances," "hazardous wastes," "hazardous materials," "extremely hazardous wastes," "restricted hazardous wastes," "toxic substances," "toxic pollutants," "contaminants" or "pollutants," or words of similar import, under any Environmental Law, and (c) any other substance, exposure to which is regulated under any Environmental Law.</w:t>
      </w:r>
    </w:p>
    <w:p>
      <w:pPr>
        <w:spacing w:after="0" w:line="166" w:lineRule="exact"/>
        <w:rPr>
          <w:sz w:val="20"/>
          <w:szCs w:val="20"/>
          <w:color w:val="auto"/>
        </w:rPr>
      </w:pPr>
    </w:p>
    <w:p>
      <w:pPr>
        <w:jc w:val="both"/>
        <w:ind w:right="3239" w:firstLine="437"/>
        <w:spacing w:after="0" w:line="256" w:lineRule="auto"/>
        <w:rPr>
          <w:sz w:val="20"/>
          <w:szCs w:val="20"/>
          <w:color w:val="auto"/>
        </w:rPr>
      </w:pPr>
      <w:r>
        <w:rPr>
          <w:rFonts w:ascii="Courier New" w:cs="Courier New" w:eastAsia="Courier New" w:hAnsi="Courier New"/>
          <w:sz w:val="14"/>
          <w:szCs w:val="14"/>
          <w:color w:val="auto"/>
        </w:rPr>
        <w:t>"Hedge Agreements" shall mean interest rate swap, cap or collar agreements, interest rate future or option contracts, currency swap agreements, currency future or option contracts and other similar agreements designed to hedge against fluctuations in interest rates or foreign exchange rates.</w:t>
      </w:r>
    </w:p>
    <w:p>
      <w:pPr>
        <w:spacing w:after="0" w:line="15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"Indemnified Party" shall have the meaning specified in Section 9.04(b).</w:t>
      </w:r>
    </w:p>
    <w:p>
      <w:pPr>
        <w:spacing w:after="0" w:line="173"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"Inter-company Debt" shall mean any Debt at any time owed by the Borrower to the Subordinated Creditor.</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"Interest Period" shall mean, for each Advance, (i) initially, the period commencing on (and including) the Borrowing Date and ending on (but excluding) the last day of the period selected by the Borrower pursuant to the provisions below, and (ii) thereafter, each subsequent period commencing on (and including) the last day of the immediately preceding Interest Period and ending on (but excluding) the last day of the period selected by the Borrower pursuant to the provisions below. The duration of each such Interest Period shall be one, two, three or six months, as the Borrower may elect upon notice received by the Administrative Agent not later than 11:00 A.M. (New York City time) on the third Business Day prior to the first day of such Interest Period; provided, however, that:</w:t>
      </w:r>
    </w:p>
    <w:p>
      <w:pPr>
        <w:spacing w:after="0" w:line="174" w:lineRule="exact"/>
        <w:rPr>
          <w:sz w:val="20"/>
          <w:szCs w:val="20"/>
          <w:color w:val="auto"/>
        </w:rPr>
      </w:pPr>
    </w:p>
    <w:p>
      <w:pPr>
        <w:ind w:left="800" w:hanging="353"/>
        <w:spacing w:after="0"/>
        <w:tabs>
          <w:tab w:leader="none" w:pos="800"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Interest Period may end after the Maturity Date;</w:t>
      </w:r>
    </w:p>
    <w:p>
      <w:pPr>
        <w:spacing w:after="0" w:line="172" w:lineRule="exact"/>
        <w:rPr>
          <w:rFonts w:ascii="Courier New" w:cs="Courier New" w:eastAsia="Courier New" w:hAnsi="Courier New"/>
          <w:sz w:val="15"/>
          <w:szCs w:val="15"/>
          <w:color w:val="auto"/>
        </w:rPr>
      </w:pPr>
    </w:p>
    <w:p>
      <w:pPr>
        <w:jc w:val="both"/>
        <w:ind w:right="3239" w:firstLine="447"/>
        <w:spacing w:after="0" w:line="235" w:lineRule="auto"/>
        <w:tabs>
          <w:tab w:leader="none" w:pos="787"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syndication of the Advances has not been completed by the Borrowing Date (as determined by the Administrative Agent in its reasonable discretion), the first three Interest Periods commencing on the Borrowing Date shall be one-month interest periods;</w:t>
      </w:r>
    </w:p>
    <w:p>
      <w:pPr>
        <w:spacing w:after="0" w:line="175" w:lineRule="exact"/>
        <w:rPr>
          <w:rFonts w:ascii="Courier New" w:cs="Courier New" w:eastAsia="Courier New" w:hAnsi="Courier New"/>
          <w:sz w:val="15"/>
          <w:szCs w:val="15"/>
          <w:color w:val="auto"/>
        </w:rPr>
      </w:pPr>
    </w:p>
    <w:p>
      <w:pPr>
        <w:jc w:val="both"/>
        <w:ind w:right="3239" w:firstLine="447"/>
        <w:spacing w:after="0" w:line="236" w:lineRule="auto"/>
        <w:tabs>
          <w:tab w:leader="none" w:pos="787"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the last day of any Interest Period would otherwise occur on a day other than a Business Day, the last day of such Interest Period shall be extended to occur on the next succeeding Business Day; provided, however, that, if such extension would cause the last day of such Interest Period to occur in the next following calendar month, the last day of such Interest Period shall occur on the next preceding Business Day; and</w:t>
      </w:r>
    </w:p>
    <w:p>
      <w:pPr>
        <w:spacing w:after="0" w:line="174" w:lineRule="exact"/>
        <w:rPr>
          <w:rFonts w:ascii="Courier New" w:cs="Courier New" w:eastAsia="Courier New" w:hAnsi="Courier New"/>
          <w:sz w:val="15"/>
          <w:szCs w:val="15"/>
          <w:color w:val="auto"/>
        </w:rPr>
      </w:pPr>
    </w:p>
    <w:p>
      <w:pPr>
        <w:jc w:val="both"/>
        <w:ind w:right="3239" w:firstLine="447"/>
        <w:spacing w:after="0" w:line="236" w:lineRule="auto"/>
        <w:tabs>
          <w:tab w:leader="none" w:pos="787"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with respect to the Interest Periods described in clause (a) above, whenever the first day of any Interest Period occurs on a day of an initial calendar month for which there is no numerically corresponding day in the calendar month that succeeds such initial calendar month by the number of months in such Interest Period, such Interest Period shall end on the last Business Day of such succeeding calendar month.</w:t>
      </w:r>
    </w:p>
    <w:p>
      <w:pPr>
        <w:spacing w:after="0" w:line="175"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"Joinder Agreement" shall have the meaning specified in Section 5.01(j)(i)(A).</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"Lead Arranger" shall have the meaning specified in the preamble to this Agreement.</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"Lender" shall mean each Lender listed on the signature pages hereof and each Eligible Assignee that becomes a party hereto pursuant to Section 9.07.</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624" w:right="1440" w:bottom="1440" w:gutter="0" w:footer="0" w:header="0"/>
        </w:sectPr>
      </w:pPr>
    </w:p>
    <w:bookmarkStart w:id="225" w:name="page226"/>
    <w:bookmarkEnd w:id="225"/>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"Lending Office" shall mean, with respect to any Lender, the office of such Lender specified as its "Lending Office" opposite its name on Annex I hereto or in the Assignment and Acceptance pursuant to which it became a Lender, or such other office of such Lender as it may from time to time specify by notice to the Borrower and the Administrative Agent.</w:t>
      </w:r>
    </w:p>
    <w:p>
      <w:pPr>
        <w:spacing w:after="0" w:line="17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"Lien" shall mean any lien, security interest or other charge or encumbrance of any kind, or any other type of preferential arrangement, including, without limitation, the lien or retained security title of a conditional vendor and any easement, right of way or other encumbrance on title to real property.</w:t>
      </w:r>
    </w:p>
    <w:p>
      <w:pPr>
        <w:spacing w:after="0" w:line="174"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"Loan Documents" shall mean this Agreement, each Note, the Subordination Agreement and each other instrument, agreement, certificate, notice or other document executed and/or delivered pursuant hereto or thereto or in connection herewith or therewith.</w:t>
      </w:r>
    </w:p>
    <w:p>
      <w:pPr>
        <w:spacing w:after="0" w:line="175"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"Margin Stock" shall have the meaning provided in Regulation U of the Board of Governors of the U.S. Federal Reserve System.</w:t>
      </w:r>
    </w:p>
    <w:p>
      <w:pPr>
        <w:spacing w:after="0" w:line="173" w:lineRule="exact"/>
        <w:rPr>
          <w:sz w:val="20"/>
          <w:szCs w:val="20"/>
          <w:color w:val="auto"/>
        </w:rPr>
      </w:pPr>
    </w:p>
    <w:p>
      <w:pPr>
        <w:jc w:val="both"/>
        <w:ind w:right="3239" w:firstLine="437"/>
        <w:spacing w:after="0" w:line="256" w:lineRule="auto"/>
        <w:rPr>
          <w:sz w:val="20"/>
          <w:szCs w:val="20"/>
          <w:color w:val="auto"/>
        </w:rPr>
      </w:pPr>
      <w:r>
        <w:rPr>
          <w:rFonts w:ascii="Courier New" w:cs="Courier New" w:eastAsia="Courier New" w:hAnsi="Courier New"/>
          <w:sz w:val="14"/>
          <w:szCs w:val="14"/>
          <w:color w:val="auto"/>
        </w:rPr>
        <w:t>"Material Adverse Change" shall mean a material adverse change in (a) the business, condition (financial or otherwise), operations, properties, assets or prospects of the Borrower and its Subsidiaries taken as a whole or (b) the ability of the Borrower to perform its Obligations under any Loan Document.</w:t>
      </w:r>
    </w:p>
    <w:p>
      <w:pPr>
        <w:spacing w:after="0" w:line="164"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"Material Adverse Effect" shall mean a material adverse effect on (a) the business, condition (financial or otherwise), operations, properties, assets or prospects of the Borrower or the Borrower and its Subsidiaries taken as a whole,</w:t>
      </w:r>
    </w:p>
    <w:p>
      <w:pPr>
        <w:spacing w:after="0" w:line="1" w:lineRule="exact"/>
        <w:rPr>
          <w:sz w:val="20"/>
          <w:szCs w:val="20"/>
          <w:color w:val="auto"/>
        </w:rPr>
      </w:pPr>
    </w:p>
    <w:p>
      <w:pPr>
        <w:jc w:val="both"/>
        <w:ind w:right="3239" w:firstLine="10"/>
        <w:spacing w:after="0" w:line="235" w:lineRule="auto"/>
        <w:tabs>
          <w:tab w:leader="none" w:pos="350"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rights and remedies of the Administrative Agent or any Lender under any Loan Document, or (c) the ability of the Borrower to perform its Obligations under any Loan Document.</w:t>
      </w:r>
    </w:p>
    <w:p>
      <w:pPr>
        <w:spacing w:after="0" w:line="174"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"Material Subsidiary" shall mean any Subsidiary of the Borrower (i) the total assets or gross revenues of which, determined on a consolidated basis for such Subsidiary and its consolidated subsidiaries, represent not less than 10% of the total consolidated assets, consolidated gross revenues or Consolidated EBITDA of the Borrower, as the case may be, all as calculated by reference to the most recent quarterly financial statements (or annual financial statements, as the case may be) of such Subsidiary and the most recent consolidated quarterly financial statements of the Borrower and its Subsidiaries required to be delivered hereunder, (ii) to which all or substantially all the assets and undertakings of a Subsidiary are transferred which immediately prior to such transfer was a Material Subsidiary, or (iii) which owns or controls any assets which are deemed by the Required Lenders (in their sole discretion) to be material for the operations of the Borrower or the Guarantors (including, without limitation, licenses, trademarks, patents, information centers and distributions channels), it being understood that the Non-Guarantor Subsidiaries shall in no event be Material Subsidiaries.</w:t>
      </w:r>
    </w:p>
    <w:p>
      <w:pPr>
        <w:spacing w:after="0" w:line="332"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"Maturity Date" shall mean the date which is 36 months following the Borrowing Date.</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"Mexican Bank" shall mean a multiple banking institution established under the laws of Mexico and licensed to engage in the business of banking by the Mexican Ministry of Finance and Public Credit.</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"Mexico" shall mean the United Mexican States.</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"Net Sale Proceeds" shall mean, for any Asset Sale, the net cash proceeds received from such Asset Sale, less the estimated marginal increase in income taxes incurred by the Borrower and the Non-Guarantor Subsidiaries in connection with such Asset Sale and the amount of such net cash proceeds required to be used to permanently repay any Debt which is secured by the respective assets which were sold (other than the Advances).</w:t>
      </w:r>
    </w:p>
    <w:p>
      <w:pPr>
        <w:spacing w:after="0" w:line="175"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"Net Worth" shall mean, as to any Person, the sum of its capital stock, capital in excess of par or stated value of shares of its capital stock, retained earnings and any other account which, in accordance with GAAP, constitutes stockholders' equity, excluding any treasury stock.</w:t>
      </w:r>
    </w:p>
    <w:p>
      <w:pPr>
        <w:spacing w:after="0" w:line="175"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"Non-Guarantor Subsidiaries" shall mean Vendo de Mexico, S.A. de C.V., Plasticos Tecnicos Mexicanos, S.A. de C.V., Grafo Regia, S.A. de C.V. and Quimiproductos, S.A. de C.V.</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624" w:right="1440" w:bottom="1440" w:gutter="0" w:footer="0" w:header="0"/>
        </w:sectPr>
      </w:pPr>
    </w:p>
    <w:bookmarkStart w:id="226" w:name="page227"/>
    <w:bookmarkEnd w:id="226"/>
    <w:p>
      <w:pPr>
        <w:ind w:left="440"/>
        <w:spacing w:after="0"/>
        <w:rPr>
          <w:sz w:val="20"/>
          <w:szCs w:val="20"/>
          <w:color w:val="auto"/>
        </w:rPr>
      </w:pPr>
      <w:r>
        <w:rPr>
          <w:rFonts w:ascii="Courier New" w:cs="Courier New" w:eastAsia="Courier New" w:hAnsi="Courier New"/>
          <w:sz w:val="15"/>
          <w:szCs w:val="15"/>
          <w:color w:val="auto"/>
        </w:rPr>
        <w:t>"Note" shall have the meaning specified in Section 2.03(b).</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"Notice of Borrowing" shall have the meaning specified in Section 2.02(a).</w:t>
      </w:r>
    </w:p>
    <w:p>
      <w:pPr>
        <w:spacing w:after="0" w:line="178"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"Obligation" shall mean, with respect to any Person, any obligation of such Person of any kind, including, without limitation, any liability of such Person on any claim, whether or not the right of any creditor to payment in respect to such claim is reduced to judgment, liquidated, unliquidated, fixed, contingent, matured, disputed, undisputed, legal, equitable, secured or unsecured, and whether or not such claim is discharged, stayed or otherwise affected by any proceeding referred to in Section 6.01(f). Without limiting the generality of the foregoing, the Obligations of the Borrower under the Loan Documents include</w:t>
      </w:r>
    </w:p>
    <w:p>
      <w:pPr>
        <w:spacing w:after="0" w:line="3" w:lineRule="exact"/>
        <w:rPr>
          <w:sz w:val="20"/>
          <w:szCs w:val="20"/>
          <w:color w:val="auto"/>
        </w:rPr>
      </w:pPr>
    </w:p>
    <w:p>
      <w:pPr>
        <w:jc w:val="both"/>
        <w:ind w:right="3239" w:firstLine="10"/>
        <w:spacing w:after="0" w:line="236" w:lineRule="auto"/>
        <w:tabs>
          <w:tab w:leader="none" w:pos="437"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obligation to pay principal, interest, charges, expenses, fees, reasonable attorneys' fees and disbursements, indemnities and other amounts payable by the Borrower under any Loan Document and (b) the obligation to reimburse any amount in respect of any of the foregoing that any Lender, in its sole discretion, may elect to pay or advance on behalf of the Borrower in accordance with the Loan Documents.</w:t>
      </w:r>
    </w:p>
    <w:p>
      <w:pPr>
        <w:spacing w:after="0" w:line="168"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"Original Note" shall have the meaning specified in Section 2.03(c).</w:t>
      </w:r>
    </w:p>
    <w:p>
      <w:pPr>
        <w:spacing w:after="0" w:line="173"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"Other Currency" shall have the meaning specified in Section 9.11(a).</w:t>
      </w:r>
    </w:p>
    <w:p>
      <w:pPr>
        <w:spacing w:after="0" w:line="171" w:lineRule="exact"/>
        <w:rPr>
          <w:sz w:val="20"/>
          <w:szCs w:val="20"/>
          <w:color w:val="auto"/>
        </w:rPr>
      </w:pPr>
    </w:p>
    <w:p>
      <w:pPr>
        <w:ind w:left="440"/>
        <w:spacing w:after="0"/>
        <w:tabs>
          <w:tab w:leader="none" w:pos="1480" w:val="left"/>
          <w:tab w:leader="none" w:pos="2180" w:val="left"/>
          <w:tab w:leader="none" w:pos="2780" w:val="left"/>
          <w:tab w:leader="none" w:pos="3400" w:val="left"/>
          <w:tab w:leader="none" w:pos="3920" w:val="left"/>
          <w:tab w:leader="none" w:pos="4720" w:val="left"/>
          <w:tab w:leader="none" w:pos="5060" w:val="left"/>
          <w:tab w:leader="none" w:pos="5500" w:val="left"/>
          <w:tab w:leader="none" w:pos="6380" w:val="left"/>
          <w:tab w:leader="none" w:pos="6720" w:val="left"/>
        </w:tabs>
        <w:rPr>
          <w:sz w:val="20"/>
          <w:szCs w:val="20"/>
          <w:color w:val="auto"/>
        </w:rPr>
      </w:pPr>
      <w:r>
        <w:rPr>
          <w:rFonts w:ascii="Courier New" w:cs="Courier New" w:eastAsia="Courier New" w:hAnsi="Courier New"/>
          <w:sz w:val="15"/>
          <w:szCs w:val="15"/>
          <w:color w:val="auto"/>
        </w:rPr>
        <w:t>"Permitted</w:t>
        <w:tab/>
        <w:t>Liens"</w:t>
        <w:tab/>
        <w:t>shall</w:t>
        <w:tab/>
        <w:t>mean,</w:t>
        <w:tab/>
        <w:t>with</w:t>
        <w:tab/>
        <w:t>respect</w:t>
        <w:tab/>
        <w:t>to</w:t>
        <w:tab/>
        <w:t>the</w:t>
        <w:tab/>
        <w:t>Borrower</w:t>
        <w:tab/>
        <w:t>or</w:t>
      </w:r>
      <w:r>
        <w:rPr>
          <w:sz w:val="20"/>
          <w:szCs w:val="20"/>
          <w:color w:val="auto"/>
        </w:rPr>
        <w:tab/>
      </w:r>
      <w:r>
        <w:rPr>
          <w:rFonts w:ascii="Courier New" w:cs="Courier New" w:eastAsia="Courier New" w:hAnsi="Courier New"/>
          <w:sz w:val="14"/>
          <w:szCs w:val="14"/>
          <w:color w:val="auto"/>
        </w:rPr>
        <w:t>its</w:t>
      </w:r>
    </w:p>
    <w:p>
      <w:pPr>
        <w:spacing w:after="0" w:line="237" w:lineRule="auto"/>
        <w:rPr>
          <w:sz w:val="20"/>
          <w:szCs w:val="20"/>
          <w:color w:val="auto"/>
        </w:rPr>
      </w:pPr>
      <w:r>
        <w:rPr>
          <w:rFonts w:ascii="Courier New" w:cs="Courier New" w:eastAsia="Courier New" w:hAnsi="Courier New"/>
          <w:sz w:val="15"/>
          <w:szCs w:val="15"/>
          <w:color w:val="auto"/>
        </w:rPr>
        <w:t>Subsidiaries: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617" w:right="1440" w:bottom="1440" w:gutter="0" w:footer="0" w:header="0"/>
        </w:sectPr>
      </w:pPr>
    </w:p>
    <w:bookmarkStart w:id="227" w:name="page228"/>
    <w:bookmarkEnd w:id="227"/>
    <w:p>
      <w:pPr>
        <w:ind w:right="3239" w:firstLine="447"/>
        <w:spacing w:after="0" w:line="234" w:lineRule="auto"/>
        <w:tabs>
          <w:tab w:leader="none" w:pos="787"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in existence on the Effective Date which are listed, and the property subject thereto described, in Annex II hereto;</w:t>
      </w:r>
    </w:p>
    <w:p>
      <w:pPr>
        <w:spacing w:after="0" w:line="173" w:lineRule="exact"/>
        <w:rPr>
          <w:rFonts w:ascii="Courier New" w:cs="Courier New" w:eastAsia="Courier New" w:hAnsi="Courier New"/>
          <w:sz w:val="15"/>
          <w:szCs w:val="15"/>
          <w:color w:val="auto"/>
        </w:rPr>
      </w:pPr>
    </w:p>
    <w:p>
      <w:pPr>
        <w:jc w:val="both"/>
        <w:ind w:right="3239" w:firstLine="447"/>
        <w:spacing w:after="0" w:line="255" w:lineRule="auto"/>
        <w:tabs>
          <w:tab w:leader="none" w:pos="787"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pledges or deposits by such Person under worker's compensation laws, unemployment insurance laws or similar legislation, or good faith deposits in connection with bids, tenders, contracts (other than for the payment of Debt) or leases to which such Person is a party, or deposits to secure public or statutory obligations of such Person or deposits of cash or government bonds to secure performance, surety or appeal bonds to which such Person is a party or which are otherwise required of such Person, or deposits as security for contested taxes or import duties or for the payment of rent or other obligations of like nature, in each case incurred in the ordinary course of business;</w:t>
      </w:r>
    </w:p>
    <w:p>
      <w:pPr>
        <w:spacing w:after="0" w:line="165" w:lineRule="exact"/>
        <w:rPr>
          <w:rFonts w:ascii="Courier New" w:cs="Courier New" w:eastAsia="Courier New" w:hAnsi="Courier New"/>
          <w:sz w:val="14"/>
          <w:szCs w:val="14"/>
          <w:color w:val="auto"/>
        </w:rPr>
      </w:pPr>
    </w:p>
    <w:p>
      <w:pPr>
        <w:jc w:val="both"/>
        <w:ind w:right="3239" w:firstLine="447"/>
        <w:spacing w:after="0" w:line="235" w:lineRule="auto"/>
        <w:tabs>
          <w:tab w:leader="none" w:pos="787"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arising by operation of or imposed by law or other Liens arising out of judgments or awards in an amount not to exceed U.S.$10,000,000 in the aggregate against such Person;</w:t>
      </w:r>
    </w:p>
    <w:p>
      <w:pPr>
        <w:spacing w:after="0" w:line="173" w:lineRule="exact"/>
        <w:rPr>
          <w:rFonts w:ascii="Courier New" w:cs="Courier New" w:eastAsia="Courier New" w:hAnsi="Courier New"/>
          <w:sz w:val="15"/>
          <w:szCs w:val="15"/>
          <w:color w:val="auto"/>
        </w:rPr>
      </w:pPr>
    </w:p>
    <w:p>
      <w:pPr>
        <w:jc w:val="both"/>
        <w:ind w:right="3239" w:firstLine="447"/>
        <w:spacing w:after="0" w:line="235" w:lineRule="auto"/>
        <w:tabs>
          <w:tab w:leader="none" w:pos="787"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for taxes, assessments and other governmental charges or levies not yet delinquent or subject to penalties for non-payment or which are being contested in good faith by appropriate proceedings;</w:t>
      </w:r>
    </w:p>
    <w:p>
      <w:pPr>
        <w:spacing w:after="0" w:line="173" w:lineRule="exact"/>
        <w:rPr>
          <w:rFonts w:ascii="Courier New" w:cs="Courier New" w:eastAsia="Courier New" w:hAnsi="Courier New"/>
          <w:sz w:val="15"/>
          <w:szCs w:val="15"/>
          <w:color w:val="auto"/>
        </w:rPr>
      </w:pPr>
    </w:p>
    <w:p>
      <w:pPr>
        <w:jc w:val="both"/>
        <w:ind w:right="3239" w:firstLine="447"/>
        <w:spacing w:after="0" w:line="236" w:lineRule="auto"/>
        <w:tabs>
          <w:tab w:leader="none" w:pos="787"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minor survey exceptions, minor encumbrances, easements or reservations of or with respect to, or rights of others for or with respect to, licenses, rights-of-way, sewers, electric and other utility lines and usages, telegraph and telephone lines, pipelines, surface use, operation of equipment, permits, servitudes and other similar matters, or zoning or other restrictions as to the use of real property or Liens incidental to the conduct of the business of such Person or to the ownership of its properties which were not incurred in connection with Debt and which do not in the aggregate materially adversely affect the value of said properties or materially impair their use in the operation of the business of such Person;</w:t>
      </w:r>
    </w:p>
    <w:p>
      <w:pPr>
        <w:spacing w:after="0" w:line="179" w:lineRule="exact"/>
        <w:rPr>
          <w:rFonts w:ascii="Courier New" w:cs="Courier New" w:eastAsia="Courier New" w:hAnsi="Courier New"/>
          <w:sz w:val="15"/>
          <w:szCs w:val="15"/>
          <w:color w:val="auto"/>
        </w:rPr>
      </w:pPr>
    </w:p>
    <w:p>
      <w:pPr>
        <w:jc w:val="both"/>
        <w:ind w:right="3239" w:firstLine="447"/>
        <w:spacing w:after="0" w:line="256" w:lineRule="auto"/>
        <w:tabs>
          <w:tab w:leader="none" w:pos="787"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on property at the time the Borrower or any of its Subsidiaries acquired the property or the entity owning such property, including any acquisition by means of a merger or consolidation with or into the Borrower or any of its Subsidiaries; provided, however, that any such Lien may not extend to any other property owned by the Borrower or any of its Subsidiaries;</w:t>
      </w:r>
    </w:p>
    <w:p>
      <w:pPr>
        <w:spacing w:after="0" w:line="156" w:lineRule="exact"/>
        <w:rPr>
          <w:rFonts w:ascii="Courier New" w:cs="Courier New" w:eastAsia="Courier New" w:hAnsi="Courier New"/>
          <w:sz w:val="14"/>
          <w:szCs w:val="14"/>
          <w:color w:val="auto"/>
        </w:rPr>
      </w:pPr>
    </w:p>
    <w:p>
      <w:pPr>
        <w:ind w:left="800" w:hanging="353"/>
        <w:spacing w:after="0"/>
        <w:tabs>
          <w:tab w:leader="none" w:pos="800"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Money Liens;</w:t>
      </w:r>
    </w:p>
    <w:p>
      <w:pPr>
        <w:spacing w:after="0" w:line="172" w:lineRule="exact"/>
        <w:rPr>
          <w:rFonts w:ascii="Courier New" w:cs="Courier New" w:eastAsia="Courier New" w:hAnsi="Courier New"/>
          <w:sz w:val="15"/>
          <w:szCs w:val="15"/>
          <w:color w:val="auto"/>
        </w:rPr>
      </w:pPr>
    </w:p>
    <w:p>
      <w:pPr>
        <w:ind w:right="3239" w:firstLine="447"/>
        <w:spacing w:after="0" w:line="234" w:lineRule="auto"/>
        <w:tabs>
          <w:tab w:leader="none" w:pos="875"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securing only Debt of a Subsidiary of the Borrower to the Borrower or any Guarantor;</w:t>
      </w:r>
    </w:p>
    <w:p>
      <w:pPr>
        <w:spacing w:after="0" w:line="173" w:lineRule="exact"/>
        <w:rPr>
          <w:rFonts w:ascii="Courier New" w:cs="Courier New" w:eastAsia="Courier New" w:hAnsi="Courier New"/>
          <w:sz w:val="15"/>
          <w:szCs w:val="15"/>
          <w:color w:val="auto"/>
        </w:rPr>
      </w:pPr>
    </w:p>
    <w:p>
      <w:pPr>
        <w:ind w:right="3239" w:firstLine="447"/>
        <w:spacing w:after="0" w:line="261" w:lineRule="auto"/>
        <w:tabs>
          <w:tab w:leader="none" w:pos="787"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resulting from the deposit of funds or evidences of Debt in trust for the purpose of defeasing Debt of the Borrower or any of its Subsidiaries;</w:t>
      </w:r>
    </w:p>
    <w:p>
      <w:pPr>
        <w:spacing w:after="0" w:line="159" w:lineRule="exact"/>
        <w:rPr>
          <w:rFonts w:ascii="Courier New" w:cs="Courier New" w:eastAsia="Courier New" w:hAnsi="Courier New"/>
          <w:sz w:val="14"/>
          <w:szCs w:val="14"/>
          <w:color w:val="auto"/>
        </w:rPr>
      </w:pPr>
    </w:p>
    <w:p>
      <w:pPr>
        <w:jc w:val="both"/>
        <w:ind w:right="3239" w:firstLine="447"/>
        <w:spacing w:after="0" w:line="235" w:lineRule="auto"/>
        <w:tabs>
          <w:tab w:leader="none" w:pos="787"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legal or equitable encumbrances deemed to exist by reason of negative pledges or the existence of any litigation or other legal proceeding and any related lis pendens filing (excluding any attachment prior to judgment, judgment lien or attachment lien in aid of execution on a judgment);</w:t>
      </w:r>
    </w:p>
    <w:p>
      <w:pPr>
        <w:spacing w:after="0" w:line="175"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rights of a common  owner of any  interest  in  property  held by such</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Person;</w:t>
      </w:r>
    </w:p>
    <w:p>
      <w:pPr>
        <w:spacing w:after="0" w:line="173" w:lineRule="exact"/>
        <w:rPr>
          <w:rFonts w:ascii="Courier New" w:cs="Courier New" w:eastAsia="Courier New" w:hAnsi="Courier New"/>
          <w:sz w:val="14"/>
          <w:szCs w:val="14"/>
          <w:color w:val="auto"/>
        </w:rPr>
      </w:pPr>
    </w:p>
    <w:p>
      <w:pPr>
        <w:jc w:val="both"/>
        <w:ind w:right="3239" w:firstLine="447"/>
        <w:spacing w:after="0" w:line="236" w:lineRule="auto"/>
        <w:tabs>
          <w:tab w:leader="none" w:pos="787"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on property or shares of stock of another Person at the time such other Person becomes a Subsidiary of such Person; provided, however, that such Liens are not created, incurred or assumed in connection with, or in contemplation of, such other Person becoming such a Subsidiary of such Person; provided further, however, that such Lien may not extend to any other property owned by such Person or any of its Subsidiaries;</w:t>
      </w:r>
    </w:p>
    <w:p>
      <w:pPr>
        <w:spacing w:after="0" w:line="174" w:lineRule="exact"/>
        <w:rPr>
          <w:rFonts w:ascii="Courier New" w:cs="Courier New" w:eastAsia="Courier New" w:hAnsi="Courier New"/>
          <w:sz w:val="15"/>
          <w:szCs w:val="15"/>
          <w:color w:val="auto"/>
        </w:rPr>
      </w:pPr>
    </w:p>
    <w:p>
      <w:pPr>
        <w:jc w:val="both"/>
        <w:ind w:right="3239" w:firstLine="447"/>
        <w:spacing w:after="0" w:line="235" w:lineRule="auto"/>
        <w:tabs>
          <w:tab w:leader="none" w:pos="787"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defects, irregularities or deficiencies in title to easements, rights-of-way or other properties which do not in the aggregate materially adversely affect the value of such properties or materially impair their use in the operation of the business of such Person;</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624" w:right="1440" w:bottom="1440" w:gutter="0" w:footer="0" w:header="0"/>
        </w:sectPr>
      </w:pPr>
    </w:p>
    <w:bookmarkStart w:id="228" w:name="page229"/>
    <w:bookmarkEnd w:id="228"/>
    <w:p>
      <w:pPr>
        <w:jc w:val="both"/>
        <w:ind w:right="3239" w:firstLine="447"/>
        <w:spacing w:after="0" w:line="235" w:lineRule="auto"/>
        <w:tabs>
          <w:tab w:leader="none" w:pos="787"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in favor of the issuers of surety bonds or letters of credit issued pursuant to the request of and for the account of such Person in the ordinary course of business; provided, however, that the obligations in respect of such letters of credit do not constitute Debt;</w:t>
      </w:r>
    </w:p>
    <w:p>
      <w:pPr>
        <w:spacing w:after="0" w:line="175" w:lineRule="exact"/>
        <w:rPr>
          <w:rFonts w:ascii="Courier New" w:cs="Courier New" w:eastAsia="Courier New" w:hAnsi="Courier New"/>
          <w:sz w:val="15"/>
          <w:szCs w:val="15"/>
          <w:color w:val="auto"/>
        </w:rPr>
      </w:pPr>
    </w:p>
    <w:p>
      <w:pPr>
        <w:ind w:right="3239" w:firstLine="447"/>
        <w:spacing w:after="0" w:line="234" w:lineRule="auto"/>
        <w:tabs>
          <w:tab w:leader="none" w:pos="787"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arising in connection with Capitalized Leases in an aggregate principal amount not to exceed U.S.$10,000,000 at any time outstanding;</w:t>
      </w:r>
    </w:p>
    <w:p>
      <w:pPr>
        <w:spacing w:after="0" w:line="173" w:lineRule="exact"/>
        <w:rPr>
          <w:rFonts w:ascii="Courier New" w:cs="Courier New" w:eastAsia="Courier New" w:hAnsi="Courier New"/>
          <w:sz w:val="15"/>
          <w:szCs w:val="15"/>
          <w:color w:val="auto"/>
        </w:rPr>
      </w:pPr>
    </w:p>
    <w:p>
      <w:pPr>
        <w:jc w:val="both"/>
        <w:ind w:right="3239" w:firstLine="447"/>
        <w:spacing w:after="0" w:line="237" w:lineRule="auto"/>
        <w:tabs>
          <w:tab w:leader="none" w:pos="787"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to secure any refinancing, refunding, extension, renewal or replacement (or successive refinancings, refundings, extensions, renewals or replacements), as a whole, or in part, of any Debt secured by any Lien referred to in the foregoing clauses (f) through (j); provided, however, that (i) such new Lien shall be limited to all or part of the same property that secured the original Lien (plus improvements on or to such property) and (ii) the Debt secured by such Lien at such time is not increased to any amount greater than the sum of (A) the outstanding principal amount or, if greater, committed amount of the Debt described under clauses (f) through (j) at the time the original Lien became a Permitted Lien under this Agreement and (B) any amount necessary to pay any fees and expenses, including premiums, related to such refinancing, refunding, extension, renewal or replacement;</w:t>
      </w:r>
    </w:p>
    <w:p>
      <w:pPr>
        <w:spacing w:after="0" w:line="173" w:lineRule="exact"/>
        <w:rPr>
          <w:rFonts w:ascii="Courier New" w:cs="Courier New" w:eastAsia="Courier New" w:hAnsi="Courier New"/>
          <w:sz w:val="15"/>
          <w:szCs w:val="15"/>
          <w:color w:val="auto"/>
        </w:rPr>
      </w:pPr>
    </w:p>
    <w:p>
      <w:pPr>
        <w:jc w:val="both"/>
        <w:ind w:right="3239" w:firstLine="447"/>
        <w:spacing w:after="0" w:line="235" w:lineRule="auto"/>
        <w:tabs>
          <w:tab w:leader="none" w:pos="787"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arising in connection with its business which, (i) do not secure any obligation in an amount exceeding U.S.$15,000,000 and (ii) do not in the aggregate materially detract from the value of its assets or materially impair the use thereof in the operation of its business; and</w:t>
      </w:r>
    </w:p>
    <w:p>
      <w:pPr>
        <w:spacing w:after="0" w:line="175" w:lineRule="exact"/>
        <w:rPr>
          <w:rFonts w:ascii="Courier New" w:cs="Courier New" w:eastAsia="Courier New" w:hAnsi="Courier New"/>
          <w:sz w:val="15"/>
          <w:szCs w:val="15"/>
          <w:color w:val="auto"/>
        </w:rPr>
      </w:pPr>
    </w:p>
    <w:p>
      <w:pPr>
        <w:jc w:val="both"/>
        <w:ind w:right="3239" w:firstLine="447"/>
        <w:spacing w:after="0" w:line="235" w:lineRule="auto"/>
        <w:tabs>
          <w:tab w:leader="none" w:pos="787"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on cash and cash equivalents securing Derivatives Obligations; provided, that the aggregate amount of cash and cash equivalents subject to such Liens shall at no time exceed an aggregate amount of U.S.$10,000,000.</w:t>
      </w:r>
    </w:p>
    <w:p>
      <w:pPr>
        <w:spacing w:after="0" w:line="174"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"Person" shall mean an individual, partnership, corporation (including a business trust), joint stock company, trust, unincorporated association, joint venture or other entity, or a government or any political subdivision or agency thereof.</w:t>
      </w:r>
    </w:p>
    <w:p>
      <w:pPr>
        <w:spacing w:after="0" w:line="169"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"Process Agent" shall have the meaning specified in Section 9.12(a).</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"Ps." or "Peso" shall mean the lawful money of Mexico.</w:t>
      </w:r>
    </w:p>
    <w:p>
      <w:pPr>
        <w:spacing w:after="0" w:line="173"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"Purchase Money Lien" shall mean a Lien on property securing Debt incurred by the Borrower or any of its Subsidiaries to provide funds for all or any portion of the cost of acquiring, constructing, altering, expanding, improving or repairing such property or assets used in connection with such property and any refinancing, refunding, extension, renewal or replacement (or successive refinancings, refundings, extensions, renewals or replacements), as a whole, or in part, of any Debt secured by such Lien; provided, however, that (i) such new Lien shall be limited to all or part of the same property that secured the original Lien (plus improvements on or to such property) and (ii) the Debt secured by such Lien at such time is not increased to any amount greater than the sum of (A) the outstanding principal amount or, if greater, committed amount of the Debt at the time the original Lien became a Purchase Money Lien under this Agreement and (B) any amount necessary to pay any fees and expenses, including premiums, related to such refinancing, refunding, extension, renewal or replacement.</w:t>
      </w:r>
    </w:p>
    <w:p>
      <w:pPr>
        <w:spacing w:after="0" w:line="174"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"Reduced Withholding Rate" shall have the meaning specified in Section 4.19(a).</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"Reference Banks" shall mean Bank of America, N.A. and Citibank N.A.</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"Register" shall have the meaning specified in Section 9.07(c).</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624" w:right="1440" w:bottom="1440" w:gutter="0" w:footer="0" w:header="0"/>
        </w:sectPr>
      </w:pPr>
    </w:p>
    <w:bookmarkStart w:id="229" w:name="page230"/>
    <w:bookmarkEnd w:id="229"/>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"Registered Bank" shall mean a bank registered in the Registry of Banks, Financial Entities, Pension and Retirement Funds and Investment Funds from Abroad (Registro de Bancos, Entidades de Financiamiento, Fondos de Pensiones y Jubilaciones y Fondos de Inversion del Extranjero) maintained by the Secretaria de Hacienda y Credito Publico of Mexico.</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"Replacement Lender" shall have the meaning specified in Section 2.08(f).</w:t>
      </w:r>
    </w:p>
    <w:p>
      <w:pPr>
        <w:spacing w:after="0" w:line="178"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"Required Lenders" shall mean at any time Lenders owed (or holding in the aggregate) at least 66% of the aggregate principal amount of the Advances outstanding at such time or, if no such principal amount is outstanding at such time, Lenders holding at least 66% of the aggregate of the Commitments.</w:t>
      </w:r>
    </w:p>
    <w:p>
      <w:pPr>
        <w:spacing w:after="0" w:line="175"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"Responsible Officer" shall mean, with respect to any Credit Party, the chief executive officer, the president, the chief accounting officer or the treasurer (or the equivalent of any of the foregoing) of such Credit Party or any other officer of such Credit Party authorized to act on behalf of such Credit Party in the certificate delivered pursuant to Section 3.01(d).</w:t>
      </w:r>
    </w:p>
    <w:p>
      <w:pPr>
        <w:spacing w:after="0" w:line="17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"Reuters Screen LIBO Page" shall mean the display of London interbank offered rates (commonly known as LIBOR) of major banks for Eurodollar deposits designated as page "LIBO" on the Reuters Monitor Money Rates Service (or such other page as may replace the LIBO page for the purpose of displaying such London interbank offered rates for Eurodollar deposits).</w:t>
      </w:r>
    </w:p>
    <w:p>
      <w:pPr>
        <w:spacing w:after="0" w:line="174"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"Subordinated Creditor" shall mean Grupo Industrial Emprex, S.A. de C.V., a sociedad anonima de capital variable organized and existing under the laws of Mexico.</w:t>
      </w:r>
    </w:p>
    <w:p>
      <w:pPr>
        <w:spacing w:after="0" w:line="174"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"Subordination Agreement" shall have the meaning provided in Section 3.01(g).</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"Subsidiary" of any Person shall mean any corporation, partnership, joint venture, trust or estate of which (or in which), directly or indirectly, more than 50% of (a) the issued and outstanding capital stock having ordinary voting power to elect a majority of the board of directors of such corporation (irrespective of whether at the time capital stock of any other class or classes of such corporation shall or might have voting power upon the occurrence of any contingency), (b) the interest in the capital or profits of such partnership or joint venture, or (c) the beneficial interest in such trust or estate is at the time directly or indirectly owned or controlled by such Person, by such Person and one or more of its other Subsidiaries or by one or more of such Person's other Subsidiaries. References to a Subsidiary, unless otherwise specifically stated, or the context otherwise requires, shall be reference to a Subsidiary of the Borrower.</w:t>
      </w:r>
    </w:p>
    <w:p>
      <w:pPr>
        <w:spacing w:after="0" w:line="32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"Successor Company" shall have the meaning specified in Section 5.02(b).</w:t>
      </w:r>
    </w:p>
    <w:p>
      <w:pPr>
        <w:spacing w:after="0" w:line="173"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"Syndication Agent" shall have the meaning specified in the preamble to this Agreement.</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"Taxes" shall mean any and all (a) present or future taxes, duties, levies, imposts, deductions, charges or withholdings with respect to any payment made by the Borrower hereunder or under the Notes or under any other Loan Document, and any interest or penalties in respect thereof, imposed by Mexico or any other jurisdiction from which any such payment is made, or any political subdivision or taxing authority thereof or therein or any federation or association of or with which any of the foregoing may be a member or associated, excluding in the</w:t>
      </w:r>
    </w:p>
    <w:p>
      <w:pPr>
        <w:spacing w:after="0" w:line="32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623" w:right="1440" w:bottom="1440" w:gutter="0" w:footer="0" w:header="0"/>
        </w:sectPr>
      </w:pPr>
    </w:p>
    <w:bookmarkStart w:id="230" w:name="page231"/>
    <w:bookmarkEnd w:id="230"/>
    <w:p>
      <w:pPr>
        <w:jc w:val="both"/>
        <w:ind w:right="3239"/>
        <w:spacing w:after="0" w:line="255" w:lineRule="auto"/>
        <w:rPr>
          <w:sz w:val="20"/>
          <w:szCs w:val="20"/>
          <w:color w:val="auto"/>
        </w:rPr>
      </w:pPr>
      <w:r>
        <w:rPr>
          <w:rFonts w:ascii="Courier New" w:cs="Courier New" w:eastAsia="Courier New" w:hAnsi="Courier New"/>
          <w:sz w:val="14"/>
          <w:szCs w:val="14"/>
          <w:color w:val="auto"/>
        </w:rPr>
        <w:t>case of each Lender, the Lead Arranger and the Administrative Agent, any taxes imposed on or measured by the net income of such Person pursuant to the laws of the jurisdiction (or any political subdivision or taxing or banking authority thereof or therein) in which the principal office or Lending Office of such Person is located, and (b) present or future stamp or documentary taxes and any other excise or property taxes, or similar charges or levies, which arise from any payment made pursuant to this Agreement or under the Notes or from the execution or delivery of, or otherwise with respect to, any Loan Document.</w:t>
      </w:r>
    </w:p>
    <w:p>
      <w:pPr>
        <w:spacing w:after="0" w:line="166"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"Termination Date" shall mean the earliest of (a) the Maturity Date, (b) the termination in whole of the Commitments pursuant to Section 6.01, or (c) if no Borrowing has then occurred, the Commitment Expiration Date.</w:t>
      </w:r>
    </w:p>
    <w:p>
      <w:pPr>
        <w:spacing w:after="0" w:line="174"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"Total Assets" shall mean, as to the Borrower, all of the combined assets of the Borrower and its Consolidated Subsidiaries.</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"United States" and "U.S." each shall mean United States of America.</w:t>
      </w:r>
    </w:p>
    <w:p>
      <w:pPr>
        <w:spacing w:after="0" w:line="173" w:lineRule="exact"/>
        <w:rPr>
          <w:sz w:val="20"/>
          <w:szCs w:val="20"/>
          <w:color w:val="auto"/>
        </w:rPr>
      </w:pPr>
    </w:p>
    <w:p>
      <w:pPr>
        <w:jc w:val="both"/>
        <w:ind w:right="3239" w:firstLine="437"/>
        <w:spacing w:after="0" w:line="256" w:lineRule="auto"/>
        <w:rPr>
          <w:sz w:val="20"/>
          <w:szCs w:val="20"/>
          <w:color w:val="auto"/>
        </w:rPr>
      </w:pPr>
      <w:r>
        <w:rPr>
          <w:rFonts w:ascii="Courier New" w:cs="Courier New" w:eastAsia="Courier New" w:hAnsi="Courier New"/>
          <w:sz w:val="14"/>
          <w:szCs w:val="14"/>
          <w:color w:val="auto"/>
        </w:rPr>
        <w:t>"Voting Stock" shall mean capital stock issued by a corporation, or equivalent interests in any other Person, the holders of which are ordinarily, in the absence of contingencies, entitled to vote for the election of directors (or persons performing similar functions) of such Person, even though the right to vote has been suspended by the happening of such a contingency.</w:t>
      </w:r>
    </w:p>
    <w:p>
      <w:pPr>
        <w:spacing w:after="0" w:line="16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SECTION 1.02 Accounting Terms. All accounting terms not specifically defined herein shall be construed in accordance with GAAP consistently applied, except as otherwise stated herein. Calculations in connection with definitions, covenants and other provisions of this Agreement shall utilize accounting principles and policies in conformity with those used to prepare the financial statements referred to in Section 4.05.</w:t>
      </w:r>
    </w:p>
    <w:p>
      <w:pPr>
        <w:spacing w:after="0" w:line="175"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SECTION 1.03 Computation of Time Periods. In this Agreement, in the computation of periods of time from a specified date to a later specified date, the word "from" means "from and including" and the words "to" and "until" mean "to but excluding."</w:t>
      </w:r>
    </w:p>
    <w:p>
      <w:pPr>
        <w:spacing w:after="0" w:line="169"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II</w:t>
      </w:r>
    </w:p>
    <w:p>
      <w:pPr>
        <w:spacing w:after="0" w:line="166"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AMOUNTS AND TERMS OF THE ADVANCES</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SECTION 2.01 The Advances. Each Lender severally agrees, on the terms and conditions hereinafter set forth, on any Business Day occurring on or prior to the Commitment Expiration Date, to make a single advance (an "Advance") to the Borrower, which Advance shall not exceed for any Lender, in aggregate principal amount, the amount set forth opposite such Lender's name on Annex I hereto under the caption "Commitment" or, if such Lender has entered into one or more Assignments and Acceptances, the amount set forth in the Register maintained by the Administrative Agent pursuant to Section 9.07(c) (such amount being such Lender's "Commitment"). Amounts borrowed under this Section 2.01 and repaid or prepaid may not be reborrowed.</w:t>
      </w:r>
    </w:p>
    <w:p>
      <w:pPr>
        <w:spacing w:after="0" w:line="34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624" w:right="1440" w:bottom="1440" w:gutter="0" w:footer="0" w:header="0"/>
        </w:sectPr>
      </w:pPr>
    </w:p>
    <w:bookmarkStart w:id="231" w:name="page232"/>
    <w:bookmarkEnd w:id="231"/>
    <w:p>
      <w:pPr>
        <w:ind w:left="353"/>
        <w:spacing w:after="0"/>
        <w:tabs>
          <w:tab w:leader="none" w:pos="1553" w:val="left"/>
        </w:tabs>
        <w:rPr>
          <w:sz w:val="20"/>
          <w:szCs w:val="20"/>
          <w:color w:val="auto"/>
        </w:rPr>
      </w:pPr>
      <w:r>
        <w:rPr>
          <w:rFonts w:ascii="Courier New" w:cs="Courier New" w:eastAsia="Courier New" w:hAnsi="Courier New"/>
          <w:sz w:val="15"/>
          <w:szCs w:val="15"/>
          <w:color w:val="auto"/>
        </w:rPr>
        <w:t>SECTION 2.02</w:t>
      </w:r>
      <w:r>
        <w:rPr>
          <w:sz w:val="20"/>
          <w:szCs w:val="20"/>
          <w:color w:val="auto"/>
        </w:rPr>
        <w:tab/>
      </w:r>
      <w:r>
        <w:rPr>
          <w:rFonts w:ascii="Courier New" w:cs="Courier New" w:eastAsia="Courier New" w:hAnsi="Courier New"/>
          <w:sz w:val="14"/>
          <w:szCs w:val="14"/>
          <w:color w:val="auto"/>
        </w:rPr>
        <w:t>Making the Advances.</w:t>
      </w:r>
    </w:p>
    <w:p>
      <w:pPr>
        <w:spacing w:after="0" w:line="173" w:lineRule="exact"/>
        <w:rPr>
          <w:sz w:val="20"/>
          <w:szCs w:val="20"/>
          <w:color w:val="auto"/>
        </w:rPr>
      </w:pPr>
    </w:p>
    <w:p>
      <w:pPr>
        <w:jc w:val="both"/>
        <w:ind w:left="-447" w:right="3239" w:firstLine="447"/>
        <w:spacing w:after="0" w:line="237" w:lineRule="auto"/>
        <w:tabs>
          <w:tab w:leader="none" w:pos="340"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Borrowing shall be made on notice given by the Borrower to the Administrative Agent not later than 11:00 A.M. (New York City time) on the third Business Day prior to the proposed Borrowing Date (the "Notice of Borrowing"). Immediately following receipt of the Notice of Borrowing, the Administrative Agent shall give to each Lender notice thereof by telex or facsimile transmission (in the case of EDC, such notice will be sent by facsimile transmission). The Notice of Borrowing shall be sent by the Borrower requesting the Advance by telex or facsimile transmission, confirmed immediately in writing, in substantially the form of Exhibit B hereto, specifying therein (i) the requested Borrowing Date, (ii) the requested aggregate principal amount of such Borrowing, (iii) the Interest Period therefor, and (iv) the payment instructions for such Borrowing. The Administrative Agent shall promptly notify each Lender of the applicable interest rate under Section 2.05. Each Lender shall, before 11:00 A.M. (New York City time) on the Borrowing Date, make available for the account of its Lending Office to the Administrative Agent at the Administrative Agent's Account, in same day funds, such Lender's ratable portion of such Borrowing. After the Administrative Agent's receipt of such funds and upon fulfillment of the applicable conditions set forth in Article III, the Administrative Agent will make such funds available to the Borrower requesting the Advance by crediting the account of the Borrower, in immediately available funds.</w:t>
      </w:r>
    </w:p>
    <w:p>
      <w:pPr>
        <w:spacing w:after="0" w:line="176" w:lineRule="exact"/>
        <w:rPr>
          <w:rFonts w:ascii="Courier New" w:cs="Courier New" w:eastAsia="Courier New" w:hAnsi="Courier New"/>
          <w:sz w:val="15"/>
          <w:szCs w:val="15"/>
          <w:color w:val="auto"/>
        </w:rPr>
      </w:pPr>
    </w:p>
    <w:p>
      <w:pPr>
        <w:jc w:val="both"/>
        <w:ind w:left="-447" w:right="3239" w:firstLine="447"/>
        <w:spacing w:after="0" w:line="236" w:lineRule="auto"/>
        <w:tabs>
          <w:tab w:leader="none" w:pos="340"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Notice of Borrowing shall be irrevocable and binding on the Borrower. The Borrower shall indemnify each Lender against any loss, cost or expense incurred by such Lender as a result of any failure of the Borrower to fulfill on or before the date specified in such Notice of Borrowing for such Borrowing the applicable conditions set forth in Article III required to be fulfilled by the Borrower (which are not otherwise waived), including, without limitation, any loss, cost or expense incurred by reason of the liquidation or reemployment of deposits or other funds acquired by such Lender to fund the Advance to be made by such Lender as part of the Borrowing when such Advance, as a result of such failure, is not made on such date but excluding, in any such case, loss of anticipated profits.</w:t>
      </w:r>
    </w:p>
    <w:p>
      <w:pPr>
        <w:spacing w:after="0" w:line="180" w:lineRule="exact"/>
        <w:rPr>
          <w:rFonts w:ascii="Courier New" w:cs="Courier New" w:eastAsia="Courier New" w:hAnsi="Courier New"/>
          <w:sz w:val="15"/>
          <w:szCs w:val="15"/>
          <w:color w:val="auto"/>
        </w:rPr>
      </w:pPr>
    </w:p>
    <w:p>
      <w:pPr>
        <w:jc w:val="both"/>
        <w:ind w:left="-447" w:right="3239" w:firstLine="447"/>
        <w:spacing w:after="0" w:line="254" w:lineRule="auto"/>
        <w:tabs>
          <w:tab w:leader="none" w:pos="340" w:val="left"/>
        </w:tabs>
        <w:numPr>
          <w:ilvl w:val="0"/>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the Administrative Agent shall have received notice from a Lender prior to a Borrowing Date that such Lender will not make available to the Administrative Agent such Lender's ratable portion of such Borrowing, the Administrative Agent may assume that such Lender has made such portion available to the Administrative Agent on such Borrowing Date in accordance with clause (a) of this Section 2.02 and the Administrative Agent may, in reliance upon such assumption, make available to the Borrower requesting the Borrowing on such date a corresponding amount. If and to the extent that such Lender shall not have so made such ratable portion available to the Administrative Agent, such Lender and the Borrower severally agree to repay to the Administrative Agent forthwith on demand such corresponding amount together with interest thereon, for each day from the date such amount is made available to the Borrower until the date such amount is repaid to the Administrative Agent, at (i) in the case of the Borrower, the interest rate applicable at such time under Section 2.05 to such Borrowing and (ii) in the case of such Lender, the Federal Funds Rate. If such Lender shall repay to the Administrative Agent such corresponding amount, such amount so repaid shall constitute such Lender's Advance as part of the Borrowing for purposes of this Agreement.</w:t>
      </w:r>
    </w:p>
    <w:p>
      <w:pPr>
        <w:spacing w:after="0" w:line="336" w:lineRule="exact"/>
        <w:rPr>
          <w:sz w:val="20"/>
          <w:szCs w:val="20"/>
          <w:color w:val="auto"/>
        </w:rPr>
      </w:pPr>
    </w:p>
    <w:p>
      <w:pPr>
        <w:ind w:left="2973"/>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9792"/>
          </w:cols>
          <w:pgMar w:left="667" w:top="617" w:right="1440" w:bottom="1440" w:gutter="0" w:footer="0" w:header="0"/>
        </w:sectPr>
      </w:pPr>
    </w:p>
    <w:bookmarkStart w:id="232" w:name="page233"/>
    <w:bookmarkEnd w:id="232"/>
    <w:p>
      <w:pPr>
        <w:jc w:val="both"/>
        <w:ind w:left="-10" w:right="3239" w:firstLine="447"/>
        <w:spacing w:after="0" w:line="236" w:lineRule="auto"/>
        <w:tabs>
          <w:tab w:leader="none" w:pos="777"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failure of any Lender to make an Advance to be made by it as part of a Borrowing shall not relieve any other Lender of its obligation, if any, hereunder to make its Advance on the Borrowing Date with respect to such Borrowing, but no Lender shall be responsible for the failure of any other Lender to make an Advance to be made by such other Lender on such Borrowing Date.</w:t>
      </w:r>
    </w:p>
    <w:p>
      <w:pPr>
        <w:spacing w:after="0" w:line="168" w:lineRule="exact"/>
        <w:rPr>
          <w:sz w:val="20"/>
          <w:szCs w:val="20"/>
          <w:color w:val="auto"/>
        </w:rPr>
      </w:pPr>
    </w:p>
    <w:p>
      <w:pPr>
        <w:ind w:left="790"/>
        <w:spacing w:after="0"/>
        <w:tabs>
          <w:tab w:leader="none" w:pos="1990" w:val="left"/>
        </w:tabs>
        <w:rPr>
          <w:sz w:val="20"/>
          <w:szCs w:val="20"/>
          <w:color w:val="auto"/>
        </w:rPr>
      </w:pPr>
      <w:r>
        <w:rPr>
          <w:rFonts w:ascii="Courier New" w:cs="Courier New" w:eastAsia="Courier New" w:hAnsi="Courier New"/>
          <w:sz w:val="15"/>
          <w:szCs w:val="15"/>
          <w:color w:val="auto"/>
        </w:rPr>
        <w:t>SECTION 2.03</w:t>
      </w:r>
      <w:r>
        <w:rPr>
          <w:sz w:val="20"/>
          <w:szCs w:val="20"/>
          <w:color w:val="auto"/>
        </w:rPr>
        <w:tab/>
      </w:r>
      <w:r>
        <w:rPr>
          <w:rFonts w:ascii="Courier New" w:cs="Courier New" w:eastAsia="Courier New" w:hAnsi="Courier New"/>
          <w:sz w:val="14"/>
          <w:szCs w:val="14"/>
          <w:color w:val="auto"/>
        </w:rPr>
        <w:t>Notes.</w:t>
      </w:r>
    </w:p>
    <w:p>
      <w:pPr>
        <w:spacing w:after="0" w:line="173" w:lineRule="exact"/>
        <w:rPr>
          <w:sz w:val="20"/>
          <w:szCs w:val="20"/>
          <w:color w:val="auto"/>
        </w:rPr>
      </w:pPr>
    </w:p>
    <w:p>
      <w:pPr>
        <w:jc w:val="both"/>
        <w:ind w:left="-10" w:right="3239" w:firstLine="447"/>
        <w:spacing w:after="0" w:line="255" w:lineRule="auto"/>
        <w:tabs>
          <w:tab w:leader="none" w:pos="777" w:val="left"/>
        </w:tabs>
        <w:numPr>
          <w:ilvl w:val="1"/>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Lender will maintain in accordance with its usual practice an account or accounts evidencing the indebtedness of the Borrower to such Lender as a result of the Advances of such Lender, including the amounts of principal, interest and other amounts payable and paid to such Lender from time to time under this Agreement and the Notes. The entries made by each Lender pursuant to the foregoing sentence shall constitute prima facie evidence of the existence and amounts of the Advances and other Obligations therein recorded; provided, however, that the failure of any Lender to maintain such account or accounts, or any error therein, shall not in any manner affect the obligations of the Borrower to repay or pay the Advances made by such Lender, accrued interest thereon and the other Obligations of the Borrower to such Lender hereunder in accordance with the terms of this Agreement and the other Loan Documents.</w:t>
      </w:r>
    </w:p>
    <w:p>
      <w:pPr>
        <w:spacing w:after="0" w:line="164" w:lineRule="exact"/>
        <w:rPr>
          <w:rFonts w:ascii="Courier New" w:cs="Courier New" w:eastAsia="Courier New" w:hAnsi="Courier New"/>
          <w:sz w:val="14"/>
          <w:szCs w:val="14"/>
          <w:color w:val="auto"/>
        </w:rPr>
      </w:pPr>
    </w:p>
    <w:p>
      <w:pPr>
        <w:jc w:val="both"/>
        <w:ind w:left="-10" w:right="3239" w:firstLine="447"/>
        <w:spacing w:after="0" w:line="254" w:lineRule="auto"/>
        <w:tabs>
          <w:tab w:leader="none" w:pos="777" w:val="left"/>
        </w:tabs>
        <w:numPr>
          <w:ilvl w:val="1"/>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Borrower's obligation to pay the principal of, and interest on, the Advances made by each Lender shall be evidenced by a promissory note duly executed and delivered by the Borrower, with blanks appropriately completed in conformity herewith, substantially in the form of Exhibit A hereto (each, a "Note," and, collectively, the "Notes"). The Note issued to each Lender on the Borrowing Date shall (1) be executed by the Borrower and "avalado" by each of the Guarantors, (2) qualify as a pagare under Mexican law, (3) be payable to the order of such Lender and be dated as of the Borrowing Date, (4) be in a stated principal amount equal to the Advance of such Lender made on such date, (5) provide for repayment of principal as provided in Section 2.04(c), and (6) bear interest as provided in Section 2.05. Each Lender agrees that, unless the principal of, or interest on, the Advances shall have become due and payable (whether by acceleration or otherwise) pursuant to this Agreement, it shall not</w:t>
      </w:r>
    </w:p>
    <w:p>
      <w:pPr>
        <w:spacing w:after="0" w:line="4" w:lineRule="exact"/>
        <w:rPr>
          <w:rFonts w:ascii="Courier New" w:cs="Courier New" w:eastAsia="Courier New" w:hAnsi="Courier New"/>
          <w:sz w:val="14"/>
          <w:szCs w:val="14"/>
          <w:color w:val="auto"/>
        </w:rPr>
      </w:pPr>
    </w:p>
    <w:p>
      <w:pPr>
        <w:jc w:val="both"/>
        <w:ind w:left="-10" w:right="3239" w:firstLine="10"/>
        <w:spacing w:after="0" w:line="235" w:lineRule="auto"/>
        <w:tabs>
          <w:tab w:leader="none" w:pos="340" w:val="left"/>
        </w:tabs>
        <w:numPr>
          <w:ilvl w:val="0"/>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demand for payment with respect to its Note prior to its stated maturity or (ii) assign, convey, negotiate or trade such Note except as permitted pursuant to Section 9.07.</w:t>
      </w:r>
    </w:p>
    <w:p>
      <w:pPr>
        <w:spacing w:after="0" w:line="173" w:lineRule="exact"/>
        <w:rPr>
          <w:rFonts w:ascii="Courier New" w:cs="Courier New" w:eastAsia="Courier New" w:hAnsi="Courier New"/>
          <w:sz w:val="15"/>
          <w:szCs w:val="15"/>
          <w:color w:val="auto"/>
        </w:rPr>
      </w:pPr>
    </w:p>
    <w:p>
      <w:pPr>
        <w:jc w:val="both"/>
        <w:ind w:left="-10" w:right="3239" w:firstLine="447"/>
        <w:spacing w:after="0" w:line="258" w:lineRule="auto"/>
        <w:tabs>
          <w:tab w:leader="none" w:pos="777" w:val="left"/>
        </w:tabs>
        <w:numPr>
          <w:ilvl w:val="1"/>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receipt by any Lender of a Note issued in replacement of, or in exchange for, any other Note (the "Original Note") pursuant to Section 9.07(d), such Lender shall return the Original Note to the Borrower marked "canceled."</w:t>
      </w:r>
    </w:p>
    <w:p>
      <w:pPr>
        <w:spacing w:after="0" w:line="155" w:lineRule="exact"/>
        <w:rPr>
          <w:sz w:val="20"/>
          <w:szCs w:val="20"/>
          <w:color w:val="auto"/>
        </w:rPr>
      </w:pPr>
    </w:p>
    <w:p>
      <w:pPr>
        <w:ind w:left="790"/>
        <w:spacing w:after="0"/>
        <w:tabs>
          <w:tab w:leader="none" w:pos="2350" w:val="left"/>
        </w:tabs>
        <w:rPr>
          <w:sz w:val="20"/>
          <w:szCs w:val="20"/>
          <w:color w:val="auto"/>
        </w:rPr>
      </w:pPr>
      <w:r>
        <w:rPr>
          <w:rFonts w:ascii="Courier New" w:cs="Courier New" w:eastAsia="Courier New" w:hAnsi="Courier New"/>
          <w:sz w:val="15"/>
          <w:szCs w:val="15"/>
          <w:color w:val="auto"/>
        </w:rPr>
        <w:t>SECTION 2.04</w:t>
      </w:r>
      <w:r>
        <w:rPr>
          <w:sz w:val="20"/>
          <w:szCs w:val="20"/>
          <w:color w:val="auto"/>
        </w:rPr>
        <w:tab/>
      </w:r>
      <w:r>
        <w:rPr>
          <w:rFonts w:ascii="Courier New" w:cs="Courier New" w:eastAsia="Courier New" w:hAnsi="Courier New"/>
          <w:sz w:val="14"/>
          <w:szCs w:val="14"/>
          <w:color w:val="auto"/>
        </w:rPr>
        <w:t>Prepayments; Payments.</w:t>
      </w:r>
    </w:p>
    <w:p>
      <w:pPr>
        <w:spacing w:after="0" w:line="173" w:lineRule="exact"/>
        <w:rPr>
          <w:sz w:val="20"/>
          <w:szCs w:val="20"/>
          <w:color w:val="auto"/>
        </w:rPr>
      </w:pPr>
    </w:p>
    <w:p>
      <w:pPr>
        <w:jc w:val="both"/>
        <w:ind w:left="-10" w:right="3239" w:firstLine="447"/>
        <w:spacing w:after="0" w:line="255" w:lineRule="auto"/>
        <w:tabs>
          <w:tab w:leader="none" w:pos="865" w:val="left"/>
        </w:tabs>
        <w:numPr>
          <w:ilvl w:val="0"/>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Voluntary Prepayments. The Borrower may, upon at least five Business Days' notice to the Administrative Agent stating the proposed date and aggregate principal amount of the prepayment, and, if such notice is given, the Borrower shall prepay the outstanding principal amount of the Advances in whole or in part, together with accrued interest to the date of such prepayment on the principal amount prepaid; provided, however, that each partial prepayment shall be in a minimum aggregate principal amount of U.S.$5,000,000 or an integral</w:t>
      </w:r>
    </w:p>
    <w:p>
      <w:pPr>
        <w:spacing w:after="0" w:line="328"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29"/>
          </w:cols>
          <w:pgMar w:left="230" w:top="624" w:right="1440" w:bottom="1440" w:gutter="0" w:footer="0" w:header="0"/>
        </w:sectPr>
      </w:pPr>
    </w:p>
    <w:bookmarkStart w:id="233" w:name="page234"/>
    <w:bookmarkEnd w:id="233"/>
    <w:p>
      <w:pPr>
        <w:jc w:val="both"/>
        <w:ind w:right="3239"/>
        <w:spacing w:after="0" w:line="236" w:lineRule="auto"/>
        <w:rPr>
          <w:sz w:val="20"/>
          <w:szCs w:val="20"/>
          <w:color w:val="auto"/>
        </w:rPr>
      </w:pPr>
      <w:r>
        <w:rPr>
          <w:rFonts w:ascii="Courier New" w:cs="Courier New" w:eastAsia="Courier New" w:hAnsi="Courier New"/>
          <w:sz w:val="15"/>
          <w:szCs w:val="15"/>
          <w:color w:val="auto"/>
        </w:rPr>
        <w:t>multiple of U.S.$250,000 in excess thereof and each prepayment shall be applied pro rata among the Advances to the repayment of the principal thereof in the inverse order of maturity. Prepayments of Advances will be without premium or penalty; provided that prepayments not made on the last day of the Interest Period shall be subject to Section 2.12. Any amount prepaid under this Section 2.04(a) may not be reborrowed.</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 Mandatory Prepayments.</w:t>
      </w:r>
    </w:p>
    <w:p>
      <w:pPr>
        <w:spacing w:after="0" w:line="173" w:lineRule="exact"/>
        <w:rPr>
          <w:sz w:val="20"/>
          <w:szCs w:val="20"/>
          <w:color w:val="auto"/>
        </w:rPr>
      </w:pPr>
    </w:p>
    <w:p>
      <w:pPr>
        <w:jc w:val="both"/>
        <w:ind w:right="3239" w:firstLine="447"/>
        <w:spacing w:after="0" w:line="236" w:lineRule="auto"/>
        <w:tabs>
          <w:tab w:leader="none" w:pos="787" w:val="left"/>
        </w:tabs>
        <w:numPr>
          <w:ilvl w:val="0"/>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last day of the Interest Period ending at least 10 Business Days after the Borrower or any of the Non-Guarantor Subsidiaries receives cash proceeds from any Asset Sale or series of related Asset Sales, the Borrower shall prepay the outstanding principal of the Advances in an amount equal to 33.33% of the Net Sale Proceeds thereof.</w:t>
      </w:r>
    </w:p>
    <w:p>
      <w:pPr>
        <w:spacing w:after="0" w:line="173" w:lineRule="exact"/>
        <w:rPr>
          <w:rFonts w:ascii="Courier New" w:cs="Courier New" w:eastAsia="Courier New" w:hAnsi="Courier New"/>
          <w:sz w:val="15"/>
          <w:szCs w:val="15"/>
          <w:color w:val="auto"/>
        </w:rPr>
      </w:pPr>
    </w:p>
    <w:p>
      <w:pPr>
        <w:jc w:val="both"/>
        <w:ind w:right="3239" w:firstLine="447"/>
        <w:spacing w:after="0" w:line="254" w:lineRule="auto"/>
        <w:tabs>
          <w:tab w:leader="none" w:pos="875"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to any other mandatory prepayments pursuant to this Section 2.04(b), if at any time (including the Borrowing Date) the Borrower makes any payment (voluntary or mandatory) of any Inter-company Debt such that, after giving effect to such payment, the aggregate principal amount of the Inter-company Debt is less than U.S.$80,000,000, then on the last day of the Interest Period ending at least 10 Business Days after the Borrower shall make a mandatory prepayment of the Advances and the other Obligations in an amount determined as follows: (A) if, immediately prior to the time of any such payment of the Inter-company Debt, the aggregate outstanding principal amount of the Inter-company Debt exceeds U.S.$80,000,000, an amount equal to U.S.$80,000,000 less the principal amount of the Inter-company Debt outstanding after giving effect to such payment; and (B) if, immediately prior to the time of any such payment of the Inter-company Debt, the aggregate outstanding principal amount of the Inter-company Debt is less than U.S.$80,000,000, an amount equal to the aggregate outstanding principal amount of the Inter-company Debt at the time of such payment less the principal amount of the Inter-company Debt outstanding after giving effect to such payment. For purposes of determining the Dollar amount of the Inter-company Debt prepaid by the Borrower at any given moment, the amount prepaid shall be converted into Dollars using the Exchange Rate.</w:t>
      </w:r>
    </w:p>
    <w:p>
      <w:pPr>
        <w:spacing w:after="0" w:line="174" w:lineRule="exact"/>
        <w:rPr>
          <w:rFonts w:ascii="Courier New" w:cs="Courier New" w:eastAsia="Courier New" w:hAnsi="Courier New"/>
          <w:sz w:val="14"/>
          <w:szCs w:val="14"/>
          <w:color w:val="auto"/>
        </w:rPr>
      </w:pPr>
    </w:p>
    <w:p>
      <w:pPr>
        <w:jc w:val="both"/>
        <w:ind w:right="3239" w:firstLine="447"/>
        <w:spacing w:after="0" w:line="235" w:lineRule="auto"/>
        <w:tabs>
          <w:tab w:leader="none" w:pos="962" w:val="left"/>
        </w:tabs>
        <w:numPr>
          <w:ilvl w:val="0"/>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prepayment shall be applied pro rata among the Advances to the repayment of the principal thereof in the inverse order of maturity. Any amount prepaid under this Section 2.04(b) may not be reborrowed.</w:t>
      </w:r>
    </w:p>
    <w:p>
      <w:pPr>
        <w:spacing w:after="0" w:line="174" w:lineRule="exact"/>
        <w:rPr>
          <w:sz w:val="20"/>
          <w:szCs w:val="20"/>
          <w:color w:val="auto"/>
        </w:rPr>
      </w:pPr>
    </w:p>
    <w:p>
      <w:pPr>
        <w:jc w:val="both"/>
        <w:ind w:right="3239" w:firstLine="447"/>
        <w:spacing w:after="0" w:line="236" w:lineRule="auto"/>
        <w:tabs>
          <w:tab w:leader="none" w:pos="787"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The Borrower shall repay to the Administrative Agent for the ratable account of the Lenders, and there shall become due and payable on each of the dates listed below, an aggregate principal amount of Advances equal to the percentage set forth opposite such date of the initial aggregate principal amount of Advances made on the Borrowing Date:</w:t>
      </w:r>
    </w:p>
    <w:p>
      <w:pPr>
        <w:sectPr>
          <w:pgSz w:w="11900" w:h="16838" w:orient="portrait"/>
          <w:cols w:equalWidth="0" w:num="1">
            <w:col w:w="10239"/>
          </w:cols>
          <w:pgMar w:left="220" w:top="624" w:right="1440" w:bottom="1440" w:gutter="0" w:footer="0" w:header="0"/>
        </w:sectPr>
      </w:pPr>
    </w:p>
    <w:p>
      <w:pPr>
        <w:spacing w:after="0" w:line="342"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Repayment Date</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Amount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Scheduled Repayment</w:t>
      </w:r>
    </w:p>
    <w:p>
      <w:pPr>
        <w:spacing w:after="0" w:line="178" w:lineRule="exact"/>
        <w:rPr>
          <w:sz w:val="20"/>
          <w:szCs w:val="20"/>
          <w:color w:val="auto"/>
        </w:rPr>
      </w:pPr>
    </w:p>
    <w:p>
      <w:pPr>
        <w:sectPr>
          <w:pgSz w:w="11900" w:h="16838" w:orient="portrait"/>
          <w:cols w:equalWidth="0" w:num="2">
            <w:col w:w="3920" w:space="720"/>
            <w:col w:w="5599"/>
          </w:cols>
          <w:pgMar w:left="220" w:top="624" w:right="1440" w:bottom="1440" w:gutter="0" w:footer="0" w:header="0"/>
          <w:type w:val="continuous"/>
        </w:sectPr>
      </w:pPr>
    </w:p>
    <w:p>
      <w:pPr>
        <w:ind w:left="800" w:right="600" w:firstLine="787"/>
        <w:spacing w:after="0" w:line="261" w:lineRule="auto"/>
        <w:rPr>
          <w:sz w:val="20"/>
          <w:szCs w:val="20"/>
          <w:color w:val="auto"/>
        </w:rPr>
      </w:pPr>
      <w:r>
        <w:rPr>
          <w:rFonts w:ascii="Courier New" w:cs="Courier New" w:eastAsia="Courier New" w:hAnsi="Courier New"/>
          <w:sz w:val="14"/>
          <w:szCs w:val="14"/>
          <w:color w:val="auto"/>
        </w:rPr>
        <w:t>The date which is 12 months following the Borrowing Date:</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w:t>
      </w:r>
    </w:p>
    <w:p>
      <w:pPr>
        <w:spacing w:after="0" w:line="218" w:lineRule="exact"/>
        <w:rPr>
          <w:sz w:val="20"/>
          <w:szCs w:val="20"/>
          <w:color w:val="auto"/>
        </w:rPr>
      </w:pPr>
    </w:p>
    <w:p>
      <w:pPr>
        <w:sectPr>
          <w:pgSz w:w="11900" w:h="16838" w:orient="portrait"/>
          <w:cols w:equalWidth="0" w:num="2">
            <w:col w:w="4540" w:space="720"/>
            <w:col w:w="4979"/>
          </w:cols>
          <w:pgMar w:left="220" w:top="624" w:right="1440" w:bottom="1440" w:gutter="0" w:footer="0" w:header="0"/>
          <w:type w:val="continuous"/>
        </w:sectPr>
      </w:pPr>
    </w:p>
    <w:p>
      <w:pPr>
        <w:spacing w:after="0" w:line="12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624" w:right="1440" w:bottom="1440" w:gutter="0" w:footer="0" w:header="0"/>
          <w:type w:val="continuous"/>
        </w:sectPr>
      </w:pPr>
    </w:p>
    <w:bookmarkStart w:id="234" w:name="page235"/>
    <w:bookmarkEnd w:id="234"/>
    <w:tbl>
      <w:tblPr>
        <w:tblLayout w:type="fixed"/>
        <w:tblInd w:w="800" w:type="dxa"/>
        <w:tblCellMar>
          <w:top w:w="0" w:type="dxa"/>
          <w:left w:w="0" w:type="dxa"/>
          <w:bottom w:w="0" w:type="dxa"/>
          <w:right w:w="0" w:type="dxa"/>
        </w:tblCellMar>
      </w:tblPr>
      <w:tr>
        <w:trPr>
          <w:trHeight w:val="170"/>
        </w:trPr>
        <w:tc>
          <w:tcPr>
            <w:tcW w:w="2060" w:type="dxa"/>
            <w:vAlign w:val="bottom"/>
          </w:tcPr>
          <w:p>
            <w:pPr>
              <w:jc w:val="right"/>
              <w:spacing w:after="0"/>
              <w:rPr>
                <w:sz w:val="20"/>
                <w:szCs w:val="20"/>
                <w:color w:val="auto"/>
              </w:rPr>
            </w:pPr>
            <w:r>
              <w:rPr>
                <w:rFonts w:ascii="Courier New" w:cs="Courier New" w:eastAsia="Courier New" w:hAnsi="Courier New"/>
                <w:sz w:val="15"/>
                <w:szCs w:val="15"/>
                <w:color w:val="auto"/>
              </w:rPr>
              <w:t>The date which</w:t>
            </w:r>
          </w:p>
        </w:tc>
        <w:tc>
          <w:tcPr>
            <w:tcW w:w="1740" w:type="dxa"/>
            <w:vAlign w:val="bottom"/>
          </w:tcPr>
          <w:p>
            <w:pPr>
              <w:ind w:left="40"/>
              <w:spacing w:after="0"/>
              <w:rPr>
                <w:sz w:val="20"/>
                <w:szCs w:val="20"/>
                <w:color w:val="auto"/>
              </w:rPr>
            </w:pPr>
            <w:r>
              <w:rPr>
                <w:rFonts w:ascii="Courier New" w:cs="Courier New" w:eastAsia="Courier New" w:hAnsi="Courier New"/>
                <w:sz w:val="15"/>
                <w:szCs w:val="15"/>
                <w:color w:val="auto"/>
              </w:rPr>
              <w:t>is 18 months</w:t>
            </w:r>
          </w:p>
        </w:tc>
        <w:tc>
          <w:tcPr>
            <w:tcW w:w="920" w:type="dxa"/>
            <w:vAlign w:val="bottom"/>
          </w:tcPr>
          <w:p>
            <w:pPr>
              <w:spacing w:after="0"/>
              <w:rPr>
                <w:sz w:val="14"/>
                <w:szCs w:val="14"/>
                <w:color w:val="auto"/>
              </w:rPr>
            </w:pPr>
          </w:p>
        </w:tc>
      </w:tr>
      <w:tr>
        <w:trPr>
          <w:trHeight w:val="168"/>
        </w:trPr>
        <w:tc>
          <w:tcPr>
            <w:tcW w:w="2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following the Borrowing</w:t>
            </w:r>
          </w:p>
        </w:tc>
        <w:tc>
          <w:tcPr>
            <w:tcW w:w="1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Date:</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w:t>
            </w:r>
          </w:p>
        </w:tc>
      </w:tr>
      <w:tr>
        <w:trPr>
          <w:trHeight w:val="168"/>
        </w:trPr>
        <w:tc>
          <w:tcPr>
            <w:tcW w:w="2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The date which</w:t>
            </w:r>
          </w:p>
        </w:tc>
        <w:tc>
          <w:tcPr>
            <w:tcW w:w="1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is 24 months</w:t>
            </w:r>
          </w:p>
        </w:tc>
        <w:tc>
          <w:tcPr>
            <w:tcW w:w="920" w:type="dxa"/>
            <w:vAlign w:val="bottom"/>
          </w:tcPr>
          <w:p>
            <w:pPr>
              <w:spacing w:after="0"/>
              <w:rPr>
                <w:sz w:val="14"/>
                <w:szCs w:val="14"/>
                <w:color w:val="auto"/>
              </w:rPr>
            </w:pPr>
          </w:p>
        </w:tc>
      </w:tr>
      <w:tr>
        <w:trPr>
          <w:trHeight w:val="168"/>
        </w:trPr>
        <w:tc>
          <w:tcPr>
            <w:tcW w:w="2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following the Borrowing</w:t>
            </w:r>
          </w:p>
        </w:tc>
        <w:tc>
          <w:tcPr>
            <w:tcW w:w="1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Date:</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w:t>
            </w:r>
          </w:p>
        </w:tc>
      </w:tr>
      <w:tr>
        <w:trPr>
          <w:trHeight w:val="168"/>
        </w:trPr>
        <w:tc>
          <w:tcPr>
            <w:tcW w:w="2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The date which</w:t>
            </w:r>
          </w:p>
        </w:tc>
        <w:tc>
          <w:tcPr>
            <w:tcW w:w="1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is 30 months</w:t>
            </w:r>
          </w:p>
        </w:tc>
        <w:tc>
          <w:tcPr>
            <w:tcW w:w="920" w:type="dxa"/>
            <w:vAlign w:val="bottom"/>
          </w:tcPr>
          <w:p>
            <w:pPr>
              <w:spacing w:after="0"/>
              <w:rPr>
                <w:sz w:val="14"/>
                <w:szCs w:val="14"/>
                <w:color w:val="auto"/>
              </w:rPr>
            </w:pPr>
          </w:p>
        </w:tc>
      </w:tr>
      <w:tr>
        <w:trPr>
          <w:trHeight w:val="168"/>
        </w:trPr>
        <w:tc>
          <w:tcPr>
            <w:tcW w:w="2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following the Borrowing</w:t>
            </w:r>
          </w:p>
        </w:tc>
        <w:tc>
          <w:tcPr>
            <w:tcW w:w="1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Date:</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w:t>
            </w:r>
          </w:p>
        </w:tc>
      </w:tr>
      <w:tr>
        <w:trPr>
          <w:trHeight w:val="168"/>
        </w:trPr>
        <w:tc>
          <w:tcPr>
            <w:tcW w:w="2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The date which</w:t>
            </w:r>
          </w:p>
        </w:tc>
        <w:tc>
          <w:tcPr>
            <w:tcW w:w="1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is 36 months</w:t>
            </w:r>
          </w:p>
        </w:tc>
        <w:tc>
          <w:tcPr>
            <w:tcW w:w="920" w:type="dxa"/>
            <w:vAlign w:val="bottom"/>
          </w:tcPr>
          <w:p>
            <w:pPr>
              <w:spacing w:after="0"/>
              <w:rPr>
                <w:sz w:val="14"/>
                <w:szCs w:val="14"/>
                <w:color w:val="auto"/>
              </w:rPr>
            </w:pPr>
          </w:p>
        </w:tc>
      </w:tr>
      <w:tr>
        <w:trPr>
          <w:trHeight w:val="168"/>
        </w:trPr>
        <w:tc>
          <w:tcPr>
            <w:tcW w:w="2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following the Borrowing</w:t>
            </w:r>
          </w:p>
        </w:tc>
        <w:tc>
          <w:tcPr>
            <w:tcW w:w="1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Date:</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w:t>
            </w:r>
          </w:p>
        </w:tc>
      </w:tr>
    </w:tbl>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Without limitation of the foregoing, any principal amount of the Advances then outstanding shall be repaid on the Maturity Date.</w:t>
      </w:r>
    </w:p>
    <w:p>
      <w:pPr>
        <w:spacing w:after="0" w:line="167" w:lineRule="exact"/>
        <w:rPr>
          <w:sz w:val="20"/>
          <w:szCs w:val="20"/>
          <w:color w:val="auto"/>
        </w:rPr>
      </w:pPr>
    </w:p>
    <w:p>
      <w:pPr>
        <w:ind w:left="800"/>
        <w:spacing w:after="0"/>
        <w:tabs>
          <w:tab w:leader="none" w:pos="2000" w:val="left"/>
        </w:tabs>
        <w:rPr>
          <w:sz w:val="20"/>
          <w:szCs w:val="20"/>
          <w:color w:val="auto"/>
        </w:rPr>
      </w:pPr>
      <w:r>
        <w:rPr>
          <w:rFonts w:ascii="Courier New" w:cs="Courier New" w:eastAsia="Courier New" w:hAnsi="Courier New"/>
          <w:sz w:val="15"/>
          <w:szCs w:val="15"/>
          <w:color w:val="auto"/>
        </w:rPr>
        <w:t>SECTION 2.05</w:t>
      </w:r>
      <w:r>
        <w:rPr>
          <w:sz w:val="20"/>
          <w:szCs w:val="20"/>
          <w:color w:val="auto"/>
        </w:rPr>
        <w:tab/>
      </w:r>
      <w:r>
        <w:rPr>
          <w:rFonts w:ascii="Courier New" w:cs="Courier New" w:eastAsia="Courier New" w:hAnsi="Courier New"/>
          <w:sz w:val="14"/>
          <w:szCs w:val="14"/>
          <w:color w:val="auto"/>
        </w:rPr>
        <w:t>Interest.</w:t>
      </w:r>
    </w:p>
    <w:p>
      <w:pPr>
        <w:spacing w:after="0" w:line="173" w:lineRule="exact"/>
        <w:rPr>
          <w:sz w:val="20"/>
          <w:szCs w:val="20"/>
          <w:color w:val="auto"/>
        </w:rPr>
      </w:pPr>
    </w:p>
    <w:p>
      <w:pPr>
        <w:jc w:val="both"/>
        <w:ind w:right="3239" w:firstLine="447"/>
        <w:spacing w:after="0" w:line="236" w:lineRule="auto"/>
        <w:tabs>
          <w:tab w:leader="none" w:pos="875"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Scheduled Interest. The Borrower shall pay interest on the unpaid principal amount of each Advance owing to each Lender from the date of such Advance until such principal amount shall be paid in full, at a rate per annum which shall, during each Interest Period applicable thereto, be equal to the sum of (i) the Eurodollar Rate for such Interest Period plus (ii) the Applicable Margin, payable in arrears on the last day of such Interest Period (or, in the case of an Interest Period in excess of three months, on the date occurring at three month intervals after the first day of such Interest Period), and on the date of any payment or prepayment of such principal amount and on the Termination Date.</w:t>
      </w:r>
    </w:p>
    <w:p>
      <w:pPr>
        <w:spacing w:after="0" w:line="179" w:lineRule="exact"/>
        <w:rPr>
          <w:rFonts w:ascii="Courier New" w:cs="Courier New" w:eastAsia="Courier New" w:hAnsi="Courier New"/>
          <w:sz w:val="15"/>
          <w:szCs w:val="15"/>
          <w:color w:val="auto"/>
        </w:rPr>
      </w:pPr>
    </w:p>
    <w:p>
      <w:pPr>
        <w:jc w:val="both"/>
        <w:ind w:right="3239" w:firstLine="447"/>
        <w:spacing w:after="0" w:line="255" w:lineRule="auto"/>
        <w:tabs>
          <w:tab w:leader="none" w:pos="787" w:val="left"/>
        </w:tabs>
        <w:numPr>
          <w:ilvl w:val="0"/>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Interest. Upon the occurrence and during the continuance of any Event of Default and provided that the Notes, all interest thereon and all other amounts payable under this Agreement and the other Loan Documents have been declared due and payable pursuant to Section 6.01, the Borrower shall pay interest on (i) the unpaid principal amount of each Advance owing to each Lender, and (ii) to the fullest extent permitted by law, the unpaid amount of all interest, fees and other amounts payable under the Loan Documents that is not paid when due, in each case, payable on demand, from the date such amounts shall be due until such amounts shall be paid in full, at a rate per annum equal at all times to 2.0% per annum above the rate per annum required to be paid on Advances outstanding at the time pursuant to clause (a) above.</w:t>
      </w:r>
    </w:p>
    <w:p>
      <w:pPr>
        <w:spacing w:after="0" w:line="158" w:lineRule="exact"/>
        <w:rPr>
          <w:sz w:val="20"/>
          <w:szCs w:val="20"/>
          <w:color w:val="auto"/>
        </w:rPr>
      </w:pPr>
    </w:p>
    <w:p>
      <w:pPr>
        <w:ind w:left="800"/>
        <w:spacing w:after="0"/>
        <w:tabs>
          <w:tab w:leader="none" w:pos="2000" w:val="left"/>
        </w:tabs>
        <w:rPr>
          <w:sz w:val="20"/>
          <w:szCs w:val="20"/>
          <w:color w:val="auto"/>
        </w:rPr>
      </w:pPr>
      <w:r>
        <w:rPr>
          <w:rFonts w:ascii="Courier New" w:cs="Courier New" w:eastAsia="Courier New" w:hAnsi="Courier New"/>
          <w:sz w:val="15"/>
          <w:szCs w:val="15"/>
          <w:color w:val="auto"/>
        </w:rPr>
        <w:t>SECTION 2.06</w:t>
      </w:r>
      <w:r>
        <w:rPr>
          <w:sz w:val="20"/>
          <w:szCs w:val="20"/>
          <w:color w:val="auto"/>
        </w:rPr>
        <w:tab/>
      </w:r>
      <w:r>
        <w:rPr>
          <w:rFonts w:ascii="Courier New" w:cs="Courier New" w:eastAsia="Courier New" w:hAnsi="Courier New"/>
          <w:sz w:val="14"/>
          <w:szCs w:val="14"/>
          <w:color w:val="auto"/>
        </w:rPr>
        <w:t>Continuations, Interest Rate Determination.</w:t>
      </w:r>
    </w:p>
    <w:p>
      <w:pPr>
        <w:spacing w:after="0" w:line="173" w:lineRule="exact"/>
        <w:rPr>
          <w:sz w:val="20"/>
          <w:szCs w:val="20"/>
          <w:color w:val="auto"/>
        </w:rPr>
      </w:pPr>
    </w:p>
    <w:p>
      <w:pPr>
        <w:jc w:val="both"/>
        <w:ind w:right="3239" w:firstLine="447"/>
        <w:spacing w:after="0" w:line="236" w:lineRule="auto"/>
        <w:tabs>
          <w:tab w:leader="none" w:pos="787" w:val="left"/>
        </w:tabs>
        <w:numPr>
          <w:ilvl w:val="0"/>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time the Borrower gives the Notice of Borrowing in respect of the making of any Advance (in the case of the initial Interest Period applicable thereto) or on the third Business Day prior to the expiration of an Interest Period applicable to such Advance (in the case of any subsequent Interest Period), the Borrower shall have the right to elect, by giving the Administrative Agent notice thereof, the Interest Period applicable to such Advance.</w:t>
      </w:r>
    </w:p>
    <w:p>
      <w:pPr>
        <w:spacing w:after="0" w:line="175" w:lineRule="exact"/>
        <w:rPr>
          <w:rFonts w:ascii="Courier New" w:cs="Courier New" w:eastAsia="Courier New" w:hAnsi="Courier New"/>
          <w:sz w:val="15"/>
          <w:szCs w:val="15"/>
          <w:color w:val="auto"/>
        </w:rPr>
      </w:pPr>
    </w:p>
    <w:p>
      <w:pPr>
        <w:jc w:val="both"/>
        <w:ind w:right="3239" w:firstLine="447"/>
        <w:spacing w:after="0" w:line="235" w:lineRule="auto"/>
        <w:tabs>
          <w:tab w:leader="none" w:pos="787" w:val="left"/>
        </w:tabs>
        <w:numPr>
          <w:ilvl w:val="0"/>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Failing receipt by the Administrative Agent of any notice in accordance with clause (a) above, the Borrower shall be conclusively deemed to have elected an Interest Period of three months.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617" w:right="1440" w:bottom="1440" w:gutter="0" w:footer="0" w:header="0"/>
        </w:sectPr>
      </w:pPr>
    </w:p>
    <w:bookmarkStart w:id="235" w:name="page236"/>
    <w:bookmarkEnd w:id="235"/>
    <w:p>
      <w:pPr>
        <w:jc w:val="both"/>
        <w:ind w:right="3239" w:firstLine="447"/>
        <w:spacing w:after="0" w:line="235" w:lineRule="auto"/>
        <w:tabs>
          <w:tab w:leader="none" w:pos="787"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Administrative Agent shall give prompt notice to the Borrower and the Lenders of the applicable interest rate determined by the Administrative Agent for purposes of Section 2.05(a) or (b).</w:t>
      </w:r>
    </w:p>
    <w:p>
      <w:pPr>
        <w:spacing w:after="0" w:line="174"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SECTION 2.07 Fees. The Borrower agrees to pay to the Administrative Agent and the Lead Arranger such fees as have been agreed to in writing (such writing, the "Fee Letter") between the Borrower, the Administrative Agent and the Lead Arranger.</w:t>
      </w:r>
    </w:p>
    <w:p>
      <w:pPr>
        <w:spacing w:after="0" w:line="169" w:lineRule="exact"/>
        <w:rPr>
          <w:sz w:val="20"/>
          <w:szCs w:val="20"/>
          <w:color w:val="auto"/>
        </w:rPr>
      </w:pPr>
    </w:p>
    <w:p>
      <w:pPr>
        <w:ind w:left="800"/>
        <w:spacing w:after="0"/>
        <w:tabs>
          <w:tab w:leader="none" w:pos="2000" w:val="left"/>
        </w:tabs>
        <w:rPr>
          <w:sz w:val="20"/>
          <w:szCs w:val="20"/>
          <w:color w:val="auto"/>
        </w:rPr>
      </w:pPr>
      <w:r>
        <w:rPr>
          <w:rFonts w:ascii="Courier New" w:cs="Courier New" w:eastAsia="Courier New" w:hAnsi="Courier New"/>
          <w:sz w:val="15"/>
          <w:szCs w:val="15"/>
          <w:color w:val="auto"/>
        </w:rPr>
        <w:t>SECTION 2.08</w:t>
      </w:r>
      <w:r>
        <w:rPr>
          <w:sz w:val="20"/>
          <w:szCs w:val="20"/>
          <w:color w:val="auto"/>
        </w:rPr>
        <w:tab/>
      </w:r>
      <w:r>
        <w:rPr>
          <w:rFonts w:ascii="Courier New" w:cs="Courier New" w:eastAsia="Courier New" w:hAnsi="Courier New"/>
          <w:sz w:val="14"/>
          <w:szCs w:val="14"/>
          <w:color w:val="auto"/>
        </w:rPr>
        <w:t>Increased Costs, Etc.</w:t>
      </w:r>
    </w:p>
    <w:p>
      <w:pPr>
        <w:spacing w:after="0" w:line="173" w:lineRule="exact"/>
        <w:rPr>
          <w:sz w:val="20"/>
          <w:szCs w:val="20"/>
          <w:color w:val="auto"/>
        </w:rPr>
      </w:pPr>
    </w:p>
    <w:p>
      <w:pPr>
        <w:jc w:val="both"/>
        <w:ind w:right="3239" w:firstLine="447"/>
        <w:spacing w:after="0" w:line="254" w:lineRule="auto"/>
        <w:tabs>
          <w:tab w:leader="none" w:pos="787" w:val="left"/>
        </w:tabs>
        <w:numPr>
          <w:ilvl w:val="0"/>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due to either (i) the introduction of or any change in or in the official interpretation of any law or regulation, in each case that becomes effective or is made after the date hereof, or (ii) the compliance with any guideline or request from any central bank or other Governmental Authority that becomes effective or is made after the date of this Agreement (whether or not having the force of law), there shall be any increase in the cost to any Lender of agreeing to make or of making, funding or maintaining Advances (excluding, for purposes of this Section 2.08, any such increased costs resulting from (A) Taxes (as to which Section 2.10 shall govern) and (B) changes in the basis of taxation of overall net income or overall gross income by the United States or by the foreign jurisdiction or state under the laws of which such Lender is organized or has its Lending Office or any political subdivision thereof), then the Borrower shall from time to time, within 10 Business Days after written demand by such Lender setting forth in reasonable detail the basis for calculating such increased cost owed to such Lender (with a copy of such demand to the Administrative Agent), pay to the Administrative Agent for the account of such Lender additional amounts sufficient to compensate such Lender for such increased cost; provided, that the Borrower shall not be liable in respect of any such increased cost if such Lender became aware and failed to endeavor to notify the Borrower, within 30 days of the date such Lender became aware of such increased cost, in accordance with the preceding sentence if and to the extent that such notice would have avoided or lessened payment by the Borrower hereunder relating to such period. A certificate as to the amount of such increased cost, submitted to the Borrower by such Lender, shall constitute prima facie evidence of any such amounts payable pursuant to this clause, absent manifest error.</w:t>
      </w:r>
    </w:p>
    <w:p>
      <w:pPr>
        <w:spacing w:after="0" w:line="345" w:lineRule="exact"/>
        <w:rPr>
          <w:rFonts w:ascii="Courier New" w:cs="Courier New" w:eastAsia="Courier New" w:hAnsi="Courier New"/>
          <w:sz w:val="14"/>
          <w:szCs w:val="14"/>
          <w:color w:val="auto"/>
        </w:rPr>
      </w:pPr>
    </w:p>
    <w:p>
      <w:pPr>
        <w:jc w:val="both"/>
        <w:ind w:right="3239" w:firstLine="447"/>
        <w:spacing w:after="0" w:line="237" w:lineRule="auto"/>
        <w:tabs>
          <w:tab w:leader="none" w:pos="787"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Lender determines reasonably and in good faith that compliance with any law or regulation or any guideline or request from any central bank or other Governmental Authority (whether or not having the force of law) that becomes effective or is made after the date hereof affects or would affect the amount of capital required or expected to be maintained by such Lender or any corporation controlling such Lender and that the amount of such capital is increased by or based upon the existence of such Lender's commitment to lend hereunder, then, within 10 Business Days after written demand by such Lender or such corporation (with a copy of such demand to the Administrative Agent), the Borrower shall pay to the Administrative Agent for the account of such Lender, from time to time as specified by such Lender, additional amounts sufficient to compensate such Lender in the light of such circumstances, to the extent that such Lender reasonably determines such increase in capital to be allocable to the existence of such Lender's commitment to lend hereunder. A certificate setting forth in reasonable detail the basis of calculation of such additional amounts submitted to the Borrower by such Lender shall constitute prima facie evidence of any such amounts payable pursuant to this clause, absent manifest error.</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624" w:right="1440" w:bottom="1440" w:gutter="0" w:footer="0" w:header="0"/>
        </w:sectPr>
      </w:pPr>
    </w:p>
    <w:bookmarkStart w:id="236" w:name="page237"/>
    <w:bookmarkEnd w:id="236"/>
    <w:p>
      <w:pPr>
        <w:jc w:val="both"/>
        <w:ind w:left="-10" w:right="3239" w:firstLine="447"/>
        <w:spacing w:after="0" w:line="255" w:lineRule="auto"/>
        <w:tabs>
          <w:tab w:leader="none" w:pos="777" w:val="left"/>
        </w:tabs>
        <w:numPr>
          <w:ilvl w:val="1"/>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with respect to any Advance, the Required Lenders notify the Administrative Agent that the Eurodollar Rate for any Interest Period for such Advance will not adequately reflect the cost to such Lenders of making, funding or maintaining their Advance for such Interest Period, the Administrative Agent shall forthwith so notify the Borrower and the Lenders, whereupon (i) each such Advance will automatically, on the last day of the then-existing Interest Period therefor, bear interest at the Federal Funds Rate in effect from time to time during each succeeding Interest Period, plus the Applicable Margin, and (ii) the obligation of the Lenders to make Advances shall be suspended until the Administrative Agent shall notify the Borrower that such Lenders have determined that the circumstances causing such suspension no longer exist.</w:t>
      </w:r>
    </w:p>
    <w:p>
      <w:pPr>
        <w:spacing w:after="0" w:line="164" w:lineRule="exact"/>
        <w:rPr>
          <w:rFonts w:ascii="Courier New" w:cs="Courier New" w:eastAsia="Courier New" w:hAnsi="Courier New"/>
          <w:sz w:val="14"/>
          <w:szCs w:val="14"/>
          <w:color w:val="auto"/>
        </w:rPr>
      </w:pPr>
    </w:p>
    <w:p>
      <w:pPr>
        <w:jc w:val="both"/>
        <w:ind w:left="-10" w:right="3239" w:firstLine="447"/>
        <w:spacing w:after="0" w:line="254" w:lineRule="auto"/>
        <w:tabs>
          <w:tab w:leader="none" w:pos="865" w:val="left"/>
        </w:tabs>
        <w:numPr>
          <w:ilvl w:val="1"/>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other provision of this Agreement, if the introduction of or any change in or in the interpretation of any law or regulation shall make it unlawful, or any central bank or other Governmental Authority shall assert that it is unlawful, for any Lender or its Lending Office to perform its obligations hereunder to make Eurodollar Advances or to continue to fund or maintain the Eurodollar Advances hereunder, then, on notice thereof and demand therefor by such Lender to the Borrower through the Administrative Agent, (i) each Eurodollar Advance of such Lender will automatically, upon such demand, at the end of the current Interest Period therefor (or sooner if required by law), bear interest at the Federal Funds Rate in effect from time to time during each succeeding Interest Period, plus the Applicable Margin, and</w:t>
      </w:r>
    </w:p>
    <w:p>
      <w:pPr>
        <w:spacing w:after="0" w:line="3" w:lineRule="exact"/>
        <w:rPr>
          <w:rFonts w:ascii="Courier New" w:cs="Courier New" w:eastAsia="Courier New" w:hAnsi="Courier New"/>
          <w:sz w:val="14"/>
          <w:szCs w:val="14"/>
          <w:color w:val="auto"/>
        </w:rPr>
      </w:pPr>
    </w:p>
    <w:p>
      <w:pPr>
        <w:jc w:val="both"/>
        <w:ind w:left="-10" w:right="3239" w:firstLine="10"/>
        <w:spacing w:after="0" w:line="236" w:lineRule="auto"/>
        <w:tabs>
          <w:tab w:leader="none" w:pos="515"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obligation of such Lender to make Eurodollar Advances shall be suspended until the Administrative Agent shall notify the Borrower that such Lender has determined that the circumstances causing such suspension no longer exist. The Borrower may elect to terminate such Lender as a party to this Agreement in accordance with Section 2.08(f).</w:t>
      </w:r>
    </w:p>
    <w:p>
      <w:pPr>
        <w:spacing w:after="0" w:line="173" w:lineRule="exact"/>
        <w:rPr>
          <w:rFonts w:ascii="Courier New" w:cs="Courier New" w:eastAsia="Courier New" w:hAnsi="Courier New"/>
          <w:sz w:val="15"/>
          <w:szCs w:val="15"/>
          <w:color w:val="auto"/>
        </w:rPr>
      </w:pPr>
    </w:p>
    <w:p>
      <w:pPr>
        <w:jc w:val="both"/>
        <w:ind w:left="-10" w:right="3239" w:firstLine="447"/>
        <w:spacing w:after="0" w:line="254" w:lineRule="auto"/>
        <w:tabs>
          <w:tab w:leader="none" w:pos="777" w:val="left"/>
        </w:tabs>
        <w:numPr>
          <w:ilvl w:val="1"/>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affecting any of its rights under the Loan Documents, prior to making any claim for increased costs under this Section 2.08 or for additional amounts under Section 2.10, each Lender agrees to use reasonable efforts (consistent with its internal policy and legal and regulatory restrictions) to designate a different Lending Office if the making of such a designation would,</w:t>
      </w:r>
    </w:p>
    <w:p>
      <w:pPr>
        <w:spacing w:after="0" w:line="1" w:lineRule="exact"/>
        <w:rPr>
          <w:rFonts w:ascii="Courier New" w:cs="Courier New" w:eastAsia="Courier New" w:hAnsi="Courier New"/>
          <w:sz w:val="14"/>
          <w:szCs w:val="14"/>
          <w:color w:val="auto"/>
        </w:rPr>
      </w:pPr>
    </w:p>
    <w:p>
      <w:pPr>
        <w:jc w:val="both"/>
        <w:ind w:left="-10" w:right="3239" w:firstLine="10"/>
        <w:spacing w:after="0" w:line="255" w:lineRule="auto"/>
        <w:tabs>
          <w:tab w:leader="none" w:pos="340" w:val="left"/>
        </w:tabs>
        <w:numPr>
          <w:ilvl w:val="0"/>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clauses (a) and (b) above or pursuant to Section 2.10, avoid the need for, or reduce the amount of, additional amounts to be paid under Section 2.10 or the relevant increased costs or (ii) in the case of clause (d) above, allow such Lender to continue to perform its obligations to make Advances or to continue to fund or maintain Advances and would not, in either case, in the sole judgment of such Lender, be otherwise disadvantageous to such Lender.</w:t>
      </w:r>
    </w:p>
    <w:p>
      <w:pPr>
        <w:spacing w:after="0" w:line="166" w:lineRule="exact"/>
        <w:rPr>
          <w:rFonts w:ascii="Courier New" w:cs="Courier New" w:eastAsia="Courier New" w:hAnsi="Courier New"/>
          <w:sz w:val="14"/>
          <w:szCs w:val="14"/>
          <w:color w:val="auto"/>
        </w:rPr>
      </w:pPr>
    </w:p>
    <w:p>
      <w:pPr>
        <w:jc w:val="both"/>
        <w:ind w:left="-10" w:right="3239" w:firstLine="447"/>
        <w:spacing w:after="0" w:line="255" w:lineRule="auto"/>
        <w:tabs>
          <w:tab w:leader="none" w:pos="777" w:val="left"/>
        </w:tabs>
        <w:numPr>
          <w:ilvl w:val="1"/>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Borrower becomes obligated to pay additional amounts to any Lender pursuant to this Section 2.08 or Section 2.10 of this Agreement as a result of any condition described in such Sections which is not generally applicable to all Lenders, then, unless the Lender to which such conditions apply has theretofore taken steps to remove or cure, and has removed or cured, the conditions creating the cause for such obligation to pay such additional amounts, the Borrower may, so long as no Default shall have occurred and be continuing, designate another lender which is willing to purchase all rights and obligations of such Lender and which is acceptable to the Administrative Agent (such lender being herein called a "Replacement Lender") to purchase for cash all of the rights and obligations of such Lender under this Agreement and assume all of such Lender's rights and obligations hereunder, without recourse to or warranty (other than title) by, or expense to, such Lender for a purchase price</w:t>
      </w:r>
    </w:p>
    <w:p>
      <w:pPr>
        <w:spacing w:after="0" w:line="326"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29"/>
          </w:cols>
          <w:pgMar w:left="230" w:top="624" w:right="1440" w:bottom="1440" w:gutter="0" w:footer="0" w:header="0"/>
        </w:sectPr>
      </w:pPr>
    </w:p>
    <w:bookmarkStart w:id="237" w:name="page238"/>
    <w:bookmarkEnd w:id="237"/>
    <w:p>
      <w:pPr>
        <w:jc w:val="both"/>
        <w:ind w:right="3239"/>
        <w:spacing w:after="0" w:line="255" w:lineRule="auto"/>
        <w:rPr>
          <w:sz w:val="20"/>
          <w:szCs w:val="20"/>
          <w:color w:val="auto"/>
        </w:rPr>
      </w:pPr>
      <w:r>
        <w:rPr>
          <w:rFonts w:ascii="Courier New" w:cs="Courier New" w:eastAsia="Courier New" w:hAnsi="Courier New"/>
          <w:sz w:val="14"/>
          <w:szCs w:val="14"/>
          <w:color w:val="auto"/>
        </w:rPr>
        <w:t>equal to the outstanding principal amount of the Advances payable to such Lender plus any accrued but unpaid interest on such Advances, expense reimbursements, fees (including, without limitation, the assignment fee under Section 9.07(a)) and indemnities and other amounts in respect of that Lender's Commitment and Advances hereunder. Such Lender shall consummate such sale in accordance with the assignment provisions of Section 9.07 as promptly as reasonably practicable.</w:t>
      </w:r>
    </w:p>
    <w:p>
      <w:pPr>
        <w:spacing w:after="0" w:line="166" w:lineRule="exact"/>
        <w:rPr>
          <w:sz w:val="20"/>
          <w:szCs w:val="20"/>
          <w:color w:val="auto"/>
        </w:rPr>
      </w:pPr>
    </w:p>
    <w:p>
      <w:pPr>
        <w:jc w:val="both"/>
        <w:ind w:right="3239" w:firstLine="447"/>
        <w:spacing w:after="0" w:line="237" w:lineRule="auto"/>
        <w:tabs>
          <w:tab w:leader="none" w:pos="787" w:val="left"/>
        </w:tabs>
        <w:numPr>
          <w:ilvl w:val="0"/>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Borrower becomes obligated to pay additional amounts to any Lender pursuant to this Section 2.08 or Section 2.10 of this Agreement as a result of any condition described in such Sections, the Borrower shall be entitled to prepay the Advances of any Lender affected by such conditions by providing five Business Days prior written notice to the Administrative Agent of such prepayment (which prepayment shall occur not more than 20 days after the date of such notice); provided, that, if more than one Lender is affected at any time, then the Advances of such Lenders must be treated the same pursuant to this Section 2.08. On the date of any such prepayment, the Borrower shall pay the principal amount of the Advance to be prepaid, together with interest accrued thereon to the date of prepayment, all other amounts due hereunder and, subject to breakage costs pursuant to Section 2.12. If the Borrower prepays the Advances of any Lender in accordance with this Section 2.08, the Commitment of the Lender so prepaid shall terminate.</w:t>
      </w:r>
    </w:p>
    <w:p>
      <w:pPr>
        <w:spacing w:after="0" w:line="167" w:lineRule="exact"/>
        <w:rPr>
          <w:sz w:val="20"/>
          <w:szCs w:val="20"/>
          <w:color w:val="auto"/>
        </w:rPr>
      </w:pPr>
    </w:p>
    <w:p>
      <w:pPr>
        <w:ind w:left="800"/>
        <w:spacing w:after="0"/>
        <w:tabs>
          <w:tab w:leader="none" w:pos="2000" w:val="left"/>
        </w:tabs>
        <w:rPr>
          <w:sz w:val="20"/>
          <w:szCs w:val="20"/>
          <w:color w:val="auto"/>
        </w:rPr>
      </w:pPr>
      <w:r>
        <w:rPr>
          <w:rFonts w:ascii="Courier New" w:cs="Courier New" w:eastAsia="Courier New" w:hAnsi="Courier New"/>
          <w:sz w:val="15"/>
          <w:szCs w:val="15"/>
          <w:color w:val="auto"/>
        </w:rPr>
        <w:t>SECTION 2.09</w:t>
      </w:r>
      <w:r>
        <w:rPr>
          <w:sz w:val="20"/>
          <w:szCs w:val="20"/>
          <w:color w:val="auto"/>
        </w:rPr>
        <w:tab/>
      </w:r>
      <w:r>
        <w:rPr>
          <w:rFonts w:ascii="Courier New" w:cs="Courier New" w:eastAsia="Courier New" w:hAnsi="Courier New"/>
          <w:sz w:val="14"/>
          <w:szCs w:val="14"/>
          <w:color w:val="auto"/>
        </w:rPr>
        <w:t>Payments and Computations.</w:t>
      </w:r>
    </w:p>
    <w:p>
      <w:pPr>
        <w:spacing w:after="0" w:line="173" w:lineRule="exact"/>
        <w:rPr>
          <w:sz w:val="20"/>
          <w:szCs w:val="20"/>
          <w:color w:val="auto"/>
        </w:rPr>
      </w:pPr>
    </w:p>
    <w:p>
      <w:pPr>
        <w:jc w:val="both"/>
        <w:ind w:right="3239" w:firstLine="447"/>
        <w:spacing w:after="0" w:line="255" w:lineRule="auto"/>
        <w:tabs>
          <w:tab w:leader="none" w:pos="787" w:val="left"/>
        </w:tabs>
        <w:numPr>
          <w:ilvl w:val="0"/>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shall make each payment hereunder and under the Notes not later than 11:00 A.M. (New York City time) on the day when due in Dollars to the Administrative Agent at the Administrative Agent's Account in same day funds. The Administrative Agent will promptly thereafter cause to be distributed like funds relating to the payment of principal, interest or fees ratably (other than amounts payable pursuant to Section 2.08(a), 2.08(b), 2.10 or 2.12) to the Lenders for the account of their Lending Offices, and like funds relating to the payment of any other amount payable to any Lender to such Lender for the account of its Lending Office, in each case to be applied in accordance with the terms of this Agreement. Upon its acceptance of an Assignment and Acceptance and recording of the information contained therein in the Register pursuant to Section 9.07(d), from and after the effective date of such Assignment and Acceptance, the Administrative Agent shall make all payments hereunder and under the Notes in respect of the interest assigned thereby to the Lender assignee thereunder, and the parties to such Assignment and Acceptance shall make all appropriate adjustments in such payments for periods prior to such effective date directly between themselves.</w:t>
      </w:r>
    </w:p>
    <w:p>
      <w:pPr>
        <w:spacing w:after="0" w:line="331" w:lineRule="exact"/>
        <w:rPr>
          <w:rFonts w:ascii="Courier New" w:cs="Courier New" w:eastAsia="Courier New" w:hAnsi="Courier New"/>
          <w:sz w:val="14"/>
          <w:szCs w:val="14"/>
          <w:color w:val="auto"/>
        </w:rPr>
      </w:pPr>
    </w:p>
    <w:p>
      <w:pPr>
        <w:jc w:val="both"/>
        <w:ind w:right="3239" w:firstLine="447"/>
        <w:spacing w:after="0" w:line="236" w:lineRule="auto"/>
        <w:tabs>
          <w:tab w:leader="none" w:pos="787"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Administrative Agent receives funds for application to the Obligations under the Loan Documents under circumstances for which the Loan Documents do not specify the Advances to which, or the manner in which, such funds are to be applied, the Administrative Agent shall distribute such funds to each Lender ratably in accordance with such Lender's proportionate shares of the principal amount of all outstanding Advances, in repayment or prepayment of such of the outstanding Advances or other Obligations owed to such Lender as the Administrative Agent shall direct.</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624" w:right="1440" w:bottom="1440" w:gutter="0" w:footer="0" w:header="0"/>
        </w:sectPr>
      </w:pPr>
    </w:p>
    <w:bookmarkStart w:id="238" w:name="page239"/>
    <w:bookmarkEnd w:id="238"/>
    <w:p>
      <w:pPr>
        <w:jc w:val="both"/>
        <w:ind w:left="-447" w:right="3239" w:firstLine="447"/>
        <w:spacing w:after="0" w:line="236" w:lineRule="auto"/>
        <w:tabs>
          <w:tab w:leader="none" w:pos="340"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computations of interest based on the Eurodollar Rate or the Federal Funds Rate shall be made by the Administrative Agent on the basis of a year of 360 days, in each case for the actual number of days (including the first day but excluding the last day) occurring in the period for which such interest or fees are payable. Each determination by the Administrative Agent of an interest rate or fee hereunder shall be conclusive and binding for all purposes, absent manifest error.</w:t>
      </w:r>
    </w:p>
    <w:p>
      <w:pPr>
        <w:spacing w:after="0" w:line="175" w:lineRule="exact"/>
        <w:rPr>
          <w:rFonts w:ascii="Courier New" w:cs="Courier New" w:eastAsia="Courier New" w:hAnsi="Courier New"/>
          <w:sz w:val="15"/>
          <w:szCs w:val="15"/>
          <w:color w:val="auto"/>
        </w:rPr>
      </w:pPr>
    </w:p>
    <w:p>
      <w:pPr>
        <w:jc w:val="both"/>
        <w:ind w:left="-447" w:right="3239" w:firstLine="447"/>
        <w:spacing w:after="0" w:line="236" w:lineRule="auto"/>
        <w:tabs>
          <w:tab w:leader="none" w:pos="340"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any payment hereunder or under the Notes shall be stated to be due on a day other than a Business Day, such payment shall be made on the next succeeding Business Day, and such extension of time shall, in such case, be included in the computation of payment of interest; provided, however, that, if such extension would cause payment of interest on or principal of Advances to be made in the next following calendar month, such payment shall be made on the next preceding Business Day.</w:t>
      </w:r>
    </w:p>
    <w:p>
      <w:pPr>
        <w:spacing w:after="0" w:line="175" w:lineRule="exact"/>
        <w:rPr>
          <w:rFonts w:ascii="Courier New" w:cs="Courier New" w:eastAsia="Courier New" w:hAnsi="Courier New"/>
          <w:sz w:val="15"/>
          <w:szCs w:val="15"/>
          <w:color w:val="auto"/>
        </w:rPr>
      </w:pPr>
    </w:p>
    <w:p>
      <w:pPr>
        <w:jc w:val="both"/>
        <w:ind w:left="-447" w:right="3239" w:firstLine="447"/>
        <w:spacing w:after="0" w:line="237" w:lineRule="auto"/>
        <w:tabs>
          <w:tab w:leader="none" w:pos="340"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the Administrative Agent shall have received notice from the Borrower prior to the date on which any payment is due to any Lender hereunder that the Borrower will not make such payment in full, the Administrative Agent may assume that the Borrower has made such payment in full to the Administrative Agent on such date and the Administrative Agent may, in reliance upon such assumption, cause to be distributed to each such Lender on such due date an amount equal to the amount then due to such Lender. If and to the extent the Borrower shall not have so made such payment in full to the Administrative Agent, each such Lender shall repay to the Administrative Agent forthwith on demand such amount distributed to such Lender together with interest thereon, for each day from the date such amount is distributed to such Lender until the date such Lender repays such amount to the Administrative Agent, at the Federal Funds Rate.</w:t>
      </w:r>
    </w:p>
    <w:p>
      <w:pPr>
        <w:spacing w:after="0" w:line="173" w:lineRule="exact"/>
        <w:rPr>
          <w:rFonts w:ascii="Courier New" w:cs="Courier New" w:eastAsia="Courier New" w:hAnsi="Courier New"/>
          <w:sz w:val="15"/>
          <w:szCs w:val="15"/>
          <w:color w:val="auto"/>
        </w:rPr>
      </w:pPr>
    </w:p>
    <w:p>
      <w:pPr>
        <w:jc w:val="both"/>
        <w:ind w:left="-447" w:right="3239" w:firstLine="447"/>
        <w:spacing w:after="0" w:line="236" w:lineRule="auto"/>
        <w:tabs>
          <w:tab w:leader="none" w:pos="340"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shall make all payments hereunder and under the Notes regardless of any defense or counterclaim, including, without limitation, any defense or counterclaim based on any law, rule or policy which is now or hereafter promulgated by any Governmental Authority or regulatory body and which may adversely affect the Borrower's obligation to make, or the right of the holder of any Note to receive, such payments.</w:t>
      </w:r>
    </w:p>
    <w:p>
      <w:pPr>
        <w:spacing w:after="0" w:line="168" w:lineRule="exact"/>
        <w:rPr>
          <w:sz w:val="20"/>
          <w:szCs w:val="20"/>
          <w:color w:val="auto"/>
        </w:rPr>
      </w:pPr>
    </w:p>
    <w:p>
      <w:pPr>
        <w:ind w:left="353"/>
        <w:spacing w:after="0"/>
        <w:tabs>
          <w:tab w:leader="none" w:pos="1553" w:val="left"/>
        </w:tabs>
        <w:rPr>
          <w:sz w:val="20"/>
          <w:szCs w:val="20"/>
          <w:color w:val="auto"/>
        </w:rPr>
      </w:pPr>
      <w:r>
        <w:rPr>
          <w:rFonts w:ascii="Courier New" w:cs="Courier New" w:eastAsia="Courier New" w:hAnsi="Courier New"/>
          <w:sz w:val="15"/>
          <w:szCs w:val="15"/>
          <w:color w:val="auto"/>
        </w:rPr>
        <w:t>SECTION 2.10</w:t>
      </w:r>
      <w:r>
        <w:rPr>
          <w:sz w:val="20"/>
          <w:szCs w:val="20"/>
          <w:color w:val="auto"/>
        </w:rPr>
        <w:tab/>
      </w:r>
      <w:r>
        <w:rPr>
          <w:rFonts w:ascii="Courier New" w:cs="Courier New" w:eastAsia="Courier New" w:hAnsi="Courier New"/>
          <w:sz w:val="14"/>
          <w:szCs w:val="14"/>
          <w:color w:val="auto"/>
        </w:rPr>
        <w:t>Taxes.</w:t>
      </w:r>
    </w:p>
    <w:p>
      <w:pPr>
        <w:spacing w:after="0" w:line="173" w:lineRule="exact"/>
        <w:rPr>
          <w:sz w:val="20"/>
          <w:szCs w:val="20"/>
          <w:color w:val="auto"/>
        </w:rPr>
      </w:pPr>
    </w:p>
    <w:p>
      <w:pPr>
        <w:jc w:val="both"/>
        <w:ind w:left="-447" w:right="3239" w:firstLine="447"/>
        <w:spacing w:after="0" w:line="255" w:lineRule="auto"/>
        <w:tabs>
          <w:tab w:leader="none" w:pos="340" w:val="left"/>
        </w:tabs>
        <w:numPr>
          <w:ilvl w:val="0"/>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and all payments by the Borrower to or for the account of any Lender, the Lead Arranger or the Administrative Agent hereunder, under any Note or under any other Loan Document, of any nature whatsoever, shall be made, in accordance with Section 2.09, without withholding or deduction for any Taxes; provided that, if the Borrower shall be required by law to withhold or deduct any Taxes from any such payments, (i) the sum payable shall be increased as necessary so that after making all required withholdings or deductions (including withholdings or deductions applicable to additional sums payable under this Section 2.10) such Lender, the Lead Arranger or the Administrative Agent, as the case may be, receives an amount equal to the sum it would have received had no such withholdings or deductions been made, (ii) the Borrower shall make such withholdings or deductions, (iii) the Borrower shall pay the full amount withheld or deducted to the relevant taxation authority or other authority in accordance with applicable law and (iv) the Borrower shall furnish to the Administrative Agent the original or a certified copy of a receipt evidencing payment within 60 days after payment thereof.</w:t>
      </w:r>
    </w:p>
    <w:p>
      <w:pPr>
        <w:spacing w:after="0" w:line="200" w:lineRule="exact"/>
        <w:rPr>
          <w:sz w:val="20"/>
          <w:szCs w:val="20"/>
          <w:color w:val="auto"/>
        </w:rPr>
      </w:pPr>
    </w:p>
    <w:p>
      <w:pPr>
        <w:spacing w:after="0" w:line="293" w:lineRule="exact"/>
        <w:rPr>
          <w:sz w:val="20"/>
          <w:szCs w:val="20"/>
          <w:color w:val="auto"/>
        </w:rPr>
      </w:pPr>
    </w:p>
    <w:p>
      <w:pPr>
        <w:ind w:left="2973"/>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9792"/>
          </w:cols>
          <w:pgMar w:left="667" w:top="624" w:right="1440" w:bottom="1440" w:gutter="0" w:footer="0" w:header="0"/>
        </w:sectPr>
      </w:pPr>
    </w:p>
    <w:bookmarkStart w:id="239" w:name="page240"/>
    <w:bookmarkEnd w:id="239"/>
    <w:p>
      <w:pPr>
        <w:jc w:val="both"/>
        <w:ind w:left="-447" w:right="3239" w:firstLine="447"/>
        <w:spacing w:after="0" w:line="236" w:lineRule="auto"/>
        <w:tabs>
          <w:tab w:leader="none" w:pos="340"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agrees to indemnify each Lender, the Lead Arranger and the Administrative Agent for the full amount of Taxes (including any Taxes imposed on amounts payable under this Section 2.10) paid by such Lender, the Lead Arranger or the Administrative Agent (as the case may be) and any interest or penalties in respect thereof. This indemnification shall be paid within 30 days after such Lender, the Lead Arranger or the Administrative Agent (as the case may be) makes written demand therefor.</w:t>
      </w:r>
    </w:p>
    <w:p>
      <w:pPr>
        <w:spacing w:after="0" w:line="175" w:lineRule="exact"/>
        <w:rPr>
          <w:rFonts w:ascii="Courier New" w:cs="Courier New" w:eastAsia="Courier New" w:hAnsi="Courier New"/>
          <w:sz w:val="15"/>
          <w:szCs w:val="15"/>
          <w:color w:val="auto"/>
        </w:rPr>
      </w:pPr>
    </w:p>
    <w:p>
      <w:pPr>
        <w:jc w:val="both"/>
        <w:ind w:left="-447" w:right="3239" w:firstLine="447"/>
        <w:spacing w:after="0" w:line="255" w:lineRule="auto"/>
        <w:tabs>
          <w:tab w:leader="none" w:pos="340" w:val="left"/>
        </w:tabs>
        <w:numPr>
          <w:ilvl w:val="0"/>
          <w:numId w:val="2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Lender, other than EDC, represents and warrants to the Borrower that on and as of the date hereof such Lender either (i) is registered as a Registered Bank, and is a resident (or its principal office is a resident, if such Lender's Lending Office is a branch or agency of such Lender) for tax purposes in a jurisdiction with which Mexico has in effect a treaty for the avoidance of double taxation or (ii) is a Mexican Bank. The Borrower shall not be required to pay additional amounts or indemnify any Lender under clause (a) or (b) above for any Taxes to the extent that such Taxes would not have been imposed but for the untruth on the date hereof of the foregoing representation.</w:t>
      </w:r>
    </w:p>
    <w:p>
      <w:pPr>
        <w:spacing w:after="0" w:line="165" w:lineRule="exact"/>
        <w:rPr>
          <w:rFonts w:ascii="Courier New" w:cs="Courier New" w:eastAsia="Courier New" w:hAnsi="Courier New"/>
          <w:sz w:val="14"/>
          <w:szCs w:val="14"/>
          <w:color w:val="auto"/>
        </w:rPr>
      </w:pPr>
    </w:p>
    <w:p>
      <w:pPr>
        <w:jc w:val="both"/>
        <w:ind w:left="-447" w:right="3239" w:firstLine="447"/>
        <w:spacing w:after="0" w:line="254" w:lineRule="auto"/>
        <w:tabs>
          <w:tab w:leader="none" w:pos="340" w:val="left"/>
        </w:tabs>
        <w:numPr>
          <w:ilvl w:val="0"/>
          <w:numId w:val="2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Lender (other than EDC), the Lead Arranger and the Administrative Agent agrees to use reasonable efforts (consistent with legal and regulatory restrictions and subject to overall policy considerations of such Lender) to comply with any certification, identification, information, documentation or other reporting requirement as is required by Mexico or applicable in Mexico of which it becomes aware in order to obtain an exemption from, or reduced rate of, deduction, payment or withholding of Taxes to which such Lender, the Lead Arranger or the Administrative Agent is entitled pursuant to an applicable tax treaty or the laws of Mexico. Upon the written request of the Borrower, each Lender (other than EDC), the Lead Arranger and the Administrative Agent will promptly provide to the Borrower such form, certification or similar documentation (each duly completed, accurate and signed) as may currently or in the future be applicable in Mexico or any other jurisdiction or comply with other reasonable requirements as may in the future be applicable in Mexico or any other jurisdiction, in order to obtain an exemption from, or reduced rate of, deduction, payment or withholding of Taxes to which such Lender, the Lead Arranger or the Administrative Agent is entitled pursuant to an applicable tax treaty or the laws of the relevant jurisdiction; provided, however, that nothing in this Section 2.10(d) shall require a Lender to disclose any confidential information (including, without limitation, its tax returns or its calculations). The Borrower shall not be required to pay additional amounts to or indemnify any Lender, the Lead Arranger or the Administrative Agent under clause (a) or (b) for any Taxes to the extent such Taxes would not be imposed solely as the result of the failure by such Lender, the Lead Arranger or the Administrative Agent, as the case may be, to comply with the provisions of this clause (d) within a reasonable period of time following its actual knowledge of any such requirement.</w:t>
      </w:r>
    </w:p>
    <w:p>
      <w:pPr>
        <w:spacing w:after="0" w:line="345" w:lineRule="exact"/>
        <w:rPr>
          <w:rFonts w:ascii="Courier New" w:cs="Courier New" w:eastAsia="Courier New" w:hAnsi="Courier New"/>
          <w:sz w:val="14"/>
          <w:szCs w:val="14"/>
          <w:color w:val="auto"/>
        </w:rPr>
      </w:pPr>
    </w:p>
    <w:p>
      <w:pPr>
        <w:jc w:val="both"/>
        <w:ind w:left="-447" w:right="3239" w:firstLine="447"/>
        <w:spacing w:after="0" w:line="255" w:lineRule="auto"/>
        <w:tabs>
          <w:tab w:leader="none" w:pos="340" w:val="left"/>
        </w:tabs>
        <w:numPr>
          <w:ilvl w:val="0"/>
          <w:numId w:val="2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Borrower pays any additional amount to or indemnifies any Lender, the Lead Arranger or the Administrative Agent under this Section 2.10 and such Lender, the Lead Arranger or the Administrative Agent, as the case may be, receives a refund from the applicable jurisdiction of Taxes for which the Borrower so paid to or indemnified such Person, such Person shall pay to the Borrower, within 60 days after receipt of such refund, the amount of such refund. Any Lender, the Lead Arranger or the Administrative Agent shall claim a refund of any amounts for which it was so indemnified if requested by the Borrower in writing, unless such Lender, the Lead Arranger or the Administrative Agent, as the case may be, reasonably determines, in good faith, that the making of such claim would be disadvantageous to it. If the Borrower pays any additional amount to or indemnifies any Lender, the Lead Arranger or the Administrative Agent under this Section 2.10 and such Lender, the Lead Arranger or the Administrative Agent, as the case may be, is able to utilize a foreign</w:t>
      </w:r>
    </w:p>
    <w:p>
      <w:pPr>
        <w:spacing w:after="0" w:line="326" w:lineRule="exact"/>
        <w:rPr>
          <w:sz w:val="20"/>
          <w:szCs w:val="20"/>
          <w:color w:val="auto"/>
        </w:rPr>
      </w:pPr>
    </w:p>
    <w:p>
      <w:pPr>
        <w:ind w:left="2973"/>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9792"/>
          </w:cols>
          <w:pgMar w:left="667" w:top="623" w:right="1440" w:bottom="1440" w:gutter="0" w:footer="0" w:header="0"/>
        </w:sectPr>
      </w:pPr>
    </w:p>
    <w:bookmarkStart w:id="240" w:name="page241"/>
    <w:bookmarkEnd w:id="240"/>
    <w:p>
      <w:pPr>
        <w:jc w:val="both"/>
        <w:ind w:right="3239"/>
        <w:spacing w:after="0" w:line="254" w:lineRule="auto"/>
        <w:rPr>
          <w:sz w:val="20"/>
          <w:szCs w:val="20"/>
          <w:color w:val="auto"/>
        </w:rPr>
      </w:pPr>
      <w:r>
        <w:rPr>
          <w:rFonts w:ascii="Courier New" w:cs="Courier New" w:eastAsia="Courier New" w:hAnsi="Courier New"/>
          <w:sz w:val="14"/>
          <w:szCs w:val="14"/>
          <w:color w:val="auto"/>
        </w:rPr>
        <w:t>tax credit against its tax liability in or with respect to the amounts so paid by the Borrower, such Person shall pay to the Borrower, within 60 days after receipt of such credit, an amount that such Person shall, in its reasonable discretion, determine is equal to the net benefit, after tax, which was obtained by such Person in such year as a consequence of such foreign tax credit; provided, however, that (i) such payment shall not be made to the extent it would leave such Lender, the Lead Arranger or the Administrative Agent, after such payment, in a worse position than that in which it would have been if the Borrower had not been required to pay additional amounts; and (ii) any Lender, the Lead Arranger or the Administrative Agent may determine in its reasonable discretion consistent with the policies of such Lender, the Lead Arranger or the Administrative Agent whether to seek a foreign tax credit. Notwithstanding the foregoing, (i) if any Lender, the Lead Arranger or the Administrative Agent is required to repay the applicable jurisdiction all or part of a refund with respect to which it has made a payment to the Borrower pursuant to this Section 2.10 or determines that it was not entitled to the foreign tax credit claimed to the full extent of any payment made by it pursuant to this paragraph (e), the Borrower shall, within 30 days upon written demand of such Lender, the Lead Arranger or the Administrative Agent, repay to such Lender, the Lead Arranger or the Administrative Agent the amount of such overpayment, and (ii) nothing in this Section 2.10 shall require a Lender, the Lead Arranger or the Administrative Agent to disclose any confidential information to the Borrower (including, without limitation, its tax returns or calculations).</w:t>
      </w:r>
    </w:p>
    <w:p>
      <w:pPr>
        <w:spacing w:after="0" w:line="344" w:lineRule="exact"/>
        <w:rPr>
          <w:sz w:val="20"/>
          <w:szCs w:val="20"/>
          <w:color w:val="auto"/>
        </w:rPr>
      </w:pPr>
    </w:p>
    <w:p>
      <w:pPr>
        <w:jc w:val="both"/>
        <w:ind w:right="3239" w:firstLine="447"/>
        <w:spacing w:after="0" w:line="254" w:lineRule="auto"/>
        <w:tabs>
          <w:tab w:leader="none" w:pos="787"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EDC represents and warrants to the Borrower that, as of the date hereof, the head office of EDC is in Ottawa, Canada, formerly named "Export Development Corporation" as referred to in Article 11 of the Convention Between the Government of Canada and the Government of the United Mexican States for the Avoidance of Double Taxation and the Prevention of Fiscal Evasion with Respect to Taxes on Income. If EDC claims any additional amounts payable pursuant to this Section 2.10, which are in excess of the tax imposed at the lowest rate of withholding that would be otherwise applicable to the Registered Banks (other than the Mexican Banks), then the Borrower may, at its option (without prejudice to Section 2.10(c), (i) designate an Eligible Assignee (which shall be an entity reasonably satisfactory to the Administrative Agent) to replace EDC in accordance with Section 9.07, which Eligible Assignee shall pay or cause to be paid to EDC the outstanding principal amount of EDC's aggregate Advances plus accrued interest thereon plus other Obligations of the Borrower to EDC in accordance with the terms of this Agreement and the other Loan Documents or (ii) subject to giving five Business Days' notice to the Administrative Agent, without penalty or premium but subject to Section 2.12, prepay the principal amount of EDC's Advance, together with accrued interest thereon and all other amounts payable to EDC hereunder; and in the case of designation of an Eligible Assignee, EDC and such Eligible Assignee shall deliver to the Administrative Agent and the Borrower an Assignment and Acceptance in substantially the form of Exhibit F hereto whereby such Eligible Assignee shall agree to be bound by the terms hereof, provided however, that the failure of EDC to execute or deliver such Assignment and Acceptance shall not render such assignment invalid and such assignment shall be deemed effective as of the date on which such Eligible Assignee pays or causes to be paid to EDC the amounts specified in clause (i) above.</w:t>
      </w:r>
    </w:p>
    <w:p>
      <w:pPr>
        <w:spacing w:after="0" w:line="200" w:lineRule="exact"/>
        <w:rPr>
          <w:sz w:val="20"/>
          <w:szCs w:val="20"/>
          <w:color w:val="auto"/>
        </w:rPr>
      </w:pPr>
    </w:p>
    <w:p>
      <w:pPr>
        <w:spacing w:after="0" w:line="30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623" w:right="1440" w:bottom="1440" w:gutter="0" w:footer="0" w:header="0"/>
        </w:sectPr>
      </w:pPr>
    </w:p>
    <w:bookmarkStart w:id="241" w:name="page242"/>
    <w:bookmarkEnd w:id="241"/>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SECTION 211 Sharing of Payments, Etc. If any Lender shall obtain any payment (whether voluntary, involuntary, through the exercise of any right of set-off, or otherwise) on account of the Advance owing to it (other than pursuant to Section 2.08(a), 2.08(b), 2.10 or 2.12) in excess of its ratable share of payments on account of the Advances obtained by all the Lenders, such Lender shall forthwith purchase from the other Lenders such participations in the Advances owing to them as shall be necessary to cause such purchasing Lender to share the excess payment ratably with each of them; provided, however, that if all or any portion of such excess payment is thereafter recovered from such purchasing Lender, the purchase from such Lender shall be rescinded and such Lender shall repay to the purchasing Lender the purchase price to the extent of such Lender's ratable share of such recovery together with an amount equal to such Lender's ratable share (according to the proportion of (i) the amount of such Lender's required repayment to (ii) the total amount so recovered from the purchasing Lender) of any interest or other amount paid or payable by the purchasing Lender in respect of the total amount so recovered. The Borrower agrees that any Lender so purchasing a participation from another Lender pursuant to this Section may, to the fullest extent permitted by law, exercise all its rights of payment (including the right of set-off) with respect to such participation as fully as if such Lender were the direct creditor of the Borrower in the amount of such participation.</w:t>
      </w:r>
    </w:p>
    <w:p>
      <w:pPr>
        <w:spacing w:after="0" w:line="34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SECTION 2.12 Funding Losses. In the event any Lender shall incur any loss, cost, or expense (including any loss, cost, or expense incurred by reason of the liquidation or reemployment of deposits or other funds acquired by such Lender to make, continue, or maintain any portion of the principal amount of any Advance), but excluding any loss of any margin above the Eurodollar Rate, as a result of:</w:t>
      </w:r>
    </w:p>
    <w:p>
      <w:pPr>
        <w:spacing w:after="0" w:line="175" w:lineRule="exact"/>
        <w:rPr>
          <w:sz w:val="20"/>
          <w:szCs w:val="20"/>
          <w:color w:val="auto"/>
        </w:rPr>
      </w:pPr>
    </w:p>
    <w:p>
      <w:pPr>
        <w:jc w:val="both"/>
        <w:ind w:right="3239" w:firstLine="447"/>
        <w:spacing w:after="0" w:line="235" w:lineRule="auto"/>
        <w:tabs>
          <w:tab w:leader="none" w:pos="787"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repayment or prepayment of the principal amount of any Advances on a date other than the scheduled last day of the Interest Period applicable thereto;</w:t>
      </w:r>
    </w:p>
    <w:p>
      <w:pPr>
        <w:spacing w:after="0" w:line="173" w:lineRule="exact"/>
        <w:rPr>
          <w:rFonts w:ascii="Courier New" w:cs="Courier New" w:eastAsia="Courier New" w:hAnsi="Courier New"/>
          <w:sz w:val="15"/>
          <w:szCs w:val="15"/>
          <w:color w:val="auto"/>
        </w:rPr>
      </w:pPr>
    </w:p>
    <w:p>
      <w:pPr>
        <w:ind w:right="3239" w:firstLine="447"/>
        <w:spacing w:after="0" w:line="234" w:lineRule="auto"/>
        <w:tabs>
          <w:tab w:leader="none" w:pos="787"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Advances not being made in accordance with the Notice of Borrowing therefor; or</w:t>
      </w:r>
    </w:p>
    <w:p>
      <w:pPr>
        <w:spacing w:after="0" w:line="173" w:lineRule="exact"/>
        <w:rPr>
          <w:rFonts w:ascii="Courier New" w:cs="Courier New" w:eastAsia="Courier New" w:hAnsi="Courier New"/>
          <w:sz w:val="15"/>
          <w:szCs w:val="15"/>
          <w:color w:val="auto"/>
        </w:rPr>
      </w:pPr>
    </w:p>
    <w:p>
      <w:pPr>
        <w:ind w:right="3239" w:firstLine="447"/>
        <w:spacing w:after="0" w:line="234" w:lineRule="auto"/>
        <w:tabs>
          <w:tab w:leader="none" w:pos="787"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Advances not being continued for the Interest Period specified in accordance with the relevant notice therefor;</w:t>
      </w:r>
    </w:p>
    <w:p>
      <w:pPr>
        <w:spacing w:after="0" w:line="167" w:lineRule="exact"/>
        <w:rPr>
          <w:sz w:val="20"/>
          <w:szCs w:val="20"/>
          <w:color w:val="auto"/>
        </w:rPr>
      </w:pPr>
    </w:p>
    <w:p>
      <w:pPr>
        <w:spacing w:after="0"/>
        <w:tabs>
          <w:tab w:leader="none" w:pos="600" w:val="left"/>
          <w:tab w:leader="none" w:pos="2180" w:val="left"/>
        </w:tabs>
        <w:rPr>
          <w:sz w:val="20"/>
          <w:szCs w:val="20"/>
          <w:color w:val="auto"/>
        </w:rPr>
      </w:pPr>
      <w:r>
        <w:rPr>
          <w:rFonts w:ascii="Courier New" w:cs="Courier New" w:eastAsia="Courier New" w:hAnsi="Courier New"/>
          <w:sz w:val="15"/>
          <w:szCs w:val="15"/>
          <w:color w:val="auto"/>
        </w:rPr>
        <w:t>then,</w:t>
        <w:tab/>
        <w:t>upon the written</w:t>
      </w:r>
      <w:r>
        <w:rPr>
          <w:sz w:val="20"/>
          <w:szCs w:val="20"/>
          <w:color w:val="auto"/>
        </w:rPr>
        <w:tab/>
      </w:r>
      <w:r>
        <w:rPr>
          <w:rFonts w:ascii="Courier New" w:cs="Courier New" w:eastAsia="Courier New" w:hAnsi="Courier New"/>
          <w:sz w:val="14"/>
          <w:szCs w:val="14"/>
          <w:color w:val="auto"/>
        </w:rPr>
        <w:t>notice of such Lender to the Borrower (with a copy</w:t>
      </w:r>
    </w:p>
    <w:p>
      <w:pPr>
        <w:spacing w:after="0" w:line="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to the Administrative Agent), the Borrower shall, within five Business Days of its receipt thereof, pay directly to such Lender (for its own account) such amount as will reimburse such Lender for the loss, cost or expense sustained by such Lender attributable to such event. Such written notice (which shall include all calculations in reasonable detail) shall, in the absence of manifest error, be conclusive and binding on the Borrower.</w:t>
      </w:r>
    </w:p>
    <w:p>
      <w:pPr>
        <w:spacing w:after="0" w:line="175"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SECTION 2.13 Use of Proceeds. The proceeds of the Advances shall be available (and the Borrower agrees that it shall use such proceeds) to refinance existing Debt of the Borrower and to pay transaction fees and expenses incurred in connection with this Agreement.</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624" w:right="1440" w:bottom="1440" w:gutter="0" w:footer="0" w:header="0"/>
        </w:sectPr>
      </w:pPr>
    </w:p>
    <w:bookmarkStart w:id="242" w:name="page243"/>
    <w:bookmarkEnd w:id="242"/>
    <w:p>
      <w:pPr>
        <w:jc w:val="center"/>
        <w:ind w:right="3139"/>
        <w:spacing w:after="0"/>
        <w:rPr>
          <w:sz w:val="20"/>
          <w:szCs w:val="20"/>
          <w:color w:val="auto"/>
        </w:rPr>
      </w:pPr>
      <w:r>
        <w:rPr>
          <w:rFonts w:ascii="Courier New" w:cs="Courier New" w:eastAsia="Courier New" w:hAnsi="Courier New"/>
          <w:sz w:val="15"/>
          <w:szCs w:val="15"/>
          <w:color w:val="auto"/>
        </w:rPr>
        <w:t>ARTICLE III</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CONDITIONS OF LENDING</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SECTION 3.01 Conditions Precedent to the Borrowing. The obligation of each Lender to make its Advance on the Borrowing Date is subject to the effectiveness of this Agreement pursuant to Section 9.06, and to satisfaction or waiver of the conditions precedent set forth below (each document received by the Administrative Agent and described below shall be dated the Borrowing Date (unless otherwise specified), and in form and substance reasonably satisfactory to the Lenders (unless otherwise specified)):</w:t>
      </w:r>
    </w:p>
    <w:p>
      <w:pPr>
        <w:spacing w:after="0" w:line="176" w:lineRule="exact"/>
        <w:rPr>
          <w:sz w:val="20"/>
          <w:szCs w:val="20"/>
          <w:color w:val="auto"/>
        </w:rPr>
      </w:pPr>
    </w:p>
    <w:p>
      <w:pPr>
        <w:jc w:val="both"/>
        <w:ind w:right="3239" w:firstLine="447"/>
        <w:spacing w:after="0" w:line="235" w:lineRule="auto"/>
        <w:tabs>
          <w:tab w:leader="none" w:pos="787" w:val="left"/>
        </w:tabs>
        <w:numPr>
          <w:ilvl w:val="0"/>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Administrative Agent shall have received counterparts of this Agreement executed by the Borrower, the Guarantors, the Administrative Agent, the Lead Arranger, the Arrangers, the Documentation Agent, the Syndication Agent and the Lenders.</w:t>
      </w:r>
    </w:p>
    <w:p>
      <w:pPr>
        <w:spacing w:after="0" w:line="175" w:lineRule="exact"/>
        <w:rPr>
          <w:rFonts w:ascii="Courier New" w:cs="Courier New" w:eastAsia="Courier New" w:hAnsi="Courier New"/>
          <w:sz w:val="15"/>
          <w:szCs w:val="15"/>
          <w:color w:val="auto"/>
        </w:rPr>
      </w:pPr>
    </w:p>
    <w:p>
      <w:pPr>
        <w:jc w:val="both"/>
        <w:ind w:right="3239" w:firstLine="447"/>
        <w:spacing w:after="0" w:line="235" w:lineRule="auto"/>
        <w:tabs>
          <w:tab w:leader="none" w:pos="787" w:val="left"/>
        </w:tabs>
        <w:numPr>
          <w:ilvl w:val="0"/>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Administrative Agent shall have received a Notice of Borrowing with respect to the Advances to be made on such Borrowing Date meeting the requirements of Section 2.02(a).</w:t>
      </w:r>
    </w:p>
    <w:p>
      <w:pPr>
        <w:spacing w:after="0" w:line="173" w:lineRule="exact"/>
        <w:rPr>
          <w:rFonts w:ascii="Courier New" w:cs="Courier New" w:eastAsia="Courier New" w:hAnsi="Courier New"/>
          <w:sz w:val="15"/>
          <w:szCs w:val="15"/>
          <w:color w:val="auto"/>
        </w:rPr>
      </w:pPr>
    </w:p>
    <w:p>
      <w:pPr>
        <w:ind w:right="3239" w:firstLine="447"/>
        <w:spacing w:after="0" w:line="234" w:lineRule="auto"/>
        <w:tabs>
          <w:tab w:leader="none" w:pos="787" w:val="left"/>
        </w:tabs>
        <w:numPr>
          <w:ilvl w:val="0"/>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Administrative Agent shall have received the duly executed Notes for the account of each Lender meeting the requirements of Section 2.03(b).</w:t>
      </w:r>
    </w:p>
    <w:p>
      <w:pPr>
        <w:spacing w:after="0" w:line="173" w:lineRule="exact"/>
        <w:rPr>
          <w:rFonts w:ascii="Courier New" w:cs="Courier New" w:eastAsia="Courier New" w:hAnsi="Courier New"/>
          <w:sz w:val="15"/>
          <w:szCs w:val="15"/>
          <w:color w:val="auto"/>
        </w:rPr>
      </w:pPr>
    </w:p>
    <w:p>
      <w:pPr>
        <w:jc w:val="both"/>
        <w:ind w:right="3239" w:firstLine="447"/>
        <w:spacing w:after="0" w:line="255" w:lineRule="auto"/>
        <w:tabs>
          <w:tab w:leader="none" w:pos="787" w:val="left"/>
        </w:tabs>
        <w:numPr>
          <w:ilvl w:val="0"/>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Administrative Agent shall have received (i) a certificate of each of the Credit Parties, substantially in the form of Exhibit C hereto, signed by a Responsible Officer of such Credit Party, dated the Borrowing Date certifying that (A) the representations and warranties of such Credit Party set forth in Article IV are true and correct in all material respects on and as of the Borrowing Date, as though made on and as of the Borrowing Date, and (B) no Default or Event of Default exists or would result from the disbursement of the Advances, and (ii) a certificate of the Secretary or any Assistant Secretary of such Credit Party, substantially in the form of Exhibit D hereto, together with certified copies of (A) the resolutions of the Board of Directors of such Credit Party approving such Credit Party's execution, delivery, and performance of the Loan Documents and the transactions contemplated thereby, (B) all documents evidencing other necessary corporate action and consents or approvals of any Governmental Authority, if any, with respect to the Loan Documents and the transactions contemplated thereby, (C) the constitutional documents of such Credit Party, and (D) the powers of attorney granted by each Credit Party in favor of their respective representative(s) for the execution and delivery of the Loan Documents as provided herein.</w:t>
      </w:r>
    </w:p>
    <w:p>
      <w:pPr>
        <w:spacing w:after="0" w:line="331" w:lineRule="exact"/>
        <w:rPr>
          <w:rFonts w:ascii="Courier New" w:cs="Courier New" w:eastAsia="Courier New" w:hAnsi="Courier New"/>
          <w:sz w:val="14"/>
          <w:szCs w:val="14"/>
          <w:color w:val="auto"/>
        </w:rPr>
      </w:pPr>
    </w:p>
    <w:p>
      <w:pPr>
        <w:jc w:val="both"/>
        <w:ind w:right="3239" w:firstLine="447"/>
        <w:spacing w:after="0" w:line="255" w:lineRule="auto"/>
        <w:tabs>
          <w:tab w:leader="none" w:pos="787" w:val="left"/>
        </w:tabs>
        <w:numPr>
          <w:ilvl w:val="0"/>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Administrative Agent shall have received (i) an opinion of Cleary, Gottlieb, Steen &amp; Hamilton, special New York counsel for the Credit Parties, substantially in the form of Exhibit E-1 hereto and as to such other matters as any Lender through the Administrative Agent may reasonably request and (ii) an opinion of White &amp; Case LLP, special New York counsel for the Lenders and the Administrative Agent, substantially in the form of Exhibit E-3.</w:t>
      </w:r>
    </w:p>
    <w:p>
      <w:pPr>
        <w:spacing w:after="0" w:line="166" w:lineRule="exact"/>
        <w:rPr>
          <w:rFonts w:ascii="Courier New" w:cs="Courier New" w:eastAsia="Courier New" w:hAnsi="Courier New"/>
          <w:sz w:val="14"/>
          <w:szCs w:val="14"/>
          <w:color w:val="auto"/>
        </w:rPr>
      </w:pPr>
    </w:p>
    <w:p>
      <w:pPr>
        <w:jc w:val="both"/>
        <w:ind w:right="3239" w:firstLine="447"/>
        <w:spacing w:after="0" w:line="258" w:lineRule="auto"/>
        <w:tabs>
          <w:tab w:leader="none" w:pos="787" w:val="left"/>
        </w:tabs>
        <w:numPr>
          <w:ilvl w:val="0"/>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Administrative Agent shall have received an opinion of David Gonzalez Vessi, Mexican counsel to the Credit Parties, substantially in the form of Exhibit E-2 hereto and as to such other matters as any Lender through the</w:t>
      </w:r>
    </w:p>
    <w:p>
      <w:pPr>
        <w:spacing w:after="0" w:line="32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39"/>
          </w:cols>
          <w:pgMar w:left="220" w:top="617" w:right="1440" w:bottom="1440" w:gutter="0" w:footer="0" w:header="0"/>
        </w:sectPr>
      </w:pPr>
    </w:p>
    <w:bookmarkStart w:id="243" w:name="page244"/>
    <w:bookmarkEnd w:id="243"/>
    <w:p>
      <w:pPr>
        <w:spacing w:after="0"/>
        <w:rPr>
          <w:sz w:val="20"/>
          <w:szCs w:val="20"/>
          <w:color w:val="auto"/>
        </w:rPr>
      </w:pPr>
      <w:r>
        <w:rPr>
          <w:rFonts w:ascii="Courier New" w:cs="Courier New" w:eastAsia="Courier New" w:hAnsi="Courier New"/>
          <w:sz w:val="15"/>
          <w:szCs w:val="15"/>
          <w:color w:val="auto"/>
        </w:rPr>
        <w:t>Administrative Agent may reasonably request.</w:t>
      </w:r>
    </w:p>
    <w:p>
      <w:pPr>
        <w:spacing w:after="0" w:line="173" w:lineRule="exact"/>
        <w:rPr>
          <w:sz w:val="20"/>
          <w:szCs w:val="20"/>
          <w:color w:val="auto"/>
        </w:rPr>
      </w:pPr>
    </w:p>
    <w:p>
      <w:pPr>
        <w:jc w:val="both"/>
        <w:ind w:right="3239" w:firstLine="447"/>
        <w:spacing w:after="0" w:line="235" w:lineRule="auto"/>
        <w:tabs>
          <w:tab w:leader="none" w:pos="787"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Borrower and the Subordinated Creditor shall have executed and delivered to the Administrative Agent the Subordination Agreement substantially in the form of Exhibit G (as modified, supplemented or amended from time to time, the "Subordination Agreement").</w:t>
      </w:r>
    </w:p>
    <w:p>
      <w:pPr>
        <w:spacing w:after="0" w:line="175" w:lineRule="exact"/>
        <w:rPr>
          <w:rFonts w:ascii="Courier New" w:cs="Courier New" w:eastAsia="Courier New" w:hAnsi="Courier New"/>
          <w:sz w:val="15"/>
          <w:szCs w:val="15"/>
          <w:color w:val="auto"/>
        </w:rPr>
      </w:pPr>
    </w:p>
    <w:p>
      <w:pPr>
        <w:jc w:val="both"/>
        <w:ind w:right="3239" w:firstLine="447"/>
        <w:spacing w:after="0" w:line="236" w:lineRule="auto"/>
        <w:tabs>
          <w:tab w:leader="none" w:pos="787"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Administrative Agent shall have received (i) a letter in form and substance satisfactory to the Administrative Agent confirming the appointment of CT Corporation System as Process Agent for each of the Credit Parties, and (ii) a duly executed and notarized power of attorney in the form attached hereto as Exhibit H.</w:t>
      </w:r>
    </w:p>
    <w:p>
      <w:pPr>
        <w:spacing w:after="0" w:line="173" w:lineRule="exact"/>
        <w:rPr>
          <w:rFonts w:ascii="Courier New" w:cs="Courier New" w:eastAsia="Courier New" w:hAnsi="Courier New"/>
          <w:sz w:val="15"/>
          <w:szCs w:val="15"/>
          <w:color w:val="auto"/>
        </w:rPr>
      </w:pPr>
    </w:p>
    <w:p>
      <w:pPr>
        <w:jc w:val="both"/>
        <w:ind w:right="3239" w:firstLine="447"/>
        <w:spacing w:after="0" w:line="235" w:lineRule="auto"/>
        <w:tabs>
          <w:tab w:leader="none" w:pos="787"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the Borrowing Date (and after giving effect thereto) (i) there shall exist no Default or Event of Default and (ii) all representations and warranties contained herein and in the other Loan Documents shall be true and correct in all material respects.</w:t>
      </w:r>
    </w:p>
    <w:p>
      <w:pPr>
        <w:spacing w:after="0" w:line="175" w:lineRule="exact"/>
        <w:rPr>
          <w:rFonts w:ascii="Courier New" w:cs="Courier New" w:eastAsia="Courier New" w:hAnsi="Courier New"/>
          <w:sz w:val="15"/>
          <w:szCs w:val="15"/>
          <w:color w:val="auto"/>
        </w:rPr>
      </w:pPr>
    </w:p>
    <w:p>
      <w:pPr>
        <w:jc w:val="both"/>
        <w:ind w:right="3239" w:firstLine="447"/>
        <w:spacing w:after="0" w:line="236" w:lineRule="auto"/>
        <w:tabs>
          <w:tab w:leader="none" w:pos="787"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shall have paid all accrued fees and invoiced expenses of the Administrative Agent and the Lead Arranger (including any such fees as shall have been agreed to pursuant to the Fee Letter) and reimbursed the Administrative Agent and the Lead Arranger for all reasonable out-of-pocket expenses incurred in accordance with Section 9.04(a)(i).</w:t>
      </w:r>
    </w:p>
    <w:p>
      <w:pPr>
        <w:spacing w:after="0" w:line="173" w:lineRule="exact"/>
        <w:rPr>
          <w:rFonts w:ascii="Courier New" w:cs="Courier New" w:eastAsia="Courier New" w:hAnsi="Courier New"/>
          <w:sz w:val="15"/>
          <w:szCs w:val="15"/>
          <w:color w:val="auto"/>
        </w:rPr>
      </w:pPr>
    </w:p>
    <w:p>
      <w:pPr>
        <w:jc w:val="both"/>
        <w:ind w:right="3239" w:firstLine="447"/>
        <w:spacing w:after="0" w:line="235" w:lineRule="auto"/>
        <w:tabs>
          <w:tab w:leader="none" w:pos="787"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shall not have occurred any material adverse change in any country in which any Credit Party or any of its respective Subsidiaries operate, or in the international loan syndication or financial or capital market conditions generally from those in effect on the date hereof.</w:t>
      </w:r>
    </w:p>
    <w:p>
      <w:pPr>
        <w:spacing w:after="0" w:line="175" w:lineRule="exact"/>
        <w:rPr>
          <w:rFonts w:ascii="Courier New" w:cs="Courier New" w:eastAsia="Courier New" w:hAnsi="Courier New"/>
          <w:sz w:val="15"/>
          <w:szCs w:val="15"/>
          <w:color w:val="auto"/>
        </w:rPr>
      </w:pPr>
    </w:p>
    <w:p>
      <w:pPr>
        <w:jc w:val="both"/>
        <w:ind w:right="3239" w:firstLine="447"/>
        <w:spacing w:after="0" w:line="235" w:lineRule="auto"/>
        <w:tabs>
          <w:tab w:leader="none" w:pos="787"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Since December 31, 2001, there shall not have occurred any material adverse change in the condition (financial or otherwise), operations, assets, liabilities or prospects of the Borrower or the Borrower and its Subsidiaries taken as a whole.</w:t>
      </w:r>
    </w:p>
    <w:p>
      <w:pPr>
        <w:spacing w:after="0" w:line="175" w:lineRule="exact"/>
        <w:rPr>
          <w:rFonts w:ascii="Courier New" w:cs="Courier New" w:eastAsia="Courier New" w:hAnsi="Courier New"/>
          <w:sz w:val="15"/>
          <w:szCs w:val="15"/>
          <w:color w:val="auto"/>
        </w:rPr>
      </w:pPr>
    </w:p>
    <w:p>
      <w:pPr>
        <w:jc w:val="both"/>
        <w:ind w:right="3239" w:firstLine="447"/>
        <w:spacing w:after="0" w:line="236" w:lineRule="auto"/>
        <w:tabs>
          <w:tab w:leader="none" w:pos="787"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litigation, action, suit, investigation, claim or proceeding by any Governmental Authority or any Person shall be pending or threatened with respect to (i) this Agreement, (ii) any other Loan Document, (iii) the transactions contemplated hereby or thereby, or (iv) any agreement to which any Credit Party or any of its respective Subsidiaries is a party which could reasonably be expected to have a Material Adverse Effect.</w:t>
      </w:r>
    </w:p>
    <w:p>
      <w:pPr>
        <w:spacing w:after="0" w:line="174" w:lineRule="exact"/>
        <w:rPr>
          <w:rFonts w:ascii="Courier New" w:cs="Courier New" w:eastAsia="Courier New" w:hAnsi="Courier New"/>
          <w:sz w:val="15"/>
          <w:szCs w:val="15"/>
          <w:color w:val="auto"/>
        </w:rPr>
      </w:pPr>
    </w:p>
    <w:p>
      <w:pPr>
        <w:jc w:val="both"/>
        <w:ind w:right="3239" w:firstLine="447"/>
        <w:spacing w:after="0" w:line="236" w:lineRule="auto"/>
        <w:tabs>
          <w:tab w:leader="none" w:pos="787"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Administrative Agent shall have received the consolidated audited financial statements of the Borrower and the audited financial statements of each of the Guarantors as of December 31, 2001 and the consolidated unaudited interim financial statements of the Borrower and each Guarantor for the fiscal quarter ending September 30, 2002.</w:t>
      </w:r>
    </w:p>
    <w:p>
      <w:pPr>
        <w:spacing w:after="0" w:line="173" w:lineRule="exact"/>
        <w:rPr>
          <w:rFonts w:ascii="Courier New" w:cs="Courier New" w:eastAsia="Courier New" w:hAnsi="Courier New"/>
          <w:sz w:val="15"/>
          <w:szCs w:val="15"/>
          <w:color w:val="auto"/>
        </w:rPr>
      </w:pPr>
    </w:p>
    <w:p>
      <w:pPr>
        <w:jc w:val="both"/>
        <w:ind w:right="3239" w:firstLine="447"/>
        <w:spacing w:after="0" w:line="235" w:lineRule="auto"/>
        <w:tabs>
          <w:tab w:leader="none" w:pos="875"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Governmental Approvals required in connection with (i) the execution, delivery and performance of each of the Loan Documents and (ii) the legality, validity, binding effect and enforceability of any and all such Loan Documents, shall have been obtained.</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39"/>
          </w:cols>
          <w:pgMar w:left="220" w:top="617" w:right="1440" w:bottom="1440" w:gutter="0" w:footer="0" w:header="0"/>
        </w:sectPr>
      </w:pPr>
    </w:p>
    <w:bookmarkStart w:id="244" w:name="page245"/>
    <w:bookmarkEnd w:id="244"/>
    <w:p>
      <w:pPr>
        <w:ind w:right="3239" w:firstLine="447"/>
        <w:spacing w:after="0" w:line="234" w:lineRule="auto"/>
        <w:tabs>
          <w:tab w:leader="none" w:pos="787"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Guarantors shall have placed its guaranty ("aval") upon each of the Notes.</w:t>
      </w:r>
    </w:p>
    <w:p>
      <w:pPr>
        <w:spacing w:after="0" w:line="173" w:lineRule="exact"/>
        <w:rPr>
          <w:rFonts w:ascii="Courier New" w:cs="Courier New" w:eastAsia="Courier New" w:hAnsi="Courier New"/>
          <w:sz w:val="15"/>
          <w:szCs w:val="15"/>
          <w:color w:val="auto"/>
        </w:rPr>
      </w:pPr>
    </w:p>
    <w:p>
      <w:pPr>
        <w:jc w:val="both"/>
        <w:ind w:right="3239" w:firstLine="447"/>
        <w:spacing w:after="0" w:line="235" w:lineRule="auto"/>
        <w:tabs>
          <w:tab w:leader="none" w:pos="787"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Administrative Agent shall have received such other certificates, documents and opinions of counsel as any Lender through the Administrative Agent may reasonably request.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0" w:type="dxa"/>
            <w:vAlign w:val="bottom"/>
          </w:tcPr>
          <w:p>
            <w:pPr>
              <w:spacing w:after="0"/>
              <w:rPr>
                <w:sz w:val="20"/>
                <w:szCs w:val="20"/>
                <w:color w:val="auto"/>
              </w:rPr>
            </w:pPr>
            <w:r>
              <w:rPr>
                <w:rFonts w:ascii="Courier New" w:cs="Courier New" w:eastAsia="Courier New" w:hAnsi="Courier New"/>
                <w:sz w:val="15"/>
                <w:szCs w:val="15"/>
                <w:color w:val="auto"/>
              </w:rPr>
              <w:t>All of</w:t>
            </w:r>
          </w:p>
        </w:tc>
        <w:tc>
          <w:tcPr>
            <w:tcW w:w="1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the Notes,</w:t>
            </w:r>
          </w:p>
        </w:tc>
        <w:tc>
          <w:tcPr>
            <w:tcW w:w="1320" w:type="dxa"/>
            <w:vAlign w:val="bottom"/>
          </w:tcPr>
          <w:p>
            <w:pPr>
              <w:ind w:left="60"/>
              <w:spacing w:after="0"/>
              <w:rPr>
                <w:sz w:val="20"/>
                <w:szCs w:val="20"/>
                <w:color w:val="auto"/>
              </w:rPr>
            </w:pPr>
            <w:r>
              <w:rPr>
                <w:rFonts w:ascii="Courier New" w:cs="Courier New" w:eastAsia="Courier New" w:hAnsi="Courier New"/>
                <w:sz w:val="15"/>
                <w:szCs w:val="15"/>
                <w:color w:val="auto"/>
              </w:rPr>
              <w:t>certificates,</w:t>
            </w: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legal</w:t>
            </w:r>
          </w:p>
        </w:tc>
        <w:tc>
          <w:tcPr>
            <w:tcW w:w="17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opinions and other</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documents</w:t>
            </w:r>
          </w:p>
        </w:tc>
        <w:tc>
          <w:tcPr>
            <w:tcW w:w="7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and</w:t>
            </w:r>
          </w:p>
        </w:tc>
      </w:t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papers</w:t>
            </w:r>
          </w:p>
        </w:tc>
        <w:tc>
          <w:tcPr>
            <w:tcW w:w="7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referred</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to</w:t>
            </w:r>
          </w:p>
        </w:tc>
        <w:tc>
          <w:tcPr>
            <w:tcW w:w="19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in this Section 3.01,</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unless</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otherwise</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specified,</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shall be</w:t>
            </w:r>
          </w:p>
        </w:tc>
      </w:tr>
      <w:tr>
        <w:trPr>
          <w:trHeight w:val="168"/>
        </w:trPr>
        <w:tc>
          <w:tcPr>
            <w:tcW w:w="16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delivered  to the</w:t>
            </w:r>
          </w:p>
        </w:tc>
        <w:tc>
          <w:tcPr>
            <w:tcW w:w="13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8"/>
              </w:rPr>
              <w:t>Administrative</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Agent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for the</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account</w:t>
            </w:r>
          </w:p>
        </w:tc>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of</w:t>
            </w:r>
          </w:p>
        </w:tc>
        <w:tc>
          <w:tcPr>
            <w:tcW w:w="1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each of the Lenders</w:t>
            </w:r>
          </w:p>
        </w:tc>
      </w:tr>
      <w:tr>
        <w:trPr>
          <w:trHeight w:val="168"/>
        </w:trPr>
        <w:tc>
          <w:tcPr>
            <w:tcW w:w="13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and, except for</w:t>
            </w:r>
          </w:p>
        </w:tc>
        <w:tc>
          <w:tcPr>
            <w:tcW w:w="22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the Notes, in sufficient</w:t>
            </w: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counterparts or</w:t>
            </w:r>
          </w:p>
        </w:tc>
        <w:tc>
          <w:tcPr>
            <w:tcW w:w="19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5"/>
              </w:rPr>
              <w:t>copies for each of the</w:t>
            </w:r>
          </w:p>
        </w:tc>
      </w:tr>
      <w:tr>
        <w:trPr>
          <w:trHeight w:val="168"/>
        </w:trPr>
        <w:tc>
          <w:tcPr>
            <w:tcW w:w="13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Lenders.</w:t>
            </w: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r>
    </w:tbl>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IV</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REPRESENTATIONS AND WARRANTIES</w:t>
      </w:r>
    </w:p>
    <w:p>
      <w:pPr>
        <w:spacing w:after="0" w:line="173"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Each Credit Party represents and warrants to the Lenders as follows as of the Effective Date and the Borrowing Date:</w:t>
      </w:r>
    </w:p>
    <w:p>
      <w:pPr>
        <w:spacing w:after="0" w:line="167" w:lineRule="exact"/>
        <w:rPr>
          <w:sz w:val="20"/>
          <w:szCs w:val="20"/>
          <w:color w:val="auto"/>
        </w:rPr>
      </w:pPr>
    </w:p>
    <w:p>
      <w:pPr>
        <w:ind w:left="440"/>
        <w:spacing w:after="0"/>
        <w:tabs>
          <w:tab w:leader="none" w:pos="2880" w:val="left"/>
          <w:tab w:leader="none" w:pos="5940" w:val="left"/>
        </w:tabs>
        <w:rPr>
          <w:sz w:val="20"/>
          <w:szCs w:val="20"/>
          <w:color w:val="auto"/>
        </w:rPr>
      </w:pPr>
      <w:r>
        <w:rPr>
          <w:rFonts w:ascii="Courier New" w:cs="Courier New" w:eastAsia="Courier New" w:hAnsi="Courier New"/>
          <w:sz w:val="15"/>
          <w:szCs w:val="15"/>
          <w:color w:val="auto"/>
        </w:rPr>
        <w:t>SECTION 4.01 Legal Status.</w:t>
        <w:tab/>
        <w:t>Each Credit Party and each of its</w:t>
      </w:r>
      <w:r>
        <w:rPr>
          <w:sz w:val="20"/>
          <w:szCs w:val="20"/>
          <w:color w:val="auto"/>
        </w:rPr>
        <w:tab/>
      </w:r>
      <w:r>
        <w:rPr>
          <w:rFonts w:ascii="Courier New" w:cs="Courier New" w:eastAsia="Courier New" w:hAnsi="Courier New"/>
          <w:sz w:val="14"/>
          <w:szCs w:val="14"/>
          <w:color w:val="auto"/>
        </w:rPr>
        <w:t>Subsidiaries</w:t>
      </w:r>
    </w:p>
    <w:p>
      <w:pPr>
        <w:spacing w:after="0" w:line="5" w:lineRule="exact"/>
        <w:rPr>
          <w:sz w:val="20"/>
          <w:szCs w:val="20"/>
          <w:color w:val="auto"/>
        </w:rPr>
      </w:pPr>
    </w:p>
    <w:p>
      <w:pPr>
        <w:jc w:val="both"/>
        <w:ind w:right="3239" w:firstLine="10"/>
        <w:spacing w:after="0" w:line="236" w:lineRule="auto"/>
        <w:tabs>
          <w:tab w:leader="none" w:pos="350"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a corporation duly organized and validly existing under the laws of its jurisdiction of formation, (ii) is duly qualified as a foreign corporation in each other jurisdiction in which it owns or leases property or in which the conduct of its business requires it to so qualify or be licensed except where failure to so qualify would not have a Material Adverse Effect, and (iii) has all requisite corporate power and authority to own or lease and operate its properties and to carry on its business as now conducted and as proposed to be conducted except where the failure to do so would be reasonably likely not to result in a Material Adverse Effect.</w:t>
      </w:r>
    </w:p>
    <w:p>
      <w:pPr>
        <w:spacing w:after="0" w:line="178"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SECTION 4.02 Governmental Approvals. No authorization or approval or other action by, and no notice to or filing with, any Governmental Authority or any other third party is required for (i) the due execution, delivery, recordation, filing or performance by each Credit Party of any Loan Document to which it is or is to be a party, or for the consummation of the transactions contemplated hereby or thereby, or (ii) the exercise by the Administrative Agent or any Lender of its rights under any Loan Document to which any Credit Party is a party or the remedies provided thereunder.</w:t>
      </w:r>
    </w:p>
    <w:p>
      <w:pPr>
        <w:spacing w:after="0" w:line="177"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SECTION 4.03 No Violation. The execution, delivery and performance by a Credit Party of each Loan Document to which it is or is to be a party, and the consummation of the transactions contemplated hereby and thereby, are within such Credit Party's corporate powers, have been duly authorized by all necessary corporate action, and do not (i) contravene such Credit Party's constitutional documents, (ii) violate any law, rule, regulation (including, without limitation, Regulation X of the Board of Governors of the U.S. Federal Reserve System), order, writ, judgment, injunction, decree, determination or award,</w:t>
      </w:r>
    </w:p>
    <w:p>
      <w:pPr>
        <w:spacing w:after="0" w:line="3" w:lineRule="exact"/>
        <w:rPr>
          <w:sz w:val="20"/>
          <w:szCs w:val="20"/>
          <w:color w:val="auto"/>
        </w:rPr>
      </w:pPr>
    </w:p>
    <w:p>
      <w:pPr>
        <w:jc w:val="both"/>
        <w:ind w:right="3239" w:firstLine="10"/>
        <w:spacing w:after="0" w:line="256" w:lineRule="auto"/>
        <w:tabs>
          <w:tab w:leader="none" w:pos="525" w:val="left"/>
        </w:tabs>
        <w:numPr>
          <w:ilvl w:val="0"/>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conflict with or result in the breach of, constitute a default under, or cause or permit any acceleration of the maturity of, any material contract, loan agreement, indenture, mortgage, deed of trust, lease or other instrument binding on or affecting such Credit Party, any of its Subsidiaries or any of their respective properties or assets, or (iv) result in or require the creation or</w:t>
      </w:r>
    </w:p>
    <w:p>
      <w:pPr>
        <w:spacing w:after="0" w:line="3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39"/>
          </w:cols>
          <w:pgMar w:left="220" w:top="624" w:right="1440" w:bottom="1440" w:gutter="0" w:footer="0" w:header="0"/>
        </w:sectPr>
      </w:pPr>
    </w:p>
    <w:bookmarkStart w:id="245" w:name="page246"/>
    <w:bookmarkEnd w:id="245"/>
    <w:p>
      <w:pPr>
        <w:jc w:val="both"/>
        <w:ind w:right="3239"/>
        <w:spacing w:after="0" w:line="236" w:lineRule="auto"/>
        <w:rPr>
          <w:sz w:val="20"/>
          <w:szCs w:val="20"/>
          <w:color w:val="auto"/>
        </w:rPr>
      </w:pPr>
      <w:r>
        <w:rPr>
          <w:rFonts w:ascii="Courier New" w:cs="Courier New" w:eastAsia="Courier New" w:hAnsi="Courier New"/>
          <w:sz w:val="15"/>
          <w:szCs w:val="15"/>
          <w:color w:val="auto"/>
        </w:rPr>
        <w:t>imposition of any Lien upon or with respect to any of the properties or assets of such Credit Party or any of its Subsidiaries. No Credit Party nor any of its Subsidiaries is in violation of any law, rule, regulation, order, writ, judgment, injunction, decree, determination or award or in breach of any such contract, loan agreement, indenture, mortgage, deed of trust, lease or other instrument, the violation or breach of which would be reasonably likely to result in a Material Adverse Effect.</w:t>
      </w:r>
    </w:p>
    <w:p>
      <w:pPr>
        <w:spacing w:after="0" w:line="176"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SECTION 4.04 Litigation. There is no action, suit, investigation, litigation or proceeding affecting such Credit Party or any of its Subsidiaries (and, with respect to unasserted claims, to the knowledge of such Credit Party) (including, but not limited to, any Environmental Action) pending or threatened before any court, Governmental Authority or arbitrator that (i) if adversely determined, would be reasonably likely to result in a Material Adverse Effect or</w:t>
      </w:r>
    </w:p>
    <w:p>
      <w:pPr>
        <w:spacing w:after="0" w:line="2" w:lineRule="exact"/>
        <w:rPr>
          <w:sz w:val="20"/>
          <w:szCs w:val="20"/>
          <w:color w:val="auto"/>
        </w:rPr>
      </w:pPr>
    </w:p>
    <w:p>
      <w:pPr>
        <w:jc w:val="both"/>
        <w:ind w:right="3239" w:firstLine="10"/>
        <w:spacing w:after="0" w:line="235" w:lineRule="auto"/>
        <w:tabs>
          <w:tab w:leader="none" w:pos="437" w:val="left"/>
        </w:tabs>
        <w:numPr>
          <w:ilvl w:val="0"/>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would be reasonably likely to adversely affect the legality, validity or enforceability of this Agreement, the Notes or the consummation of the transactions contemplated hereby or thereby.</w:t>
      </w:r>
    </w:p>
    <w:p>
      <w:pPr>
        <w:spacing w:after="0" w:line="174"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SECTION 4.05 Financial Statements; No Material Adverse Change. The consolidated statements of financial condition of the Borrower and the statements of financial condition of each Guarantor at December 31, 2001, and the related consolidated statements of income and retained earnings and changes in financial position of such Persons and their Subsidiaries for the fiscal year then ended and heretofore furnished to the Lenders present fairly in all material respects the consolidated financial condition of the Borrower and its Subsidiaries at the date of such statements of financial condition and the consolidated results of the operations of such Persons and their Subsidiaries for such fiscal year all in accordance with GAAP consistently applied. All such financial statements have been prepared in accordance with GAAP and fairly present, in all material respects, the financial condition and results of operations of such Persons and their Subsidiaries. Since December 31, 2001, there has been no material adverse change in the business, operations, property, assets, condition (financial or otherwise) or prospects of such Credit Party or of such Credit Party and its Subsidiaries taken as a whole.</w:t>
      </w:r>
    </w:p>
    <w:p>
      <w:pPr>
        <w:spacing w:after="0" w:line="16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SECTION 4.06 Tax Returns and Payments. Each Credit Party and each of its Subsidiaries has filed all tax returns required to be filed by such Person and has paid all taxes payable by it which have become due pursuant to such tax returns and all other material taxes and assessments payable by it which have become due, other than those not yet delinquent and except for those contested in good faith and for which adequate reserves have been established.</w:t>
      </w:r>
    </w:p>
    <w:p>
      <w:pPr>
        <w:spacing w:after="0" w:line="166"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SECTION 4.07 Power and Authority. This Agreement has been, and each Loan Document to which such Credit Party is or is to be a party when delivered hereunder will have been, duly executed and delivered by such Credit Party. This Agreement is, and each other Loan Document to which such Credit Party is or is to be a party when delivered hereunder will be, the legal, valid and binding obligation of such Credit Party, enforceable against such Person in accordance with its terms, subject to applicable bankruptcy, insolvency, reorganization and similar laws affecting creditors generally and general principles of equity.</w:t>
      </w:r>
    </w:p>
    <w:p>
      <w:pPr>
        <w:spacing w:after="0" w:line="166"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SECTION 4.08 Compliance with Laws. Such Credit Party and each of its Subsidiaries is in compliance in all material respects with all applicable laws, rules, regulations and orders, except where the failure to so comply would not be reasonably likely to result in a Material Adverse Effect.</w:t>
      </w:r>
    </w:p>
    <w:p>
      <w:pPr>
        <w:spacing w:after="0" w:line="200" w:lineRule="exact"/>
        <w:rPr>
          <w:sz w:val="20"/>
          <w:szCs w:val="20"/>
          <w:color w:val="auto"/>
        </w:rPr>
      </w:pPr>
    </w:p>
    <w:p>
      <w:pPr>
        <w:spacing w:after="0" w:line="30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39"/>
          </w:cols>
          <w:pgMar w:left="220" w:top="624" w:right="1440" w:bottom="1440" w:gutter="0" w:footer="0" w:header="0"/>
        </w:sectPr>
      </w:pPr>
    </w:p>
    <w:bookmarkStart w:id="246" w:name="page247"/>
    <w:bookmarkEnd w:id="246"/>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SECTION 4.09 Compliance with Environmental Laws. The operations and properties of such Credit Party and each of its Subsidiaries comply in all material respects with all Environmental Laws, all necessary Environmental Permits have been obtained and are in effect for the operations and properties of such Credit Party and its Subsidiaries, such Credit Party and its Subsidiaries are in compliance in all material respects with all such Environmental Permits, and to the best knowledge of such Credit Party, no circumstances exist that could be reasonably likely to (i) form the basis of an Environmental Action against such Credit Party or any of its Subsidiaries or any of their properties that would have a Material Adverse Effect or (ii) cause any such property to be subject to any restrictions on ownership, occupancy, use or transferability under any Environmental Law that could have a Material Adverse Effect.</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SECTION 4.10 Priority of Advances. The Obligations under the Loan Documents constitute unconditional, unsecured and unsubordinated general obligations of such Credit Party and rank at least pari passu in priority of payment and in all other respects with all other present and future unsecured and unsubordinated Debt of such Credit Party.</w:t>
      </w:r>
    </w:p>
    <w:p>
      <w:pPr>
        <w:spacing w:after="0" w:line="174"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SECTION 4.11 True and Complete Disclosure. All written information heretofore or contemporaneously herewith furnished by or on behalf of such Credit Party or any of its Subsidiaries to the Administrative Agent or any Lender for purposes of or in connection with this Agreement, the syndication of the Advances (including, without limitation, the preparation of any information memorandum related thereto), the other Loan Documents or any transaction contemplated hereby or thereby is true and accurate in every material respect on the date as of which such information is dated or certified, and such information, taken as a whole, is not incomplete by omitting to state any material fact necessary to make such information not misleading.</w:t>
      </w:r>
    </w:p>
    <w:p>
      <w:pPr>
        <w:spacing w:after="0" w:line="165"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SECTION 4.12 Investment Company Act; Public Utility Holding Company Act. Neither such Credit Party nor any of its Subsidiaries is (a) an "investment company" as defined in, or subject to regulation under the U.S. Investment Company Act of 1940, as amended or (b) a "holding company," as defined in, or subject to regulation under, the U.S. Public Utility Holding Company Act of 1935, as amended.</w:t>
      </w:r>
    </w:p>
    <w:p>
      <w:pPr>
        <w:spacing w:after="0" w:line="175"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SECTION 4.13 No Immunity. Neither such Credit Party nor any of its properties or assets has any immunity from jurisdiction of any court or from set-off or any legal process (whether through service of notice, attachment prior to judgment, attachment in aid of execution, execution or otherwise) under the laws of any jurisdiction. The execution and delivery of the Loan Documents by the Borrower and the other Credit Parties and the performance by them of their obligations thereunder constitute commercial transactions.</w:t>
      </w:r>
    </w:p>
    <w:p>
      <w:pPr>
        <w:spacing w:after="0" w:line="176"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SECTION 4.14 Use of Proceeds. The Borrower will use the proceeds of the Advances to refinance existing Debt of the Borrower and to pay transaction fees and expenses incurred in connection with this Agreement. Neither the making of any Advance hereunder, nor the use of the proceeds thereof, will violate or be inconsistent with the provisions of Regulations T, U or X of the Board of Governors of the U.S. Federal Reserve System and no part of the Advances (or the proceeds thereof) will be used to purchase or carry any Margin Stock or to extend credit for the purpose of purchasing or carrying any Margin Stock.</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39"/>
          </w:cols>
          <w:pgMar w:left="220" w:top="624" w:right="1440" w:bottom="1440" w:gutter="0" w:footer="0" w:header="0"/>
        </w:sectPr>
      </w:pPr>
    </w:p>
    <w:bookmarkStart w:id="247" w:name="page248"/>
    <w:bookmarkEnd w:id="247"/>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SECTION 4.15 Debt. Annex III sets forth a true and complete list of all Debt for borrowed money (excluding the Advances) of each Credit Party as of the Borrowing Date and which is to remain outstanding (the "Existing Debt"), in each case showing the aggregate principal amount thereof and accrued interest in respect thereof after giving effect to repayments contemplated to be made with the proceeds of the Advances, and the name of any entity which directly or indirectly guaranteed such debt. No default or event of default exists under the Existing Debt.</w:t>
      </w:r>
    </w:p>
    <w:p>
      <w:pPr>
        <w:spacing w:after="0" w:line="177"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SECTION 4.16 Subsidiaries. On and as of the Borrowing Date, no Credit Party has any Subsidiaries other than those Subsidiaries listed on Annex IV. Annex IV correctly sets forth, as of the Borrowing Date, the percentage ownership (direct or indirect) of the Borrower in each class of capital stock or other equity in each of its Subsidiaries.</w:t>
      </w:r>
    </w:p>
    <w:p>
      <w:pPr>
        <w:spacing w:after="0" w:line="174"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SECTION 4.17 Fees and Enforcement. No fees or taxes, including, without limitation, stamp, transaction, registration or similar taxes, are required to be paid to ensure the legality, validity, or enforceability of this Agreement or any of the other Loan Documents. Under the laws of Mexico, the choice of the laws of the State of New York as set forth in the Loan Documents governed by the laws of the State of New York is a valid choice of law, and the irrevocable submission by each Credit Party to jurisdiction and consent to service of process and appointment by each Credit Party of an agent for service of process, in each case as set forth in such Loan Documents, is legal, valid, binding and effective. It is understood and agreed by the Lenders that the representations made in this Section 4.17 are subject to the relevant qualifications set forth in the opinion of counsel required to be delivered pursuant to Section 3.01(f).</w:t>
      </w:r>
    </w:p>
    <w:p>
      <w:pPr>
        <w:spacing w:after="0" w:line="16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SECTION 4.18 Form of Documentation. Each of the Loan Documents is in proper legal form under the laws of Mexico for the enforcement thereof against such Credit Party under such laws. It is understood and agreed by the Lenders that the representation made in this Section 4.18 is subject to the relevant qualifications set forth in the opinion of counsel required to be delivered pursuant to Section 3.01(f).</w:t>
      </w:r>
    </w:p>
    <w:p>
      <w:pPr>
        <w:spacing w:after="0" w:line="168" w:lineRule="exact"/>
        <w:rPr>
          <w:sz w:val="20"/>
          <w:szCs w:val="20"/>
          <w:color w:val="auto"/>
        </w:rPr>
      </w:pPr>
    </w:p>
    <w:p>
      <w:pPr>
        <w:ind w:left="800"/>
        <w:spacing w:after="0"/>
        <w:tabs>
          <w:tab w:leader="none" w:pos="2000" w:val="left"/>
        </w:tabs>
        <w:rPr>
          <w:sz w:val="20"/>
          <w:szCs w:val="20"/>
          <w:color w:val="auto"/>
        </w:rPr>
      </w:pPr>
      <w:r>
        <w:rPr>
          <w:rFonts w:ascii="Courier New" w:cs="Courier New" w:eastAsia="Courier New" w:hAnsi="Courier New"/>
          <w:sz w:val="15"/>
          <w:szCs w:val="15"/>
          <w:color w:val="auto"/>
        </w:rPr>
        <w:t>SECTION 4.19</w:t>
      </w:r>
      <w:r>
        <w:rPr>
          <w:sz w:val="20"/>
          <w:szCs w:val="20"/>
          <w:color w:val="auto"/>
        </w:rPr>
        <w:tab/>
      </w:r>
      <w:r>
        <w:rPr>
          <w:rFonts w:ascii="Courier New" w:cs="Courier New" w:eastAsia="Courier New" w:hAnsi="Courier New"/>
          <w:sz w:val="14"/>
          <w:szCs w:val="14"/>
          <w:color w:val="auto"/>
        </w:rPr>
        <w:t>Withholding and Value-Added Taxes.</w:t>
      </w:r>
    </w:p>
    <w:p>
      <w:pPr>
        <w:spacing w:after="0" w:line="173" w:lineRule="exact"/>
        <w:rPr>
          <w:sz w:val="20"/>
          <w:szCs w:val="20"/>
          <w:color w:val="auto"/>
        </w:rPr>
      </w:pPr>
    </w:p>
    <w:p>
      <w:pPr>
        <w:jc w:val="both"/>
        <w:ind w:right="3239" w:firstLine="447"/>
        <w:spacing w:after="0" w:line="254" w:lineRule="auto"/>
        <w:tabs>
          <w:tab w:leader="none" w:pos="787" w:val="left"/>
        </w:tabs>
        <w:numPr>
          <w:ilvl w:val="1"/>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payments of interest under this Agreement, the Notes and the other Loan Documents in respect of the Obligations by the Credit Parties to Lenders</w:t>
      </w:r>
    </w:p>
    <w:p>
      <w:pPr>
        <w:jc w:val="both"/>
        <w:ind w:right="3239" w:firstLine="10"/>
        <w:spacing w:after="0" w:line="255" w:lineRule="auto"/>
        <w:tabs>
          <w:tab w:leader="none" w:pos="350" w:val="left"/>
        </w:tabs>
        <w:numPr>
          <w:ilvl w:val="0"/>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having their principal place of business or residence in a country with which Mexico has in effect a treaty or convention for the avoidance of double taxation, and (ii) (A) which are Registered Banks, are subject to withholding of Mexican income tax at an effective rate of 4.9% (such effective rate or such other rate as may be specified from time to time under applicable Mexican law, the "Reduced Withholding Rate") or (B) in the case of EDC, at an effective rate of 0%. The Borrower is obligated to pay such additional amounts pursuant to Section 2.10 as will result in receipt by the Lenders of such amounts as would have been received by the Lenders had no such withholding been required.</w:t>
      </w:r>
    </w:p>
    <w:p>
      <w:pPr>
        <w:spacing w:after="0" w:line="165" w:lineRule="exact"/>
        <w:rPr>
          <w:rFonts w:ascii="Courier New" w:cs="Courier New" w:eastAsia="Courier New" w:hAnsi="Courier New"/>
          <w:sz w:val="14"/>
          <w:szCs w:val="14"/>
          <w:color w:val="auto"/>
        </w:rPr>
      </w:pPr>
    </w:p>
    <w:p>
      <w:pPr>
        <w:jc w:val="both"/>
        <w:ind w:right="3239" w:firstLine="447"/>
        <w:spacing w:after="0" w:line="235" w:lineRule="auto"/>
        <w:tabs>
          <w:tab w:leader="none" w:pos="875" w:val="left"/>
        </w:tabs>
        <w:numPr>
          <w:ilvl w:val="1"/>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than as set forth in this Section 4.19, no other Mexican withholding or other taxes are required to be paid in respect of, or deducted from, any payment required to be made by the Borrower under this Agreement, the Notes or any other Loan Document.</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39"/>
          </w:cols>
          <w:pgMar w:left="220" w:top="623" w:right="1440" w:bottom="1440" w:gutter="0" w:footer="0" w:header="0"/>
        </w:sectPr>
      </w:pPr>
    </w:p>
    <w:bookmarkStart w:id="248" w:name="page249"/>
    <w:bookmarkEnd w:id="248"/>
    <w:p>
      <w:pPr>
        <w:jc w:val="center"/>
        <w:ind w:right="3139"/>
        <w:spacing w:after="0"/>
        <w:rPr>
          <w:sz w:val="20"/>
          <w:szCs w:val="20"/>
          <w:color w:val="auto"/>
        </w:rPr>
      </w:pPr>
      <w:r>
        <w:rPr>
          <w:rFonts w:ascii="Courier New" w:cs="Courier New" w:eastAsia="Courier New" w:hAnsi="Courier New"/>
          <w:sz w:val="15"/>
          <w:szCs w:val="15"/>
          <w:color w:val="auto"/>
        </w:rPr>
        <w:t>ARTICLE V</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COVENANTS OF THE CREDIT PARTIES</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SECTION 5.01 Affirmative Covenants. Each Credit Party covenants and agrees that, unless the Required Lenders shall otherwise consent in writing, on the Effective Date and thereafter for so long as any Obligations under the Loan Documents shall remain unpaid, or any Lender shall have any Commitment hereunder:</w:t>
      </w:r>
    </w:p>
    <w:p>
      <w:pPr>
        <w:spacing w:after="0" w:line="174" w:lineRule="exact"/>
        <w:rPr>
          <w:sz w:val="20"/>
          <w:szCs w:val="20"/>
          <w:color w:val="auto"/>
        </w:rPr>
      </w:pPr>
    </w:p>
    <w:p>
      <w:pPr>
        <w:jc w:val="both"/>
        <w:ind w:right="3239" w:firstLine="447"/>
        <w:spacing w:after="0" w:line="235" w:lineRule="auto"/>
        <w:tabs>
          <w:tab w:leader="none" w:pos="787" w:val="left"/>
        </w:tabs>
        <w:numPr>
          <w:ilvl w:val="1"/>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Laws, Etc. Except when the failure to do so would not be reasonably likely to result in a Material Adverse Effect, it shall comply, and cause each of its Subsidiaries to comply, in all material respects, with all applicable laws, rules, regulations and orders.</w:t>
      </w:r>
    </w:p>
    <w:p>
      <w:pPr>
        <w:spacing w:after="0" w:line="175" w:lineRule="exact"/>
        <w:rPr>
          <w:rFonts w:ascii="Courier New" w:cs="Courier New" w:eastAsia="Courier New" w:hAnsi="Courier New"/>
          <w:sz w:val="15"/>
          <w:szCs w:val="15"/>
          <w:color w:val="auto"/>
        </w:rPr>
      </w:pPr>
    </w:p>
    <w:p>
      <w:pPr>
        <w:jc w:val="both"/>
        <w:ind w:right="3239" w:firstLine="447"/>
        <w:spacing w:after="0" w:line="254" w:lineRule="auto"/>
        <w:tabs>
          <w:tab w:leader="none" w:pos="787" w:val="left"/>
        </w:tabs>
        <w:numPr>
          <w:ilvl w:val="1"/>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of Taxes, Etc. Except as would not reasonably be expected to have a Material Adverse Effect, it shall pay and discharge, and cause each of its Subsidiaries to pay and discharge, before the same shall become delinquent,</w:t>
      </w:r>
    </w:p>
    <w:p>
      <w:pPr>
        <w:spacing w:after="0" w:line="1" w:lineRule="exact"/>
        <w:rPr>
          <w:rFonts w:ascii="Courier New" w:cs="Courier New" w:eastAsia="Courier New" w:hAnsi="Courier New"/>
          <w:sz w:val="14"/>
          <w:szCs w:val="14"/>
          <w:color w:val="auto"/>
        </w:rPr>
      </w:pPr>
    </w:p>
    <w:p>
      <w:pPr>
        <w:jc w:val="both"/>
        <w:ind w:right="3239" w:firstLine="10"/>
        <w:spacing w:after="0" w:line="236" w:lineRule="auto"/>
        <w:tabs>
          <w:tab w:leader="none" w:pos="350" w:val="left"/>
        </w:tabs>
        <w:numPr>
          <w:ilvl w:val="0"/>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taxes, assessments and governmental charges or levies imposed upon it or upon its property or assets and (ii) all lawful claims that, if unpaid, might by law become a Lien upon its property; provided, however, that neither it nor any of its Subsidiaries shall be required to pay or discharge any such tax, assessment, charge or claim that is being contested in good faith and by proper proceedings and as to which appropriate reserves are being maintained (if required by GAAP), unless and until any Lien resulting therefrom attaches to its property or assets, becomes enforceable against its other creditors and could reasonably be expected to have a Material Adverse Effect.</w:t>
      </w:r>
    </w:p>
    <w:p>
      <w:pPr>
        <w:spacing w:after="0" w:line="178" w:lineRule="exact"/>
        <w:rPr>
          <w:rFonts w:ascii="Courier New" w:cs="Courier New" w:eastAsia="Courier New" w:hAnsi="Courier New"/>
          <w:sz w:val="15"/>
          <w:szCs w:val="15"/>
          <w:color w:val="auto"/>
        </w:rPr>
      </w:pPr>
    </w:p>
    <w:p>
      <w:pPr>
        <w:jc w:val="both"/>
        <w:ind w:right="3239" w:firstLine="447"/>
        <w:spacing w:after="0" w:line="255" w:lineRule="auto"/>
        <w:tabs>
          <w:tab w:leader="none" w:pos="875" w:val="left"/>
        </w:tabs>
        <w:numPr>
          <w:ilvl w:val="1"/>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Preservation of Corporate Existence, Etc. It shall preserve and maintain, and cause each of its Subsidiaries to preserve and maintain, its corporate existence, rights (charter and statutory) and franchises; provided, however, that neither it nor any of its Subsidiaries shall be required to preserve any right or franchise, nor shall it be required to maintain the corporate existence of any Subsidiary if the preservation or maintenance thereof is no longer desirable in the conduct of the business of such Credit Party or such Subsidiary, as the case may be, and the failure to preserve any such right or franchise or maintain the corporate existence of such Subsidiary would not be reasonably likely to result in a Material Adverse Effect.</w:t>
      </w:r>
    </w:p>
    <w:p>
      <w:pPr>
        <w:spacing w:after="0" w:line="165" w:lineRule="exact"/>
        <w:rPr>
          <w:rFonts w:ascii="Courier New" w:cs="Courier New" w:eastAsia="Courier New" w:hAnsi="Courier New"/>
          <w:sz w:val="14"/>
          <w:szCs w:val="14"/>
          <w:color w:val="auto"/>
        </w:rPr>
      </w:pPr>
    </w:p>
    <w:p>
      <w:pPr>
        <w:jc w:val="both"/>
        <w:ind w:right="3239" w:firstLine="447"/>
        <w:spacing w:after="0" w:line="255" w:lineRule="auto"/>
        <w:tabs>
          <w:tab w:leader="none" w:pos="787" w:val="left"/>
        </w:tabs>
        <w:numPr>
          <w:ilvl w:val="1"/>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Compliance with Environmental Laws. Except when the failure to do so would not be reasonably likely to result in a Material Adverse Effect, it shall comply, and cause each of its Subsidiaries and, to the extent commercially practicable, all lessees and other Persons operating or occupying its properties to comply, in all material respects, with all Environmental Laws and Environmental Permits applicable to its operations and properties and obtain and renew all Environmental Permits necessary for its operations and properties.</w:t>
      </w:r>
    </w:p>
    <w:p>
      <w:pPr>
        <w:spacing w:after="0" w:line="166" w:lineRule="exact"/>
        <w:rPr>
          <w:rFonts w:ascii="Courier New" w:cs="Courier New" w:eastAsia="Courier New" w:hAnsi="Courier New"/>
          <w:sz w:val="14"/>
          <w:szCs w:val="14"/>
          <w:color w:val="auto"/>
        </w:rPr>
      </w:pPr>
    </w:p>
    <w:p>
      <w:pPr>
        <w:jc w:val="both"/>
        <w:ind w:right="3239" w:firstLine="447"/>
        <w:spacing w:after="0" w:line="236" w:lineRule="auto"/>
        <w:tabs>
          <w:tab w:leader="none" w:pos="875" w:val="left"/>
        </w:tabs>
        <w:numPr>
          <w:ilvl w:val="1"/>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Maintenance of Insurance. It shall maintain, and cause each of its Subsidiaries to maintain, insurance with responsible insurance companies or associations in such amounts and covering such risks as is usually carried by companies engaged in similar businesses and owning similar properties in the same general areas in which such Credit Party or such Subsidiary operates.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39"/>
          </w:cols>
          <w:pgMar w:left="220" w:top="617" w:right="1440" w:bottom="1440" w:gutter="0" w:footer="0" w:header="0"/>
        </w:sectPr>
      </w:pPr>
    </w:p>
    <w:bookmarkStart w:id="249" w:name="page250"/>
    <w:bookmarkEnd w:id="249"/>
    <w:p>
      <w:pPr>
        <w:jc w:val="both"/>
        <w:ind w:left="-447" w:right="3239" w:firstLine="447"/>
        <w:spacing w:after="0" w:line="236" w:lineRule="auto"/>
        <w:tabs>
          <w:tab w:leader="none" w:pos="340" w:val="left"/>
        </w:tabs>
        <w:numPr>
          <w:ilvl w:val="0"/>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Inspection Rights. At any time during regular business hours upon prior written notice to any Credit Party, it shall permit the Administrative Agent, or any Lender, or any agents or representatives thereof, to examine and make notes with respect to records and books of account of, and visit the properties of, such Credit Party and any of its Subsidiaries, and to discuss the affairs, finances and accounts of such Credit Party and any of its Subsidiaries with any of their executive officers or directors and with their independent certified public accountants.</w:t>
      </w:r>
    </w:p>
    <w:p>
      <w:pPr>
        <w:spacing w:after="0" w:line="177" w:lineRule="exact"/>
        <w:rPr>
          <w:rFonts w:ascii="Courier New" w:cs="Courier New" w:eastAsia="Courier New" w:hAnsi="Courier New"/>
          <w:sz w:val="15"/>
          <w:szCs w:val="15"/>
          <w:color w:val="auto"/>
        </w:rPr>
      </w:pPr>
    </w:p>
    <w:p>
      <w:pPr>
        <w:jc w:val="both"/>
        <w:ind w:left="-447" w:right="3239" w:firstLine="447"/>
        <w:spacing w:after="0" w:line="235" w:lineRule="auto"/>
        <w:tabs>
          <w:tab w:leader="none" w:pos="340" w:val="left"/>
        </w:tabs>
        <w:numPr>
          <w:ilvl w:val="0"/>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Keeping of Books. It will, and will cause each of its Subsidiaries to, keep proper books of record and account in which full, true and correct entries in conformity with GAAP and all requirements of law shall be made of all dealings and transactions in relation to its business and activities.</w:t>
      </w:r>
    </w:p>
    <w:p>
      <w:pPr>
        <w:spacing w:after="0" w:line="175" w:lineRule="exact"/>
        <w:rPr>
          <w:rFonts w:ascii="Courier New" w:cs="Courier New" w:eastAsia="Courier New" w:hAnsi="Courier New"/>
          <w:sz w:val="15"/>
          <w:szCs w:val="15"/>
          <w:color w:val="auto"/>
        </w:rPr>
      </w:pPr>
    </w:p>
    <w:p>
      <w:pPr>
        <w:jc w:val="both"/>
        <w:ind w:left="-447" w:right="3239" w:firstLine="447"/>
        <w:spacing w:after="0" w:line="236" w:lineRule="auto"/>
        <w:tabs>
          <w:tab w:leader="none" w:pos="340" w:val="left"/>
        </w:tabs>
        <w:numPr>
          <w:ilvl w:val="0"/>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Maintenance of Properties, Etc. Except where the failure to do so would not be reasonably likely to result in a Material Adverse Effect, it shall maintain and preserve, and cause each of its Subsidiaries to maintain and preserve, all of its properties and assets that are material to the conduct of its business in good working order and condition, ordinary wear and tear excepted.</w:t>
      </w:r>
    </w:p>
    <w:p>
      <w:pPr>
        <w:spacing w:after="0" w:line="174" w:lineRule="exact"/>
        <w:rPr>
          <w:rFonts w:ascii="Courier New" w:cs="Courier New" w:eastAsia="Courier New" w:hAnsi="Courier New"/>
          <w:sz w:val="15"/>
          <w:szCs w:val="15"/>
          <w:color w:val="auto"/>
        </w:rPr>
      </w:pPr>
    </w:p>
    <w:p>
      <w:pPr>
        <w:jc w:val="both"/>
        <w:ind w:left="-447" w:right="3239" w:firstLine="447"/>
        <w:spacing w:after="0" w:line="236" w:lineRule="auto"/>
        <w:tabs>
          <w:tab w:leader="none" w:pos="340" w:val="left"/>
        </w:tabs>
        <w:numPr>
          <w:ilvl w:val="0"/>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Terms of Leaseholds. Except where the failure to do so would not be reasonably likely to result in a Material Adverse Effect, it shall make all payments and otherwise perform in all material respects all obligations in respect of all material leases of real property and cause all of its Subsidiaries to do so, and, to the extent material to the business of such Credit Party, keep such leases in full force and effect and not allow such leases to lapse or be terminated or rights to renew such leases to be forfeited or canceled.</w:t>
      </w:r>
    </w:p>
    <w:p>
      <w:pPr>
        <w:spacing w:after="0" w:line="170" w:lineRule="exact"/>
        <w:rPr>
          <w:rFonts w:ascii="Courier New" w:cs="Courier New" w:eastAsia="Courier New" w:hAnsi="Courier New"/>
          <w:sz w:val="15"/>
          <w:szCs w:val="15"/>
          <w:color w:val="auto"/>
        </w:rPr>
      </w:pPr>
    </w:p>
    <w:p>
      <w:pPr>
        <w:ind w:left="1133" w:hanging="783"/>
        <w:spacing w:after="0"/>
        <w:tabs>
          <w:tab w:leader="none" w:pos="1133" w:val="left"/>
        </w:tabs>
        <w:numPr>
          <w:ilvl w:val="1"/>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Covenant to Guarantee Obligations.</w:t>
      </w:r>
    </w:p>
    <w:p>
      <w:pPr>
        <w:spacing w:after="0" w:line="173" w:lineRule="exact"/>
        <w:rPr>
          <w:sz w:val="20"/>
          <w:szCs w:val="20"/>
          <w:color w:val="auto"/>
        </w:rPr>
      </w:pPr>
    </w:p>
    <w:p>
      <w:pPr>
        <w:ind w:left="-447" w:right="3239" w:firstLine="447"/>
        <w:spacing w:after="0" w:line="234" w:lineRule="auto"/>
        <w:tabs>
          <w:tab w:leader="none" w:pos="340" w:val="left"/>
        </w:tabs>
        <w:numPr>
          <w:ilvl w:val="0"/>
          <w:numId w:val="2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any time that any new Material Subsidiary of such Credit Party shall be formed or acquired, at the expense of such Person, it shall:</w:t>
      </w:r>
    </w:p>
    <w:p>
      <w:pPr>
        <w:spacing w:after="0" w:line="173" w:lineRule="exact"/>
        <w:rPr>
          <w:sz w:val="20"/>
          <w:szCs w:val="20"/>
          <w:color w:val="auto"/>
        </w:rPr>
      </w:pPr>
    </w:p>
    <w:p>
      <w:pPr>
        <w:jc w:val="both"/>
        <w:ind w:left="-447" w:right="3239" w:firstLine="447"/>
        <w:spacing w:after="0" w:line="235" w:lineRule="auto"/>
        <w:tabs>
          <w:tab w:leader="none" w:pos="340" w:val="left"/>
        </w:tabs>
        <w:numPr>
          <w:ilvl w:val="0"/>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30 days after such formation or acquisition, cause such Material Subsidiary to duly execute and deliver to the Administrative Agent a joinder agreement, substantially in the form of Exhibit I (a "Joinder Agreement"), and place its guaranty ("aval") upon each of the Notes; and</w:t>
      </w:r>
    </w:p>
    <w:p>
      <w:pPr>
        <w:spacing w:after="0" w:line="175" w:lineRule="exact"/>
        <w:rPr>
          <w:rFonts w:ascii="Courier New" w:cs="Courier New" w:eastAsia="Courier New" w:hAnsi="Courier New"/>
          <w:sz w:val="15"/>
          <w:szCs w:val="15"/>
          <w:color w:val="auto"/>
        </w:rPr>
      </w:pPr>
    </w:p>
    <w:p>
      <w:pPr>
        <w:jc w:val="both"/>
        <w:ind w:left="-447" w:right="3239" w:firstLine="447"/>
        <w:spacing w:after="0" w:line="235" w:lineRule="auto"/>
        <w:tabs>
          <w:tab w:leader="none" w:pos="340" w:val="left"/>
        </w:tabs>
        <w:numPr>
          <w:ilvl w:val="0"/>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any time and from time to time, promptly execute and deliver any and all further instruments and documents and take all such action as the Administrative Agent may reasonably deem necessary in obtaining the full benefits of and preserving the Guaranty.</w:t>
      </w:r>
    </w:p>
    <w:p>
      <w:pPr>
        <w:spacing w:after="0" w:line="175" w:lineRule="exact"/>
        <w:rPr>
          <w:sz w:val="20"/>
          <w:szCs w:val="20"/>
          <w:color w:val="auto"/>
        </w:rPr>
      </w:pPr>
    </w:p>
    <w:p>
      <w:pPr>
        <w:jc w:val="both"/>
        <w:ind w:left="-447" w:right="3239" w:firstLine="447"/>
        <w:spacing w:after="0" w:line="256" w:lineRule="auto"/>
        <w:tabs>
          <w:tab w:leader="none" w:pos="428" w:val="left"/>
        </w:tabs>
        <w:numPr>
          <w:ilvl w:val="0"/>
          <w:numId w:val="2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other provision of this Agreement, Subsidiaries of the Borrower representing not less than 80% of the total consolidated assets, consolidated gross revenues and Consolidated EBITDA of the Borrower shall at all times have guaranteed the Obligations of the Borrower hereunder by becoming Guarantors in accordance with the provisions of Section 5.01(j)(i).</w:t>
      </w:r>
    </w:p>
    <w:p>
      <w:pPr>
        <w:spacing w:after="0" w:line="325" w:lineRule="exact"/>
        <w:rPr>
          <w:sz w:val="20"/>
          <w:szCs w:val="20"/>
          <w:color w:val="auto"/>
        </w:rPr>
      </w:pPr>
    </w:p>
    <w:p>
      <w:pPr>
        <w:ind w:left="2973"/>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9792"/>
          </w:cols>
          <w:pgMar w:left="667" w:top="624" w:right="1440" w:bottom="1440" w:gutter="0" w:footer="0" w:header="0"/>
        </w:sectPr>
      </w:pPr>
    </w:p>
    <w:bookmarkStart w:id="250" w:name="page251"/>
    <w:bookmarkEnd w:id="250"/>
    <w:p>
      <w:pPr>
        <w:jc w:val="both"/>
        <w:ind w:right="3239" w:firstLine="437"/>
        <w:spacing w:after="0" w:line="256" w:lineRule="auto"/>
        <w:rPr>
          <w:sz w:val="20"/>
          <w:szCs w:val="20"/>
          <w:color w:val="auto"/>
        </w:rPr>
      </w:pPr>
      <w:r>
        <w:rPr>
          <w:rFonts w:ascii="Courier New" w:cs="Courier New" w:eastAsia="Courier New" w:hAnsi="Courier New"/>
          <w:sz w:val="14"/>
          <w:szCs w:val="14"/>
          <w:color w:val="auto"/>
        </w:rPr>
        <w:t>SECTION 5.02 Negative Covenants. Each Credit Party covenants and agrees that, unless the Required Lenders shall otherwise consent in writing, on the Effective Date and thereafter for so long as any Obligation under the Loan Documents shall remain unpaid or any Lender shall have any Commitment hereunder:</w:t>
      </w:r>
    </w:p>
    <w:p>
      <w:pPr>
        <w:spacing w:after="0" w:line="164" w:lineRule="exact"/>
        <w:rPr>
          <w:sz w:val="20"/>
          <w:szCs w:val="20"/>
          <w:color w:val="auto"/>
        </w:rPr>
      </w:pPr>
    </w:p>
    <w:p>
      <w:pPr>
        <w:jc w:val="both"/>
        <w:ind w:right="3239" w:firstLine="447"/>
        <w:spacing w:after="0" w:line="236" w:lineRule="auto"/>
        <w:tabs>
          <w:tab w:leader="none" w:pos="787" w:val="left"/>
        </w:tabs>
        <w:numPr>
          <w:ilvl w:val="1"/>
          <w:numId w:val="2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It will not, and will not permit any of its Subsidiaries to, create, incur, assume or suffer to exist any Lien upon or with respect to any property or assets (real or personal, tangible or intangible) of such Person or any of its Subsidiaries, whether now owned or hereafter acquired, provided that the provisions of this Section 5.02(a) shall not prevent the creation, incurrence, assumption or existence of Permitted Liens.</w:t>
      </w:r>
    </w:p>
    <w:p>
      <w:pPr>
        <w:spacing w:after="0" w:line="174" w:lineRule="exact"/>
        <w:rPr>
          <w:rFonts w:ascii="Courier New" w:cs="Courier New" w:eastAsia="Courier New" w:hAnsi="Courier New"/>
          <w:sz w:val="15"/>
          <w:szCs w:val="15"/>
          <w:color w:val="auto"/>
        </w:rPr>
      </w:pPr>
    </w:p>
    <w:p>
      <w:pPr>
        <w:jc w:val="both"/>
        <w:ind w:right="3239" w:firstLine="447"/>
        <w:spacing w:after="0" w:line="254" w:lineRule="auto"/>
        <w:tabs>
          <w:tab w:leader="none" w:pos="787" w:val="left"/>
        </w:tabs>
        <w:numPr>
          <w:ilvl w:val="1"/>
          <w:numId w:val="2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Mergers, Etc. It shall not merge with or into or consolidate with or into any Person, or permit any of its Subsidiaries to do so, unless: (i) either</w:t>
      </w:r>
    </w:p>
    <w:p>
      <w:pPr>
        <w:jc w:val="both"/>
        <w:ind w:right="3239" w:firstLine="10"/>
        <w:spacing w:after="0" w:line="237" w:lineRule="auto"/>
        <w:tabs>
          <w:tab w:leader="none" w:pos="437" w:val="left"/>
        </w:tabs>
        <w:numPr>
          <w:ilvl w:val="0"/>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merger or consolidation is between any of such Credit Party's Subsidiaries and any of the Borrower's other Subsidiaries, (b) a Credit Party shall be the continuing Person in the case of a merger or (c) the resulting or surviving Person if other than a Credit Party (the "Successor Company") shall expressly assume, by a written agreement, executed and delivered to the Administrative Agent, in form and substance reasonably satisfactory to the Administrative Agent, all the obligations of such Credit Party under the Loan Documents; (ii) immediately after giving effect to such transaction (and treating any Debt which becomes an obligation of the Successor Company or any Subsidiary of such Credit Party or the Successor Company as a result of such transaction as having been incurred by the Successor Company or such Subsidiary at the time of such transaction), no Default or Event of Default would occur or be continuing and such Credit Party shall have delivered to the Administrative Agent an officer's certificate to that effect; and (iii) except in the case of any merger or consolidation under clause (i)(a) above: such Credit Party shall have delivered to the Administrative Agent an officer's certificate and an opinion of counsel, each stating that such consolidation or merger and such written agreement comply with the Loan Documents and, if such consolidation or merger results in a Successor Company, that such written agreement constitutes the legal, valid and binding obligation of the Successor Company, enforceable against such entity in accordance with its terms, subject to customary exceptions.</w:t>
      </w:r>
    </w:p>
    <w:p>
      <w:pPr>
        <w:spacing w:after="0" w:line="170" w:lineRule="exact"/>
        <w:rPr>
          <w:rFonts w:ascii="Courier New" w:cs="Courier New" w:eastAsia="Courier New" w:hAnsi="Courier New"/>
          <w:sz w:val="15"/>
          <w:szCs w:val="15"/>
          <w:color w:val="auto"/>
        </w:rPr>
      </w:pPr>
    </w:p>
    <w:p>
      <w:pPr>
        <w:ind w:left="800" w:hanging="353"/>
        <w:spacing w:after="0"/>
        <w:tabs>
          <w:tab w:leader="none" w:pos="800" w:val="left"/>
        </w:tabs>
        <w:numPr>
          <w:ilvl w:val="1"/>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Dividends; Payment Restrictions Affecting Subsidiaries.</w:t>
      </w:r>
    </w:p>
    <w:p>
      <w:pPr>
        <w:spacing w:after="0" w:line="173" w:lineRule="exact"/>
        <w:rPr>
          <w:sz w:val="20"/>
          <w:szCs w:val="20"/>
          <w:color w:val="auto"/>
        </w:rPr>
      </w:pPr>
    </w:p>
    <w:p>
      <w:pPr>
        <w:jc w:val="both"/>
        <w:ind w:right="3239" w:firstLine="447"/>
        <w:spacing w:after="0" w:line="255" w:lineRule="auto"/>
        <w:tabs>
          <w:tab w:leader="none" w:pos="787" w:val="left"/>
        </w:tabs>
        <w:numPr>
          <w:ilvl w:val="0"/>
          <w:numId w:val="2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and after the date on which a Default, of which such Credit Party becomes aware, or Event of Default has occurred and is continuing and so long as permitted by applicable law, it will not declare or pay any dividends, or return any capital, to its stockholders or authorize or make any other distribution, payment or delivery of property or cash to its stockholders as such, or redeem, retire, purchase or otherwise acquire, directly or indirectly, for a consideration, any shares of any class of its capital stock now or hereafter outstanding (or any options or warrants issued by such Credit Party with respect to its capital stock), or set aside any funds for any of the foregoing purposes, or permit any of its Subsidiaries to purchase or otherwise acquire for a consideration any shares of any class of the capital stock of such Credit Party now or hereafter outstanding (or any options or warrants issued by such Credit Party with respect to its capital stock), except that any Credit Party may pay dividends to the Borrower or any other Credit Party.</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39"/>
          </w:cols>
          <w:pgMar w:left="220" w:top="624" w:right="1440" w:bottom="1440" w:gutter="0" w:footer="0" w:header="0"/>
        </w:sectPr>
      </w:pPr>
    </w:p>
    <w:bookmarkStart w:id="251" w:name="page252"/>
    <w:bookmarkEnd w:id="251"/>
    <w:p>
      <w:pPr>
        <w:jc w:val="both"/>
        <w:ind w:left="-447" w:right="3239" w:firstLine="447"/>
        <w:spacing w:after="0" w:line="255" w:lineRule="auto"/>
        <w:tabs>
          <w:tab w:leader="none" w:pos="428" w:val="left"/>
        </w:tabs>
        <w:numPr>
          <w:ilvl w:val="0"/>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and after the date on which a Default, of which such Credit Party becomes aware, or Event of Default has occurred and is continuing and so long as permitted by applicable law, it will not permit any of its Subsidiaries to declare or pay any dividends, or return any capital, to its stockholders or authorize or make any other distribution, payment or delivery of property or cash to its stockholders as such, or redeem, retire, purchase or otherwise acquire, directly or indirectly, for a consideration, any shares of any class of its capital stock now or hereafter outstanding (or any options or warrants issued by such Subsidiary with respect to its capital stock), or set aside any funds for any of the foregoing purposes, or permit any of its Subsidiaries to purchase or otherwise acquire for a consideration any shares of any class of the capital stock of such Subsidiary now or hereafter outstanding (or any options or warrants issued by such Subsidiary with respect to its capital stock), except that any Subsidiary may pay dividends to the Borrower or any other Credit Party.</w:t>
      </w:r>
    </w:p>
    <w:p>
      <w:pPr>
        <w:spacing w:after="0" w:line="163" w:lineRule="exact"/>
        <w:rPr>
          <w:rFonts w:ascii="Courier New" w:cs="Courier New" w:eastAsia="Courier New" w:hAnsi="Courier New"/>
          <w:sz w:val="14"/>
          <w:szCs w:val="14"/>
          <w:color w:val="auto"/>
        </w:rPr>
      </w:pPr>
    </w:p>
    <w:p>
      <w:pPr>
        <w:jc w:val="both"/>
        <w:ind w:left="-447" w:right="3239" w:firstLine="447"/>
        <w:spacing w:after="0" w:line="255" w:lineRule="auto"/>
        <w:tabs>
          <w:tab w:leader="none" w:pos="515" w:val="left"/>
        </w:tabs>
        <w:numPr>
          <w:ilvl w:val="0"/>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will not, directly or indirectly, enter into or permit any of its Subsidiaries to enter into any agreement or arrangement limiting the ability of any of its Subsidiaries to (A) declare or pay dividends or other distribution in respect of its capital stock (whether through a covenant restricting dividends, loans, asset transfers or investments, a financial covenant or otherwise) or (B) repay or prepay any Debt owed to, make loans or advances to, or otherwise transfer assets to or invest in, the Borrower or any Subsidiary of the Borrower, except as permitted under the Loan Documents and which would not be reasonably likely to result in a Material Adverse Effect.</w:t>
      </w:r>
    </w:p>
    <w:p>
      <w:pPr>
        <w:spacing w:after="0" w:line="165" w:lineRule="exact"/>
        <w:rPr>
          <w:sz w:val="20"/>
          <w:szCs w:val="20"/>
          <w:color w:val="auto"/>
        </w:rPr>
      </w:pPr>
    </w:p>
    <w:p>
      <w:pPr>
        <w:jc w:val="both"/>
        <w:ind w:left="-447" w:right="3239" w:firstLine="447"/>
        <w:spacing w:after="0" w:line="236" w:lineRule="auto"/>
        <w:tabs>
          <w:tab w:leader="none" w:pos="340" w:val="left"/>
        </w:tabs>
        <w:numPr>
          <w:ilvl w:val="0"/>
          <w:numId w:val="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Consolidation, Purchases, Sale of Assets, etc. It will not, and will not permit any of its Subsidiaries to, wind up, liquidate or dissolve its affairs or enter into any transaction of merger or consolidation, or convey, sell, lease or otherwise dispose of (or agree to do any of the foregoing at any future time) all or more than the lesser of (x) 25% of the Total Assets or (y) assets which contribute more than 10% of the Consolidated EBITDA in the preceding fiscal year of the Borrower, or purchase or otherwise acquire (in one or a series of related transactions) any part of the property or assets (other than purchases or other acquisitions of inventory, materials and equipment in the ordinary course of business) of any Person, or permit any of its Subsidiaries so to do any of the foregoing, except that:</w:t>
      </w:r>
    </w:p>
    <w:p>
      <w:pPr>
        <w:spacing w:after="0" w:line="180" w:lineRule="exact"/>
        <w:rPr>
          <w:sz w:val="20"/>
          <w:szCs w:val="20"/>
          <w:color w:val="auto"/>
        </w:rPr>
      </w:pPr>
    </w:p>
    <w:p>
      <w:pPr>
        <w:ind w:left="-447" w:right="3239" w:firstLine="447"/>
        <w:spacing w:after="0" w:line="234" w:lineRule="auto"/>
        <w:tabs>
          <w:tab w:leader="none" w:pos="340" w:val="left"/>
        </w:tabs>
        <w:numPr>
          <w:ilvl w:val="0"/>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and its Subsidiaries may make sales of inventory in the ordinary course of business;</w:t>
      </w:r>
    </w:p>
    <w:p>
      <w:pPr>
        <w:spacing w:after="0" w:line="173" w:lineRule="exact"/>
        <w:rPr>
          <w:rFonts w:ascii="Courier New" w:cs="Courier New" w:eastAsia="Courier New" w:hAnsi="Courier New"/>
          <w:sz w:val="15"/>
          <w:szCs w:val="15"/>
          <w:color w:val="auto"/>
        </w:rPr>
      </w:pPr>
    </w:p>
    <w:p>
      <w:pPr>
        <w:ind w:left="-447" w:right="3239" w:firstLine="447"/>
        <w:spacing w:after="0" w:line="234" w:lineRule="auto"/>
        <w:tabs>
          <w:tab w:leader="none" w:pos="428" w:val="left"/>
        </w:tabs>
        <w:numPr>
          <w:ilvl w:val="0"/>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and its Subsidiaries may, in the ordinary course of business, sell equipment which is uneconomic or obsolete;</w:t>
      </w:r>
    </w:p>
    <w:p>
      <w:pPr>
        <w:spacing w:after="0" w:line="173" w:lineRule="exact"/>
        <w:rPr>
          <w:rFonts w:ascii="Courier New" w:cs="Courier New" w:eastAsia="Courier New" w:hAnsi="Courier New"/>
          <w:sz w:val="15"/>
          <w:szCs w:val="15"/>
          <w:color w:val="auto"/>
        </w:rPr>
      </w:pPr>
    </w:p>
    <w:p>
      <w:pPr>
        <w:ind w:left="-447" w:right="3239" w:firstLine="447"/>
        <w:spacing w:after="0" w:line="234" w:lineRule="auto"/>
        <w:tabs>
          <w:tab w:leader="none" w:pos="515" w:val="left"/>
        </w:tabs>
        <w:numPr>
          <w:ilvl w:val="0"/>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and its Subsidiaries may merge or consolidate to the extent permitted under Section 5.02(b);</w:t>
      </w:r>
    </w:p>
    <w:p>
      <w:pPr>
        <w:spacing w:after="0" w:line="173" w:lineRule="exact"/>
        <w:rPr>
          <w:rFonts w:ascii="Courier New" w:cs="Courier New" w:eastAsia="Courier New" w:hAnsi="Courier New"/>
          <w:sz w:val="15"/>
          <w:szCs w:val="15"/>
          <w:color w:val="auto"/>
        </w:rPr>
      </w:pPr>
    </w:p>
    <w:p>
      <w:pPr>
        <w:ind w:left="-447" w:right="3239" w:firstLine="447"/>
        <w:spacing w:after="0" w:line="234" w:lineRule="auto"/>
        <w:tabs>
          <w:tab w:leader="none" w:pos="428" w:val="left"/>
        </w:tabs>
        <w:numPr>
          <w:ilvl w:val="0"/>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Subsidiary may sell, transfer, lease or otherwise dispose of its assets to the Borrower or to any Credit Party; and</w:t>
      </w:r>
    </w:p>
    <w:p>
      <w:pPr>
        <w:spacing w:after="0" w:line="173" w:lineRule="exact"/>
        <w:rPr>
          <w:rFonts w:ascii="Courier New" w:cs="Courier New" w:eastAsia="Courier New" w:hAnsi="Courier New"/>
          <w:sz w:val="15"/>
          <w:szCs w:val="15"/>
          <w:color w:val="auto"/>
        </w:rPr>
      </w:pPr>
    </w:p>
    <w:p>
      <w:pPr>
        <w:jc w:val="both"/>
        <w:ind w:left="-447" w:right="3239" w:firstLine="447"/>
        <w:spacing w:after="0" w:line="256" w:lineRule="auto"/>
        <w:tabs>
          <w:tab w:leader="none" w:pos="340" w:val="left"/>
        </w:tabs>
        <w:numPr>
          <w:ilvl w:val="0"/>
          <w:numId w:val="2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Subsidiary of the Borrower may liquidate or dissolve its affairs; provided, that (i) such liquidation or dissolution will not result in a Material Adverse Effect, (ii) before and after such liquidation or dissolution (and after giving pro forma effect thereto), no Default or Event of Default shall have</w:t>
      </w:r>
    </w:p>
    <w:p>
      <w:pPr>
        <w:spacing w:after="0" w:line="326" w:lineRule="exact"/>
        <w:rPr>
          <w:sz w:val="20"/>
          <w:szCs w:val="20"/>
          <w:color w:val="auto"/>
        </w:rPr>
      </w:pPr>
    </w:p>
    <w:p>
      <w:pPr>
        <w:ind w:left="2973"/>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9792"/>
          </w:cols>
          <w:pgMar w:left="667" w:top="624" w:right="1440" w:bottom="1440" w:gutter="0" w:footer="0" w:header="0"/>
        </w:sectPr>
      </w:pPr>
    </w:p>
    <w:bookmarkStart w:id="252" w:name="page253"/>
    <w:bookmarkEnd w:id="252"/>
    <w:p>
      <w:pPr>
        <w:jc w:val="both"/>
        <w:ind w:right="3239"/>
        <w:spacing w:after="0" w:line="236" w:lineRule="auto"/>
        <w:rPr>
          <w:sz w:val="20"/>
          <w:szCs w:val="20"/>
          <w:color w:val="auto"/>
        </w:rPr>
      </w:pPr>
      <w:r>
        <w:rPr>
          <w:rFonts w:ascii="Courier New" w:cs="Courier New" w:eastAsia="Courier New" w:hAnsi="Courier New"/>
          <w:sz w:val="15"/>
          <w:szCs w:val="15"/>
          <w:color w:val="auto"/>
        </w:rPr>
        <w:t>occurred and be continuing, and (iii) such Subsidiary, which liquidates or dissolves, shall not have represented or contributed, as the case may be, more than 10% of the total consolidated assets, consolidated gross revenues or Consolidated EBITDA of the Borrower, as the case may be, all as calculated by reference to the most recent quarterly financial statements (or annual financial statements, as the case may be) of such Subsidiary and the most recent consolidated quarterly financial statements (or consolidated annual financial statements, as the case may be) of the Borrower required to be delivered hereunder.</w:t>
      </w:r>
    </w:p>
    <w:p>
      <w:pPr>
        <w:sectPr>
          <w:pgSz w:w="11900" w:h="16838" w:orient="portrait"/>
          <w:cols w:equalWidth="0" w:num="1">
            <w:col w:w="10239"/>
          </w:cols>
          <w:pgMar w:left="220" w:top="624" w:right="1440" w:bottom="1440" w:gutter="0" w:footer="0" w:header="0"/>
        </w:sectPr>
      </w:pPr>
    </w:p>
    <w:p>
      <w:pPr>
        <w:spacing w:after="0" w:line="178" w:lineRule="exact"/>
        <w:rPr>
          <w:sz w:val="20"/>
          <w:szCs w:val="20"/>
          <w:color w:val="auto"/>
        </w:rPr>
      </w:pPr>
    </w:p>
    <w:p>
      <w:pPr>
        <w:ind w:firstLine="447"/>
        <w:spacing w:after="0" w:line="235" w:lineRule="auto"/>
        <w:tabs>
          <w:tab w:leader="none" w:pos="787" w:val="left"/>
        </w:tabs>
        <w:numPr>
          <w:ilvl w:val="0"/>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Nature of Business. Subsidiaries to make, any material business of such Credit Party and its this Agreement.</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jc w:val="both"/>
        <w:ind w:right="3239" w:firstLine="87"/>
        <w:spacing w:after="0" w:line="258" w:lineRule="auto"/>
        <w:rPr>
          <w:sz w:val="20"/>
          <w:szCs w:val="20"/>
          <w:color w:val="auto"/>
        </w:rPr>
      </w:pPr>
      <w:r>
        <w:rPr>
          <w:rFonts w:ascii="Courier New" w:cs="Courier New" w:eastAsia="Courier New" w:hAnsi="Courier New"/>
          <w:sz w:val="14"/>
          <w:szCs w:val="14"/>
          <w:color w:val="auto"/>
        </w:rPr>
        <w:t>It shall not make, or permit any of its change in the nature and conduct of the Subsidiaries as carried on at the date of</w:t>
      </w:r>
    </w:p>
    <w:p>
      <w:pPr>
        <w:spacing w:after="0" w:line="329" w:lineRule="exact"/>
        <w:rPr>
          <w:sz w:val="20"/>
          <w:szCs w:val="20"/>
          <w:color w:val="auto"/>
        </w:rPr>
      </w:pPr>
    </w:p>
    <w:p>
      <w:pPr>
        <w:sectPr>
          <w:pgSz w:w="11900" w:h="16838" w:orient="portrait"/>
          <w:cols w:equalWidth="0" w:num="2">
            <w:col w:w="3340" w:space="80"/>
            <w:col w:w="6819"/>
          </w:cols>
          <w:pgMar w:left="220" w:top="624" w:right="1440" w:bottom="1440" w:gutter="0" w:footer="0" w:header="0"/>
          <w:type w:val="continuous"/>
        </w:sectPr>
      </w:pPr>
    </w:p>
    <w:p>
      <w:pPr>
        <w:jc w:val="both"/>
        <w:ind w:right="3239" w:firstLine="447"/>
        <w:spacing w:after="0" w:line="254" w:lineRule="auto"/>
        <w:tabs>
          <w:tab w:leader="none" w:pos="787" w:val="left"/>
        </w:tabs>
        <w:numPr>
          <w:ilvl w:val="0"/>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Limitation on Voluntary Payments and Modifications of Certain Debt. It will not, and will not permit any of its Subsidiaries to, (i) make any voluntary or optional payment or prepayment on or redemption or acquisition for value of (including, without limitation, by way of depositing with the trustee with respect thereto money or securities before due for the purpose of paying when due) any unsecured Debt that is fully subordinated in the right of payment to the Advances and other Obligations under the Loan Documents; provided, however, that the Borrower may make voluntary or optional payments or prepayments of Inter-company Debt as long as, simultaneously with such payment or prepayment, the Borrower prepays the Advances as and to the extent set forth in Section 2.04(b)(ii) or, (ii) amend or modify, or permit the amendment or modification of, any provision of any unsecured Debt that is fully subordinated in the right of payment to the Advances and other Obligations under the Loan Documents or of any agreement (including, without limitation, any purchase agreement, indenture, loan agreement or security agreement) relating to any of the foregoing, if such payment, prepayment, amendment, modification or change of any unsecured Debt could, in the reasonable opinion of the Administrative Agent, be reasonably expected to result in a Material Adverse Effect.</w:t>
      </w:r>
    </w:p>
    <w:p>
      <w:pPr>
        <w:spacing w:after="0" w:line="174" w:lineRule="exact"/>
        <w:rPr>
          <w:rFonts w:ascii="Courier New" w:cs="Courier New" w:eastAsia="Courier New" w:hAnsi="Courier New"/>
          <w:sz w:val="14"/>
          <w:szCs w:val="14"/>
          <w:color w:val="auto"/>
        </w:rPr>
      </w:pPr>
    </w:p>
    <w:p>
      <w:pPr>
        <w:jc w:val="both"/>
        <w:ind w:right="3239" w:firstLine="447"/>
        <w:spacing w:after="0" w:line="236" w:lineRule="auto"/>
        <w:tabs>
          <w:tab w:leader="none" w:pos="787" w:val="left"/>
        </w:tabs>
        <w:numPr>
          <w:ilvl w:val="0"/>
          <w:numId w:val="2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Transactions with Affiliates or Shareholders. It will not, and will not permit any of its Subsidiaries to, enter into any transaction or series of related transactions, other than in the ordinary course of business, with any Affiliate or shareholder of such Credit Party, other than on terms and conditions substantially as favorable to such Credit Party or such Subsidiary as would be obtainable by such Credit Party or such Subsidiary at the time in a comparable arm's-length transaction with a Person other than an Affiliate or shareholder of such Credit Party.</w:t>
      </w:r>
    </w:p>
    <w:p>
      <w:pPr>
        <w:spacing w:after="0" w:line="177" w:lineRule="exact"/>
        <w:rPr>
          <w:rFonts w:ascii="Courier New" w:cs="Courier New" w:eastAsia="Courier New" w:hAnsi="Courier New"/>
          <w:sz w:val="15"/>
          <w:szCs w:val="15"/>
          <w:color w:val="auto"/>
        </w:rPr>
      </w:pPr>
    </w:p>
    <w:p>
      <w:pPr>
        <w:jc w:val="both"/>
        <w:ind w:right="3239" w:firstLine="447"/>
        <w:spacing w:after="0" w:line="236" w:lineRule="auto"/>
        <w:tabs>
          <w:tab w:leader="none" w:pos="787" w:val="left"/>
        </w:tabs>
        <w:numPr>
          <w:ilvl w:val="0"/>
          <w:numId w:val="2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Accounting Changes. It shall not make or permit, or permit any of its Subsidiaries to make or permit, any change in accounting policies or reporting practices, except as required by GAAP or requested by any Governmental Authority (and in each case such Credit Party will promptly notify the Administrative Agent and the Lenders of any such change).</w:t>
      </w:r>
    </w:p>
    <w:p>
      <w:pPr>
        <w:spacing w:after="0" w:line="173" w:lineRule="exact"/>
        <w:rPr>
          <w:rFonts w:ascii="Courier New" w:cs="Courier New" w:eastAsia="Courier New" w:hAnsi="Courier New"/>
          <w:sz w:val="15"/>
          <w:szCs w:val="15"/>
          <w:color w:val="auto"/>
        </w:rPr>
      </w:pPr>
    </w:p>
    <w:p>
      <w:pPr>
        <w:jc w:val="both"/>
        <w:ind w:right="3239" w:firstLine="447"/>
        <w:spacing w:after="0" w:line="236" w:lineRule="auto"/>
        <w:tabs>
          <w:tab w:leader="none" w:pos="875" w:val="left"/>
        </w:tabs>
        <w:numPr>
          <w:ilvl w:val="0"/>
          <w:numId w:val="2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Constitutional Documents. The Borrower shall not amend, modify or change in any manner any material term or condition of any constitutional document of the Borrower or any Subsidiary or take any other action in connection with any constitutional document that would reasonably be likely to result in a Material Adverse Effect.</w:t>
      </w:r>
    </w:p>
    <w:p>
      <w:pPr>
        <w:spacing w:after="0" w:line="173" w:lineRule="exact"/>
        <w:rPr>
          <w:rFonts w:ascii="Courier New" w:cs="Courier New" w:eastAsia="Courier New" w:hAnsi="Courier New"/>
          <w:sz w:val="15"/>
          <w:szCs w:val="15"/>
          <w:color w:val="auto"/>
        </w:rPr>
      </w:pPr>
    </w:p>
    <w:p>
      <w:pPr>
        <w:jc w:val="both"/>
        <w:ind w:right="3239" w:firstLine="447"/>
        <w:spacing w:after="0" w:line="258" w:lineRule="auto"/>
        <w:tabs>
          <w:tab w:leader="none" w:pos="787" w:val="left"/>
        </w:tabs>
        <w:numPr>
          <w:ilvl w:val="0"/>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Ratio of Consolidated Financial Debt to EBITDA. The Borrower will not permit the ratio of Consolidated Financial Debt to Consolidated EBITDA, at the end of any period of four consecutive calendar quarters (taken as one accounting</w:t>
      </w:r>
    </w:p>
    <w:p>
      <w:pPr>
        <w:spacing w:after="0" w:line="32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39"/>
          </w:cols>
          <w:pgMar w:left="220" w:top="624" w:right="1440" w:bottom="1440" w:gutter="0" w:footer="0" w:header="0"/>
          <w:type w:val="continuous"/>
        </w:sectPr>
      </w:pPr>
    </w:p>
    <w:bookmarkStart w:id="253" w:name="page254"/>
    <w:bookmarkEnd w:id="253"/>
    <w:p>
      <w:pPr>
        <w:jc w:val="both"/>
        <w:ind w:right="3239"/>
        <w:spacing w:after="0" w:line="235" w:lineRule="auto"/>
        <w:rPr>
          <w:sz w:val="20"/>
          <w:szCs w:val="20"/>
          <w:color w:val="auto"/>
        </w:rPr>
      </w:pPr>
      <w:r>
        <w:rPr>
          <w:rFonts w:ascii="Courier New" w:cs="Courier New" w:eastAsia="Courier New" w:hAnsi="Courier New"/>
          <w:sz w:val="15"/>
          <w:szCs w:val="15"/>
          <w:color w:val="auto"/>
        </w:rPr>
        <w:t>period) (i) from the Effective Date up to and including December 17, 2003, to be greater than 3.25:1.00, (ii) from December 18, 2003, up to and including December 17, 2004, to be greater than 3.00:1.00, and (iii) from December 18, 2004, to be greater than 2.75:1.00.</w:t>
      </w:r>
    </w:p>
    <w:p>
      <w:pPr>
        <w:spacing w:after="0" w:line="175" w:lineRule="exact"/>
        <w:rPr>
          <w:sz w:val="20"/>
          <w:szCs w:val="20"/>
          <w:color w:val="auto"/>
        </w:rPr>
      </w:pPr>
    </w:p>
    <w:p>
      <w:pPr>
        <w:jc w:val="both"/>
        <w:ind w:right="3239" w:firstLine="447"/>
        <w:spacing w:after="0" w:line="236" w:lineRule="auto"/>
        <w:tabs>
          <w:tab w:leader="none" w:pos="787" w:val="left"/>
        </w:tabs>
        <w:numPr>
          <w:ilvl w:val="1"/>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Ratio of Consolidated Debt to Consolidated Net Worth. The Borrower will not permit the ratio of Consolidated Debt to Consolidated Net Worth, at the end of any period of four consecutive calendar quarters (taken as one accounting period) (i) from the Effective Date up to and including December 17, 2003, to be greater than 4.00:1.00, (ii) from December 18, 2003, up to and including December 17, 2004, to be greater than 3.50:1.00, and (iii) from December 18, 2004, to be greater than 3.25:1.00.</w:t>
      </w:r>
    </w:p>
    <w:p>
      <w:pPr>
        <w:spacing w:after="0" w:line="175" w:lineRule="exact"/>
        <w:rPr>
          <w:rFonts w:ascii="Courier New" w:cs="Courier New" w:eastAsia="Courier New" w:hAnsi="Courier New"/>
          <w:sz w:val="15"/>
          <w:szCs w:val="15"/>
          <w:color w:val="auto"/>
        </w:rPr>
      </w:pPr>
    </w:p>
    <w:p>
      <w:pPr>
        <w:jc w:val="both"/>
        <w:ind w:right="3239" w:firstLine="447"/>
        <w:spacing w:after="0" w:line="235" w:lineRule="auto"/>
        <w:tabs>
          <w:tab w:leader="none" w:pos="787" w:val="left"/>
        </w:tabs>
        <w:numPr>
          <w:ilvl w:val="1"/>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Coverage Ratio. The Borrower will not permit the ratio of Consolidated EBITDA to Consolidated Interest Expense at the end of any period of four consecutive calendar quarters (taken as one accounting period) to be less than 3.00:1.00.</w:t>
      </w:r>
    </w:p>
    <w:p>
      <w:pPr>
        <w:spacing w:after="0" w:line="175" w:lineRule="exact"/>
        <w:rPr>
          <w:rFonts w:ascii="Courier New" w:cs="Courier New" w:eastAsia="Courier New" w:hAnsi="Courier New"/>
          <w:sz w:val="15"/>
          <w:szCs w:val="15"/>
          <w:color w:val="auto"/>
        </w:rPr>
      </w:pPr>
    </w:p>
    <w:p>
      <w:pPr>
        <w:jc w:val="both"/>
        <w:ind w:right="3239" w:firstLine="447"/>
        <w:spacing w:after="0" w:line="254" w:lineRule="auto"/>
        <w:tabs>
          <w:tab w:leader="none" w:pos="875" w:val="left"/>
        </w:tabs>
        <w:numPr>
          <w:ilvl w:val="1"/>
          <w:numId w:val="2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Minimum Consolidated Net Worth. The Borrower will not permit its Consolidated Net Worth at the end of any calendar quarter (i) from the Effective Date up to and including December 17, 2003, to be less than U.S.$95,000,000,</w:t>
      </w:r>
    </w:p>
    <w:p>
      <w:pPr>
        <w:spacing w:after="0" w:line="1" w:lineRule="exact"/>
        <w:rPr>
          <w:rFonts w:ascii="Courier New" w:cs="Courier New" w:eastAsia="Courier New" w:hAnsi="Courier New"/>
          <w:sz w:val="14"/>
          <w:szCs w:val="14"/>
          <w:color w:val="auto"/>
        </w:rPr>
      </w:pPr>
    </w:p>
    <w:p>
      <w:pPr>
        <w:jc w:val="both"/>
        <w:ind w:right="3239" w:firstLine="10"/>
        <w:spacing w:after="0" w:line="235" w:lineRule="auto"/>
        <w:tabs>
          <w:tab w:leader="none" w:pos="437" w:val="left"/>
        </w:tabs>
        <w:numPr>
          <w:ilvl w:val="0"/>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December 18, 2003, up to and including December 17, 2004, to be less than U.S.$115,000,000, and (iii) from December 18, 2004, to be less than U.S.$125,000,000.</w:t>
      </w:r>
    </w:p>
    <w:p>
      <w:pPr>
        <w:spacing w:after="0" w:line="173" w:lineRule="exact"/>
        <w:rPr>
          <w:rFonts w:ascii="Courier New" w:cs="Courier New" w:eastAsia="Courier New" w:hAnsi="Courier New"/>
          <w:sz w:val="15"/>
          <w:szCs w:val="15"/>
          <w:color w:val="auto"/>
        </w:rPr>
      </w:pPr>
    </w:p>
    <w:p>
      <w:pPr>
        <w:jc w:val="both"/>
        <w:ind w:right="3239" w:firstLine="447"/>
        <w:spacing w:after="0" w:line="254" w:lineRule="auto"/>
        <w:tabs>
          <w:tab w:leader="none" w:pos="787" w:val="left"/>
        </w:tabs>
        <w:numPr>
          <w:ilvl w:val="1"/>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Limitation on Non-Guarantor Subsidiary Debt and Inter-company Debt. The Borrower will not (i) permit its Non-Guarantor Subsidiaries to incur Debt, or</w:t>
      </w:r>
    </w:p>
    <w:p>
      <w:pPr>
        <w:spacing w:after="0" w:line="1" w:lineRule="exact"/>
        <w:rPr>
          <w:sz w:val="20"/>
          <w:szCs w:val="20"/>
          <w:color w:val="auto"/>
        </w:rPr>
      </w:pPr>
    </w:p>
    <w:p>
      <w:pPr>
        <w:jc w:val="both"/>
        <w:ind w:right="3239" w:firstLine="10"/>
        <w:spacing w:after="0" w:line="236" w:lineRule="auto"/>
        <w:tabs>
          <w:tab w:leader="none" w:pos="612" w:val="left"/>
        </w:tabs>
        <w:numPr>
          <w:ilvl w:val="0"/>
          <w:numId w:val="2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contract, create, incur, assume or suffer to exist more than Ps.1,500,000,000 outstanding principal amount of Inter-company Debt at any time, excluding any interest due on such outstanding principal amount which will be capitalized and considered as part of the outstanding principal amount of Inter-company Debt.</w:t>
      </w:r>
    </w:p>
    <w:p>
      <w:pPr>
        <w:spacing w:after="0" w:line="17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Lenders agree and acknowledge that the Borrower intends to sell in whole or in part the Non-Guarantor Subsidiaries and that nothing in this Section 5.02 shall be construed as a limitation or restriction on the ability of the Borrower to carry out such sales or of the Borrower or any Non-Guarantor Subsidiary to take any action in connection with such sales.</w:t>
      </w:r>
    </w:p>
    <w:p>
      <w:pPr>
        <w:spacing w:after="0" w:line="17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SECTION 5.03 Reporting Requirements. The Borrower covenants and agrees that, unless the Required Lenders shall otherwise consent in writing, for so long as any Obligation under the Loan Documents shall remain unpaid or any Lender shall have any Commitment hereunder, it will furnish to the Administrative Agent and each of the Lenders, all of which, to the best knowledge of the Borrower, will be true and complete in every material respect, the following:</w:t>
      </w:r>
    </w:p>
    <w:p>
      <w:pPr>
        <w:spacing w:after="0" w:line="176" w:lineRule="exact"/>
        <w:rPr>
          <w:sz w:val="20"/>
          <w:szCs w:val="20"/>
          <w:color w:val="auto"/>
        </w:rPr>
      </w:pPr>
    </w:p>
    <w:p>
      <w:pPr>
        <w:jc w:val="both"/>
        <w:ind w:right="3239" w:firstLine="447"/>
        <w:spacing w:after="0" w:line="236" w:lineRule="auto"/>
        <w:tabs>
          <w:tab w:leader="none" w:pos="875" w:val="left"/>
        </w:tabs>
        <w:numPr>
          <w:ilvl w:val="0"/>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Notice. As soon as possible and in any event within two Business Days after the occurrence of each Default continuing on the date of such statement, a statement of its chief accounting officer or any other Responsible Officer setting forth details of such Default and the action that the Borrower has taken and proposes to take with respect thereto.</w:t>
      </w:r>
    </w:p>
    <w:p>
      <w:pPr>
        <w:spacing w:after="0" w:line="173" w:lineRule="exact"/>
        <w:rPr>
          <w:rFonts w:ascii="Courier New" w:cs="Courier New" w:eastAsia="Courier New" w:hAnsi="Courier New"/>
          <w:sz w:val="15"/>
          <w:szCs w:val="15"/>
          <w:color w:val="auto"/>
        </w:rPr>
      </w:pPr>
    </w:p>
    <w:p>
      <w:pPr>
        <w:jc w:val="both"/>
        <w:ind w:right="3239" w:firstLine="447"/>
        <w:spacing w:after="0" w:line="258" w:lineRule="auto"/>
        <w:tabs>
          <w:tab w:leader="none" w:pos="787" w:val="left"/>
        </w:tabs>
        <w:numPr>
          <w:ilvl w:val="0"/>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Quarterly Financials. As soon as available and in any event within 90 days after the end of each quarter of each fiscal year of the Borrower, a consolidated balance sheet of the Borrower and its Subsidiaries as of the end of</w:t>
      </w:r>
    </w:p>
    <w:p>
      <w:pPr>
        <w:spacing w:after="0" w:line="32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39"/>
          </w:cols>
          <w:pgMar w:left="220" w:top="624" w:right="1440" w:bottom="1440" w:gutter="0" w:footer="0" w:header="0"/>
        </w:sectPr>
      </w:pPr>
    </w:p>
    <w:bookmarkStart w:id="254" w:name="page255"/>
    <w:bookmarkEnd w:id="254"/>
    <w:p>
      <w:pPr>
        <w:jc w:val="both"/>
        <w:ind w:right="3239"/>
        <w:spacing w:after="0" w:line="237" w:lineRule="auto"/>
        <w:rPr>
          <w:sz w:val="20"/>
          <w:szCs w:val="20"/>
          <w:color w:val="auto"/>
        </w:rPr>
      </w:pPr>
      <w:r>
        <w:rPr>
          <w:rFonts w:ascii="Courier New" w:cs="Courier New" w:eastAsia="Courier New" w:hAnsi="Courier New"/>
          <w:sz w:val="15"/>
          <w:szCs w:val="15"/>
          <w:color w:val="auto"/>
        </w:rPr>
        <w:t>such quarter and consolidated statements of income and cash flows of the Borrower and its Subsidiaries for the period commencing at the end of the previous fiscal year and ending with the end of such quarter, setting forth in each case in comparative form the corresponding figures for the corresponding period of the preceding fiscal year, all in reasonable detail and duly certified (subject to year-end audit adjustments) by the chief accounting officer of the Borrower or any other Responsible Officer as having been prepared (with respect to such consolidated financial statements) in accordance with GAAP, together with a certificate of such officer stating that no Default has occurred and is continuing or, if a Default has occurred and is continuing, a statement as to the nature thereof and the action that the Borrower has taken and proposes to take with respect thereto.</w:t>
      </w:r>
    </w:p>
    <w:p>
      <w:pPr>
        <w:spacing w:after="0" w:line="173" w:lineRule="exact"/>
        <w:rPr>
          <w:sz w:val="20"/>
          <w:szCs w:val="20"/>
          <w:color w:val="auto"/>
        </w:rPr>
      </w:pPr>
    </w:p>
    <w:p>
      <w:pPr>
        <w:jc w:val="both"/>
        <w:ind w:right="3239" w:firstLine="447"/>
        <w:spacing w:after="0" w:line="237" w:lineRule="auto"/>
        <w:tabs>
          <w:tab w:leader="none" w:pos="787" w:val="left"/>
        </w:tabs>
        <w:numPr>
          <w:ilvl w:val="0"/>
          <w:numId w:val="2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Financials. As soon as available and in any event within 120 days after the end of each fiscal year of the Borrower, a copy of the annual audit report for such year for the Borrower and its Subsidiaries, including therein a consolidated balance sheet of the Borrower and its Subsidiaries as of the end of such fiscal year, and consolidated statements of income and cash flows of the Borrower and its Subsidiaries for such fiscal year, in each case (with respect to such consolidated financial statements) accompanied by an opinion of Galaz, Yamasaki, Ruiz Urquiza, S.C. (Deloitte &amp; Touche) or other independent public accountants of recognized international standing, together with a certificate of the chief accounting officer of the Borrower or any other Responsible Officer stating that no Default has occurred and is continuing or, if a default has occurred and is continuing, a statement as to the nature thereof and the action that the Borrower has taken and proposes to take with respect thereto.</w:t>
      </w:r>
    </w:p>
    <w:p>
      <w:pPr>
        <w:spacing w:after="0" w:line="173" w:lineRule="exact"/>
        <w:rPr>
          <w:rFonts w:ascii="Courier New" w:cs="Courier New" w:eastAsia="Courier New" w:hAnsi="Courier New"/>
          <w:sz w:val="15"/>
          <w:szCs w:val="15"/>
          <w:color w:val="auto"/>
        </w:rPr>
      </w:pPr>
    </w:p>
    <w:p>
      <w:pPr>
        <w:jc w:val="both"/>
        <w:ind w:right="3239" w:firstLine="447"/>
        <w:spacing w:after="0" w:line="256" w:lineRule="auto"/>
        <w:tabs>
          <w:tab w:leader="none" w:pos="787" w:val="left"/>
        </w:tabs>
        <w:numPr>
          <w:ilvl w:val="0"/>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Material Adverse Change. As soon as possible and in any event within five days after such Credit Party knows or has reason to know of any Material Adverse Change, or any event or circumstance which might result in a Material Adverse Change, notice thereof and copies of all documentation relating thereto.</w:t>
      </w:r>
    </w:p>
    <w:p>
      <w:pPr>
        <w:spacing w:after="0" w:line="164" w:lineRule="exact"/>
        <w:rPr>
          <w:rFonts w:ascii="Courier New" w:cs="Courier New" w:eastAsia="Courier New" w:hAnsi="Courier New"/>
          <w:sz w:val="14"/>
          <w:szCs w:val="14"/>
          <w:color w:val="auto"/>
        </w:rPr>
      </w:pPr>
    </w:p>
    <w:p>
      <w:pPr>
        <w:jc w:val="both"/>
        <w:ind w:right="3239" w:firstLine="447"/>
        <w:spacing w:after="0" w:line="256" w:lineRule="auto"/>
        <w:tabs>
          <w:tab w:leader="none" w:pos="875" w:val="left"/>
        </w:tabs>
        <w:numPr>
          <w:ilvl w:val="0"/>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Litigation. Promptly after the commencement thereof, notice of all actions, suits, investigations, litigation and proceedings before any court or governmental department, commission, board, bureau, agency or instrumentality, domestic or foreign, by or against such Credit Party or any of its Subsidiaries which could reasonably be expected to have a Material Adverse Effect.</w:t>
      </w:r>
    </w:p>
    <w:p>
      <w:pPr>
        <w:spacing w:after="0" w:line="163" w:lineRule="exact"/>
        <w:rPr>
          <w:rFonts w:ascii="Courier New" w:cs="Courier New" w:eastAsia="Courier New" w:hAnsi="Courier New"/>
          <w:sz w:val="14"/>
          <w:szCs w:val="14"/>
          <w:color w:val="auto"/>
        </w:rPr>
      </w:pPr>
    </w:p>
    <w:p>
      <w:pPr>
        <w:jc w:val="both"/>
        <w:ind w:right="3239" w:firstLine="447"/>
        <w:spacing w:after="0" w:line="256" w:lineRule="auto"/>
        <w:tabs>
          <w:tab w:leader="none" w:pos="875" w:val="left"/>
        </w:tabs>
        <w:numPr>
          <w:ilvl w:val="0"/>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Reports. Promptly after the sending or filing thereof, copies of all financial statements and reports that the Borrower sends to its stockholders, and copies of all regular, periodic and special reports, and all registration statements, that the Borrower files with any securities commission or similar Governmental Authority or with any national securities exchange.</w:t>
      </w:r>
    </w:p>
    <w:p>
      <w:pPr>
        <w:spacing w:after="0" w:line="163" w:lineRule="exact"/>
        <w:rPr>
          <w:rFonts w:ascii="Courier New" w:cs="Courier New" w:eastAsia="Courier New" w:hAnsi="Courier New"/>
          <w:sz w:val="14"/>
          <w:szCs w:val="14"/>
          <w:color w:val="auto"/>
        </w:rPr>
      </w:pPr>
    </w:p>
    <w:p>
      <w:pPr>
        <w:jc w:val="both"/>
        <w:ind w:right="3239" w:firstLine="447"/>
        <w:spacing w:after="0" w:line="236" w:lineRule="auto"/>
        <w:tabs>
          <w:tab w:leader="none" w:pos="787" w:val="left"/>
        </w:tabs>
        <w:numPr>
          <w:ilvl w:val="0"/>
          <w:numId w:val="2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Environmental Conditions. Promptly after the occurrence thereof, notice of any condition or occurrence on any property of such Credit Party or any of its Subsidiaries of which such Credit Party is aware and that results in a material noncompliance by such Credit Party or any of its Subsidiaries with any Environmental Law or Environmental Permit or could form the basis of an Environmental Action against such Credit Party or any of its Subsidiaries that would be reasonably likely to result in a Material Adverse Effect.</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39"/>
          </w:cols>
          <w:pgMar w:left="220" w:top="624" w:right="1440" w:bottom="1440" w:gutter="0" w:footer="0" w:header="0"/>
        </w:sectPr>
      </w:pPr>
    </w:p>
    <w:bookmarkStart w:id="255" w:name="page256"/>
    <w:bookmarkEnd w:id="255"/>
    <w:p>
      <w:pPr>
        <w:jc w:val="both"/>
        <w:ind w:right="3239" w:firstLine="447"/>
        <w:spacing w:after="0" w:line="235" w:lineRule="auto"/>
        <w:tabs>
          <w:tab w:leader="none" w:pos="787" w:val="left"/>
        </w:tabs>
        <w:numPr>
          <w:ilvl w:val="0"/>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Asset Sale; Payment of Inter-company Debt. At least five Business Days prior to any Asset Sale or any payment of the principal amount of the Inter-company Debt, notice thereof setting forth details of such Asset Sale or such payment of the principal amount of the Inter-company Debt.</w:t>
      </w:r>
    </w:p>
    <w:p>
      <w:pPr>
        <w:spacing w:after="0" w:line="175" w:lineRule="exact"/>
        <w:rPr>
          <w:rFonts w:ascii="Courier New" w:cs="Courier New" w:eastAsia="Courier New" w:hAnsi="Courier New"/>
          <w:sz w:val="15"/>
          <w:szCs w:val="15"/>
          <w:color w:val="auto"/>
        </w:rPr>
      </w:pPr>
    </w:p>
    <w:p>
      <w:pPr>
        <w:jc w:val="both"/>
        <w:ind w:right="3239" w:firstLine="447"/>
        <w:spacing w:after="0" w:line="235" w:lineRule="auto"/>
        <w:tabs>
          <w:tab w:leader="none" w:pos="787" w:val="left"/>
        </w:tabs>
        <w:numPr>
          <w:ilvl w:val="0"/>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Information. Such other information respecting the business, financial condition, operations, performance, properties, assets or prospects of such Credit Party or any of its Subsidiaries as any Lender through the Administrative Agent may from time to time reasonably request.</w:t>
      </w:r>
    </w:p>
    <w:p>
      <w:pPr>
        <w:spacing w:after="0" w:line="16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VI</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EVENTS OF DEFAULT</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SECTION 6.01 Events of Default. If any of the following events (each an "Event of Default") shall occur and be continuing:</w:t>
      </w:r>
    </w:p>
    <w:p>
      <w:pPr>
        <w:spacing w:after="0" w:line="173" w:lineRule="exact"/>
        <w:rPr>
          <w:sz w:val="20"/>
          <w:szCs w:val="20"/>
          <w:color w:val="auto"/>
        </w:rPr>
      </w:pPr>
    </w:p>
    <w:p>
      <w:pPr>
        <w:jc w:val="both"/>
        <w:ind w:right="3239" w:firstLine="447"/>
        <w:spacing w:after="0" w:line="236" w:lineRule="auto"/>
        <w:tabs>
          <w:tab w:leader="none" w:pos="787" w:val="left"/>
        </w:tabs>
        <w:numPr>
          <w:ilvl w:val="1"/>
          <w:numId w:val="2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shall fail to pay (i) any principal of any Advance when the same shall become due and payable, or (ii) interest on any Advance, or shall fail to make any other payment in the case of fees or other amounts due under any Loan Document, in each case under this clause (ii) within three Business Days after the same becomes due any payable; or</w:t>
      </w:r>
    </w:p>
    <w:p>
      <w:pPr>
        <w:spacing w:after="0" w:line="173" w:lineRule="exact"/>
        <w:rPr>
          <w:rFonts w:ascii="Courier New" w:cs="Courier New" w:eastAsia="Courier New" w:hAnsi="Courier New"/>
          <w:sz w:val="15"/>
          <w:szCs w:val="15"/>
          <w:color w:val="auto"/>
        </w:rPr>
      </w:pPr>
    </w:p>
    <w:p>
      <w:pPr>
        <w:jc w:val="both"/>
        <w:ind w:right="3239" w:firstLine="447"/>
        <w:spacing w:after="0" w:line="235" w:lineRule="auto"/>
        <w:tabs>
          <w:tab w:leader="none" w:pos="875" w:val="left"/>
        </w:tabs>
        <w:numPr>
          <w:ilvl w:val="1"/>
          <w:numId w:val="2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representation or warranty made by any Credit Party or the Subordinated Creditor (or any of their respective officers) under or in connection with any Loan Document shall prove to have been incorrect in any material respect when made or deemed made; or</w:t>
      </w:r>
    </w:p>
    <w:p>
      <w:pPr>
        <w:spacing w:after="0" w:line="175" w:lineRule="exact"/>
        <w:rPr>
          <w:rFonts w:ascii="Courier New" w:cs="Courier New" w:eastAsia="Courier New" w:hAnsi="Courier New"/>
          <w:sz w:val="15"/>
          <w:szCs w:val="15"/>
          <w:color w:val="auto"/>
        </w:rPr>
      </w:pPr>
    </w:p>
    <w:p>
      <w:pPr>
        <w:jc w:val="both"/>
        <w:ind w:right="3239" w:firstLine="447"/>
        <w:spacing w:after="0" w:line="254" w:lineRule="auto"/>
        <w:tabs>
          <w:tab w:leader="none" w:pos="787" w:val="left"/>
        </w:tabs>
        <w:numPr>
          <w:ilvl w:val="1"/>
          <w:numId w:val="2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Credit Party shall fail to perform or observe any term, covenant or agreement contained in (i) Section 5.01(c), Section 5.02 or Section 5.03(d), or</w:t>
      </w:r>
    </w:p>
    <w:p>
      <w:pPr>
        <w:jc w:val="both"/>
        <w:ind w:right="3239" w:firstLine="10"/>
        <w:spacing w:after="0" w:line="236" w:lineRule="auto"/>
        <w:tabs>
          <w:tab w:leader="none" w:pos="437" w:val="left"/>
        </w:tabs>
        <w:numPr>
          <w:ilvl w:val="0"/>
          <w:numId w:val="2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5.01(b) or (h), Section 5.03(a)-(c) or (f)-(i), or the Subordinated Creditor shall fail to perform or observe any term, covenant or agreement contained in the Subordination Agreement, in each case if such failure shall remain unremedied for 10 Business Days after such Credit Party or the Subordinated Creditor has knowledge thereof or written notice thereof shall have been given to such Credit Party or the Subordinated Creditor by the Administrative Agent or any Lender; or</w:t>
      </w:r>
    </w:p>
    <w:p>
      <w:pPr>
        <w:spacing w:after="0" w:line="175" w:lineRule="exact"/>
        <w:rPr>
          <w:rFonts w:ascii="Courier New" w:cs="Courier New" w:eastAsia="Courier New" w:hAnsi="Courier New"/>
          <w:sz w:val="15"/>
          <w:szCs w:val="15"/>
          <w:color w:val="auto"/>
        </w:rPr>
      </w:pPr>
    </w:p>
    <w:p>
      <w:pPr>
        <w:jc w:val="both"/>
        <w:ind w:right="3239" w:firstLine="447"/>
        <w:spacing w:after="0" w:line="254" w:lineRule="auto"/>
        <w:tabs>
          <w:tab w:leader="none" w:pos="787" w:val="left"/>
        </w:tabs>
        <w:numPr>
          <w:ilvl w:val="1"/>
          <w:numId w:val="2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Credit Party shall fail to perform any term, covenant or agreement contained in this Agreement (other than those referred to in clauses (a) through</w:t>
      </w:r>
    </w:p>
    <w:p>
      <w:pPr>
        <w:jc w:val="both"/>
        <w:ind w:right="3239" w:firstLine="10"/>
        <w:spacing w:after="0" w:line="235" w:lineRule="auto"/>
        <w:tabs>
          <w:tab w:leader="none" w:pos="350" w:val="left"/>
        </w:tabs>
        <w:numPr>
          <w:ilvl w:val="0"/>
          <w:numId w:val="2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above) or in any Loan Document on its part to be performed or observed if such failure shall remain unremedied for 30 days after such Credit Party has knowledge thereof or written notice thereof shall have been given to such Credit Party by the Administrative Agent or any Lender; or</w:t>
      </w:r>
    </w:p>
    <w:p>
      <w:pPr>
        <w:spacing w:after="0" w:line="175" w:lineRule="exact"/>
        <w:rPr>
          <w:rFonts w:ascii="Courier New" w:cs="Courier New" w:eastAsia="Courier New" w:hAnsi="Courier New"/>
          <w:sz w:val="15"/>
          <w:szCs w:val="15"/>
          <w:color w:val="auto"/>
        </w:rPr>
      </w:pPr>
    </w:p>
    <w:p>
      <w:pPr>
        <w:jc w:val="both"/>
        <w:ind w:right="3239" w:firstLine="447"/>
        <w:spacing w:after="0" w:line="255" w:lineRule="auto"/>
        <w:tabs>
          <w:tab w:leader="none" w:pos="787" w:val="left"/>
        </w:tabs>
        <w:numPr>
          <w:ilvl w:val="1"/>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(x) any Credit Party or any of its Subsidiaries shall fail to pay any principal of, premium or interest on any other amount payable in respect of any Debt that is outstanding in an aggregate principal or notional amount of at least U.S.$10,000,000 (or the equivalent in another currency) in the aggregate (but excluding Debt outstanding hereunder) of such Credit Party or such Subsidiary (as the case may be), when the same becomes due and payable (whether by scheduled maturity, required prepayment, acceleration, demand or otherwise), and such failure shall continue after the applicable grace period, if any, specified in the agreement or instrument relating to such Debt; or (y) any other event shall occur or condition shall exist under any agreement or instrument</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39"/>
          </w:cols>
          <w:pgMar w:left="220" w:top="624" w:right="1440" w:bottom="1440" w:gutter="0" w:footer="0" w:header="0"/>
        </w:sectPr>
      </w:pPr>
    </w:p>
    <w:bookmarkStart w:id="256" w:name="page257"/>
    <w:bookmarkEnd w:id="256"/>
    <w:p>
      <w:pPr>
        <w:jc w:val="both"/>
        <w:ind w:right="3239"/>
        <w:spacing w:after="0" w:line="235" w:lineRule="auto"/>
        <w:rPr>
          <w:sz w:val="20"/>
          <w:szCs w:val="20"/>
          <w:color w:val="auto"/>
        </w:rPr>
      </w:pPr>
      <w:r>
        <w:rPr>
          <w:rFonts w:ascii="Courier New" w:cs="Courier New" w:eastAsia="Courier New" w:hAnsi="Courier New"/>
          <w:sz w:val="15"/>
          <w:szCs w:val="15"/>
          <w:color w:val="auto"/>
        </w:rPr>
        <w:t>relating to any such Debt, if the effect of such event or condition is to accelerate the maturity of such Debt or otherwise to cause such Debt to mature prior to its scheduled maturity; or</w:t>
      </w:r>
    </w:p>
    <w:p>
      <w:pPr>
        <w:spacing w:after="0" w:line="174" w:lineRule="exact"/>
        <w:rPr>
          <w:sz w:val="20"/>
          <w:szCs w:val="20"/>
          <w:color w:val="auto"/>
        </w:rPr>
      </w:pPr>
    </w:p>
    <w:p>
      <w:pPr>
        <w:jc w:val="both"/>
        <w:ind w:right="3239" w:firstLine="447"/>
        <w:spacing w:after="0" w:line="255" w:lineRule="auto"/>
        <w:tabs>
          <w:tab w:leader="none" w:pos="787" w:val="left"/>
        </w:tabs>
        <w:numPr>
          <w:ilvl w:val="0"/>
          <w:numId w:val="2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Credit Party or any of its Subsidiaries shall generally not pay its debts as such debts become due, or shall admit in writing its inability to pay its debts generally, or shall make a general assignment for the benefit of creditors; or any proceeding shall be instituted by or against such Credit Party or any of its Subsidiaries seeking to adjudicate it as bankrupt or insolvent, or seeking liquidation, winding up, reorganization, arrangement, adjustment, protection, relief, or composition of it or its debts under any law relating to bankruptcy, insolvency or reorganization or relief of debtors, or seeking the entry of an order for relief or the appointment of a receiver, trustee, or other similar official for it or for any substantial part of its property and, in respect of an involuntary proceeding instituted against such Person, the same shall remain unstayed or undismissed for 60 days; or any Credit Party or any of its Subsidiaries shall take any corporate action to authorize any of the actions set forth above in this clause; or</w:t>
      </w:r>
    </w:p>
    <w:p>
      <w:pPr>
        <w:spacing w:after="0" w:line="163" w:lineRule="exact"/>
        <w:rPr>
          <w:rFonts w:ascii="Courier New" w:cs="Courier New" w:eastAsia="Courier New" w:hAnsi="Courier New"/>
          <w:sz w:val="14"/>
          <w:szCs w:val="14"/>
          <w:color w:val="auto"/>
        </w:rPr>
      </w:pPr>
    </w:p>
    <w:p>
      <w:pPr>
        <w:jc w:val="both"/>
        <w:ind w:right="3239" w:firstLine="447"/>
        <w:spacing w:after="0" w:line="236" w:lineRule="auto"/>
        <w:tabs>
          <w:tab w:leader="none" w:pos="875" w:val="left"/>
        </w:tabs>
        <w:numPr>
          <w:ilvl w:val="0"/>
          <w:numId w:val="2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judgment or order for the payment of money in excess of U.S.$10,000,000 (or the equivalent in another currency) which is not covered by insurance shall be rendered against any Credit Party or any of its Subsidiaries and either (i) enforcement proceedings shall have been commenced by any creditor upon such judgment or order or (ii) there shall be any period of 30 consecutive days during which a stay of enforcement of such judgment or order, by reason of a pending appeal or otherwise, shall not be in effect; or</w:t>
      </w:r>
    </w:p>
    <w:p>
      <w:pPr>
        <w:spacing w:after="0" w:line="175" w:lineRule="exact"/>
        <w:rPr>
          <w:rFonts w:ascii="Courier New" w:cs="Courier New" w:eastAsia="Courier New" w:hAnsi="Courier New"/>
          <w:sz w:val="15"/>
          <w:szCs w:val="15"/>
          <w:color w:val="auto"/>
        </w:rPr>
      </w:pPr>
    </w:p>
    <w:p>
      <w:pPr>
        <w:jc w:val="both"/>
        <w:ind w:right="3239" w:firstLine="447"/>
        <w:spacing w:after="0" w:line="236" w:lineRule="auto"/>
        <w:tabs>
          <w:tab w:leader="none" w:pos="787" w:val="left"/>
        </w:tabs>
        <w:numPr>
          <w:ilvl w:val="0"/>
          <w:numId w:val="2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non-monetary judgment or order shall be rendered against any Credit Party or any of its Subsidiaries that is reasonably likely to result in a Material Adverse Effect, and there shall be any period of 30 consecutive days during which a stay of enforcement of such judgment or order, by reason of a pending appeal or otherwise, shall not be in effect; or</w:t>
      </w:r>
    </w:p>
    <w:p>
      <w:pPr>
        <w:spacing w:after="0" w:line="167" w:lineRule="exact"/>
        <w:rPr>
          <w:sz w:val="20"/>
          <w:szCs w:val="20"/>
          <w:color w:val="auto"/>
        </w:rPr>
      </w:pPr>
    </w:p>
    <w:p>
      <w:pPr>
        <w:ind w:left="1580" w:hanging="783"/>
        <w:spacing w:after="0"/>
        <w:tabs>
          <w:tab w:leader="none" w:pos="1580" w:val="left"/>
        </w:tabs>
        <w:numPr>
          <w:ilvl w:val="1"/>
          <w:numId w:val="2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Change of Control shall occur; or</w:t>
      </w:r>
    </w:p>
    <w:p>
      <w:pPr>
        <w:spacing w:after="0" w:line="172" w:lineRule="exact"/>
        <w:rPr>
          <w:rFonts w:ascii="Courier New" w:cs="Courier New" w:eastAsia="Courier New" w:hAnsi="Courier New"/>
          <w:sz w:val="15"/>
          <w:szCs w:val="15"/>
          <w:color w:val="auto"/>
        </w:rPr>
      </w:pPr>
    </w:p>
    <w:p>
      <w:pPr>
        <w:jc w:val="both"/>
        <w:ind w:right="3239" w:firstLine="447"/>
        <w:spacing w:after="0" w:line="256" w:lineRule="auto"/>
        <w:tabs>
          <w:tab w:leader="none" w:pos="787" w:val="left"/>
        </w:tabs>
        <w:numPr>
          <w:ilvl w:val="0"/>
          <w:numId w:val="2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Mexican Governmental Authority shall (i) have taken any action, including imposing a moratorium, which prevents any Credit Party from accessing sufficient U.S. dollar funds to pay its Obligations as they mature or (ii) condemn, seize, compulsorily purchase or expropriate all or a substantial part of the assets and properties of any Credit Party or any of its Subsidiaries;</w:t>
      </w:r>
    </w:p>
    <w:p>
      <w:pPr>
        <w:spacing w:after="0" w:line="16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then, and in any such event, the Administrative Agent (i) shall at the request, or may with the consent, of the Required Lenders, by notice to the Borrower, declare the obligation of each Lender to make its respective Advance to be terminated, whereupon the same shall forthwith terminate, and (ii) shall at the request, or may with the consent, of the Required Lenders, by notice to the Borrower, (x) declare the Notes, all interest thereon and all other amounts payable under this Agreement and the other Loan Documents to be forthwith due and payable, whereupon the Notes, all such interest and all such amounts shall become and be forthwith due and payable, without presentment, demand, protest or further notice of any kind, all of which are hereby expressly waived by the Credit Parties and (y) take all remedies as may be available under the Loan Documents or otherwise; provided, however, that if an Event of Default specified in Section 6.01(f) shall occur with respect to the Borrower or any Guarantor, (x) the obligation of each Lender to make its respective Advance shall</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39"/>
          </w:cols>
          <w:pgMar w:left="220" w:top="624" w:right="1440" w:bottom="1440" w:gutter="0" w:footer="0" w:header="0"/>
        </w:sectPr>
      </w:pPr>
    </w:p>
    <w:bookmarkStart w:id="257" w:name="page258"/>
    <w:bookmarkEnd w:id="257"/>
    <w:p>
      <w:pPr>
        <w:jc w:val="both"/>
        <w:ind w:right="3239"/>
        <w:spacing w:after="0" w:line="235" w:lineRule="auto"/>
        <w:rPr>
          <w:sz w:val="20"/>
          <w:szCs w:val="20"/>
          <w:color w:val="auto"/>
        </w:rPr>
      </w:pPr>
      <w:r>
        <w:rPr>
          <w:rFonts w:ascii="Courier New" w:cs="Courier New" w:eastAsia="Courier New" w:hAnsi="Courier New"/>
          <w:sz w:val="15"/>
          <w:szCs w:val="15"/>
          <w:color w:val="auto"/>
        </w:rPr>
        <w:t>automatically be terminated and (y) the Notes, all such interest and all such amounts shall automatically become and be due and payable, without presentment, demand, protest or any notice of any kind, all of which are hereby expressly waived by the Credit Parties.</w:t>
      </w:r>
    </w:p>
    <w:p>
      <w:pPr>
        <w:spacing w:after="0" w:line="16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VII</w:t>
      </w:r>
    </w:p>
    <w:p>
      <w:pPr>
        <w:spacing w:after="0" w:line="16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GUARANTY</w:t>
      </w:r>
    </w:p>
    <w:p>
      <w:pPr>
        <w:spacing w:after="0" w:line="173"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SECTION 7.01 The Guaranteed Obligations. Each Guarantor, jointly and severally, hereby irrevocably and unconditionally guarantees (such guaranty, a "Guaranty") the full and prompt payment when due (whether by acceleration or otherwise) of the principal of and interest on any Note issued under this Agreement and of all other obligations and liabilities (including, without limitation, indemnities, fees and interest thereon) of the Borrower now existing or hereafter incurred under, arising out of or in connection with this Agreement or any other Loan Document and the due performance and compliance with the terms of the Loan Documents by the Borrower (all such principal, interest, obligations and liabilities, collectively, the "Guaranteed Obligations"). Each Guarantor understands, agrees and confirms that the Lenders may enforce this Guaranty up to the full amount of the Guaranteed Obligations against it without proceeding against the Borrower, against any security for the Guaranteed Obligations or against any other Guarantor under any other Guaranty covering the Guaranteed Obligations. Each of the Guarantors irrevocably and unconditionally promises to pay such Guaranteed Obligations to the Lenders, on demand, in Dollars, on the same basis as payments by the Borrower are required to be made under Sections 2.09(a), 2.10(a) and 2.10(b). This Guaranty shall constitute a guaranty of payment and not of collection.</w:t>
      </w:r>
    </w:p>
    <w:p>
      <w:pPr>
        <w:spacing w:after="0" w:line="343"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SECTION 7.02 Continuing Obligation. This Guaranty is a continuing one and all liabilities to which it applies or may apply under the terms hereof shall be conclusively presumed to have been created in reliance hereon. No failure or delay on the part of any Lender in exercising any right, power or privilege hereunder and no course of dealing between any Guarantor and any Lender or the holder of any Note shall operate as a waiver thereof; nor shall any single or partial exercise of any right, power or privilege hereunder preclude any other or further exercise thereof or the exercise of any other right, power or privilege. The rights, powers and remedies herein expressly provided are cumulative and not exclusive of any rights, powers or remedies which any Lender or the holder of any Note would otherwise have. No notice to or demand on any Guarantor in any case shall entitle such Guarantor to any other further notice or demand in similar or other circumstances or constitute a waiver of the rights of any Lender or the holder of any Note to any other or further action in any circumstances without notice or demand.</w:t>
      </w:r>
    </w:p>
    <w:p>
      <w:pPr>
        <w:spacing w:after="0" w:line="174"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SECTION 7.03 No Discharge. If a claim is ever made upon any Lender for repayment or recovery of any amount or amounts received in payment or on account of any of the Guaranteed Obligations and any of the aforesaid payees repays all or part of said amount by reason of (a) any judgment, decree or order of any court or administrative body having jurisdiction over such payee or any of its property or (b) any settlement or compromise of any such claim effected by such payee with any such claimant, then and in such event the Guarantor agrees that any such judgment, decree, order, settlement or compromise shall be binding upon it notwithstanding any revocation hereof or the cancellation of any Note or other instrument evidencing any liability of such Guarantor, and such Guarantor</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39"/>
          </w:cols>
          <w:pgMar w:left="220" w:top="624" w:right="1440" w:bottom="1440" w:gutter="0" w:footer="0" w:header="0"/>
        </w:sectPr>
      </w:pPr>
    </w:p>
    <w:bookmarkStart w:id="258" w:name="page259"/>
    <w:bookmarkEnd w:id="258"/>
    <w:p>
      <w:pPr>
        <w:ind w:right="3319"/>
        <w:spacing w:after="0" w:line="236" w:lineRule="auto"/>
        <w:rPr>
          <w:sz w:val="20"/>
          <w:szCs w:val="20"/>
          <w:color w:val="auto"/>
        </w:rPr>
      </w:pPr>
      <w:r>
        <w:rPr>
          <w:rFonts w:ascii="Courier New" w:cs="Courier New" w:eastAsia="Courier New" w:hAnsi="Courier New"/>
          <w:sz w:val="15"/>
          <w:szCs w:val="15"/>
          <w:color w:val="auto"/>
        </w:rPr>
        <w:t>shall be and remain liable to the aforesaid payees hereunder for the amount so repaid or recovered to the same extent as if such amount had never originally been received by any such payee. It is the intention of the Lenders and the Guarantors that the Guaranteed Obligations hereunder shall not be discharged (whether pursuant to any Bankruptcy Law or comparable legislation or otherwise) except by indefeasible performance of such obligations and then only to the extent of such performance.</w:t>
      </w:r>
    </w:p>
    <w:p>
      <w:pPr>
        <w:spacing w:after="0" w:line="176"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SECTION 7.04 Tolling of Statute of Limitations. Any acknowledgment or new promise, whether by payment of principal or interest or otherwise, with respect to any of the Guaranteed Obligations shall, if the statute of limitations in favor of a Guarantor against the Administrative Agent, any Lender or the holder of any Note shall have commenced to run, toll the running of such statute of limitations, and if the period of such statute of limitations shall have expired, prevent the operation of such statute of limitations.</w:t>
      </w:r>
    </w:p>
    <w:p>
      <w:pPr>
        <w:spacing w:after="0" w:line="166"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SECTION 7.05 Bankruptcy. Each Guarantor unconditionally and irrevocably guarantees the payment of any and all of the Guaranteed Obligations of the Borrower to the Lenders whether or not due or payable by the Borrower upon the occurrence of any of the events specified in Section 6.01(f), and unconditionally promises to pay such Debt to the Lenders, or order, on demand, in Dollars.</w:t>
      </w:r>
    </w:p>
    <w:p>
      <w:pPr>
        <w:spacing w:after="0" w:line="175"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SECTION 7.06 Independent Obligation. The obligations of each Guarantor hereunder are independent of the obligations of any other Credit Party, and a separate action or actions may be brought and prosecuted against each Guarantor whether or not an action is brought against any other Credit Party and whether or not any other Credit Party be joined in any such action or actions. Each of the Guarantors waives, to the full extent permitted by law, the benefit of any statute of limitations affecting its liability hereunder or the enforcement thereof. Any payment by such Credit Party or other circumstance which operates to toll any statute of limitations as to the Borrower shall operate to toll the statute of limitations as to each of the Guarantors.</w:t>
      </w:r>
    </w:p>
    <w:p>
      <w:pPr>
        <w:spacing w:after="0" w:line="165"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SECTION 7.07 Authorization. Each of the Guarantors authorizes the Lenders without notice or demand (except as shall be required by applicable statute and cannot be waived), and without affecting or impairing its liability hereunder, from time to time to:</w:t>
      </w:r>
    </w:p>
    <w:p>
      <w:pPr>
        <w:spacing w:after="0" w:line="175" w:lineRule="exact"/>
        <w:rPr>
          <w:sz w:val="20"/>
          <w:szCs w:val="20"/>
          <w:color w:val="auto"/>
        </w:rPr>
      </w:pPr>
    </w:p>
    <w:p>
      <w:pPr>
        <w:ind w:right="3319" w:firstLine="447"/>
        <w:spacing w:after="0" w:line="255" w:lineRule="auto"/>
        <w:tabs>
          <w:tab w:leader="none" w:pos="787" w:val="left"/>
        </w:tabs>
        <w:numPr>
          <w:ilvl w:val="0"/>
          <w:numId w:val="2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the manner, place or terms of payment of, and/or change or extend the time of payment of, renew, increase, accelerate or alter, any of the Guaranteed Obligations (including any increase or decrease in the rate of interest thereon), any security therefor, or any liability incurred directly or indirectly in respect thereof, and the Guaranty herein made shall apply to the Guaranteed Obligations as so changed, extended, renewed or altered;</w:t>
      </w:r>
    </w:p>
    <w:p>
      <w:pPr>
        <w:spacing w:after="0" w:line="166" w:lineRule="exact"/>
        <w:rPr>
          <w:rFonts w:ascii="Courier New" w:cs="Courier New" w:eastAsia="Courier New" w:hAnsi="Courier New"/>
          <w:sz w:val="14"/>
          <w:szCs w:val="14"/>
          <w:color w:val="auto"/>
        </w:rPr>
      </w:pPr>
    </w:p>
    <w:p>
      <w:pPr>
        <w:ind w:right="3399" w:firstLine="447"/>
        <w:spacing w:after="0" w:line="255" w:lineRule="auto"/>
        <w:tabs>
          <w:tab w:leader="none" w:pos="787" w:val="left"/>
        </w:tabs>
        <w:numPr>
          <w:ilvl w:val="0"/>
          <w:numId w:val="2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take and hold security for the payment of the Guaranteed Obligations and sell, exchange, release, surrender, realize upon or otherwise deal with in any manner and in any order any property by whomsoever at any time pledged or mortgaged to secure, or howsoever securing, the Guaranteed Obligations or any liabilities (including any of those hereunder) incurred directly or indirectly in respect thereof or hereof, and/or any offset thereagainst;</w:t>
      </w:r>
    </w:p>
    <w:p>
      <w:pPr>
        <w:spacing w:after="0" w:line="166" w:lineRule="exact"/>
        <w:rPr>
          <w:rFonts w:ascii="Courier New" w:cs="Courier New" w:eastAsia="Courier New" w:hAnsi="Courier New"/>
          <w:sz w:val="14"/>
          <w:szCs w:val="14"/>
          <w:color w:val="auto"/>
        </w:rPr>
      </w:pPr>
    </w:p>
    <w:p>
      <w:pPr>
        <w:ind w:right="3499" w:firstLine="447"/>
        <w:spacing w:after="0" w:line="261" w:lineRule="auto"/>
        <w:tabs>
          <w:tab w:leader="none" w:pos="787" w:val="left"/>
        </w:tabs>
        <w:numPr>
          <w:ilvl w:val="0"/>
          <w:numId w:val="2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or refrain from exercising any rights against the Borrower, any other Credit Party or others or otherwise act or refrain from acting;</w:t>
      </w:r>
    </w:p>
    <w:p>
      <w:pPr>
        <w:spacing w:after="0" w:line="32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39"/>
          </w:cols>
          <w:pgMar w:left="220" w:top="623" w:right="1440" w:bottom="1440" w:gutter="0" w:footer="0" w:header="0"/>
        </w:sectPr>
      </w:pPr>
    </w:p>
    <w:bookmarkStart w:id="259" w:name="page260"/>
    <w:bookmarkEnd w:id="259"/>
    <w:p>
      <w:pPr>
        <w:ind w:left="-10" w:right="3839" w:firstLine="447"/>
        <w:spacing w:after="0" w:line="234" w:lineRule="auto"/>
        <w:tabs>
          <w:tab w:leader="none" w:pos="777" w:val="left"/>
        </w:tabs>
        <w:numPr>
          <w:ilvl w:val="0"/>
          <w:numId w:val="2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release or substitute any one or more endorsers, Guarantors, the Borrower, any other Credit Parties or other obligors;</w:t>
      </w:r>
    </w:p>
    <w:p>
      <w:pPr>
        <w:spacing w:after="0" w:line="173" w:lineRule="exact"/>
        <w:rPr>
          <w:rFonts w:ascii="Courier New" w:cs="Courier New" w:eastAsia="Courier New" w:hAnsi="Courier New"/>
          <w:sz w:val="15"/>
          <w:szCs w:val="15"/>
          <w:color w:val="auto"/>
        </w:rPr>
      </w:pPr>
    </w:p>
    <w:p>
      <w:pPr>
        <w:ind w:left="-10" w:right="3319" w:firstLine="447"/>
        <w:spacing w:after="0" w:line="236" w:lineRule="auto"/>
        <w:tabs>
          <w:tab w:leader="none" w:pos="777" w:val="left"/>
        </w:tabs>
        <w:numPr>
          <w:ilvl w:val="0"/>
          <w:numId w:val="2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settle or compromise any of the Guaranteed Obligations, any security therefor or any liability (including any of those hereunder) incurred directly or indirectly in respect thereof or hereof, and may subordinate the payment of all or any part thereof to the payment of any liability (whether due or not) of the Borrower to its creditors other than the Lenders;</w:t>
      </w:r>
    </w:p>
    <w:p>
      <w:pPr>
        <w:spacing w:after="0" w:line="173" w:lineRule="exact"/>
        <w:rPr>
          <w:rFonts w:ascii="Courier New" w:cs="Courier New" w:eastAsia="Courier New" w:hAnsi="Courier New"/>
          <w:sz w:val="15"/>
          <w:szCs w:val="15"/>
          <w:color w:val="auto"/>
        </w:rPr>
      </w:pPr>
    </w:p>
    <w:p>
      <w:pPr>
        <w:ind w:left="-10" w:right="3399" w:firstLine="447"/>
        <w:spacing w:after="0" w:line="258" w:lineRule="auto"/>
        <w:tabs>
          <w:tab w:leader="none" w:pos="777" w:val="left"/>
        </w:tabs>
        <w:numPr>
          <w:ilvl w:val="0"/>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apply any sums by whomsoever paid or howsoever realized to any liability or liabilities of any Credit Party to the Lenders regardless of what liability or liabilities of such Guarantor or the Borrower remain unpaid;</w:t>
      </w:r>
    </w:p>
    <w:p>
      <w:pPr>
        <w:spacing w:after="0" w:line="161" w:lineRule="exact"/>
        <w:rPr>
          <w:rFonts w:ascii="Courier New" w:cs="Courier New" w:eastAsia="Courier New" w:hAnsi="Courier New"/>
          <w:sz w:val="14"/>
          <w:szCs w:val="14"/>
          <w:color w:val="auto"/>
        </w:rPr>
      </w:pPr>
    </w:p>
    <w:p>
      <w:pPr>
        <w:jc w:val="both"/>
        <w:ind w:left="-10" w:right="3679" w:firstLine="447"/>
        <w:spacing w:after="0" w:line="236" w:lineRule="auto"/>
        <w:tabs>
          <w:tab w:leader="none" w:pos="777" w:val="left"/>
        </w:tabs>
        <w:numPr>
          <w:ilvl w:val="0"/>
          <w:numId w:val="2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 to or waive any breach of, or any act, omission or default under, this Agreement, any other Loan Document or any of the instruments or agreements referred to herein or therein, or otherwise amend, modify or supplement this Agreement, any other Loan Document or any of such other instruments or agreements; and/or</w:t>
      </w:r>
    </w:p>
    <w:p>
      <w:pPr>
        <w:spacing w:after="0" w:line="173" w:lineRule="exact"/>
        <w:rPr>
          <w:rFonts w:ascii="Courier New" w:cs="Courier New" w:eastAsia="Courier New" w:hAnsi="Courier New"/>
          <w:sz w:val="15"/>
          <w:szCs w:val="15"/>
          <w:color w:val="auto"/>
        </w:rPr>
      </w:pPr>
    </w:p>
    <w:p>
      <w:pPr>
        <w:ind w:left="-10" w:right="3759" w:firstLine="447"/>
        <w:spacing w:after="0" w:line="235" w:lineRule="auto"/>
        <w:tabs>
          <w:tab w:leader="none" w:pos="777" w:val="left"/>
        </w:tabs>
        <w:numPr>
          <w:ilvl w:val="0"/>
          <w:numId w:val="2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any other action which would, under otherwise applicable principles of common law, give rise to a legal or equitable discharge of a Guarantor from its liabilities under this Guaranty.</w:t>
      </w:r>
    </w:p>
    <w:p>
      <w:pPr>
        <w:spacing w:after="0" w:line="173" w:lineRule="exact"/>
        <w:rPr>
          <w:rFonts w:ascii="Courier New" w:cs="Courier New" w:eastAsia="Courier New" w:hAnsi="Courier New"/>
          <w:sz w:val="15"/>
          <w:szCs w:val="15"/>
          <w:color w:val="auto"/>
        </w:rPr>
      </w:pPr>
    </w:p>
    <w:p>
      <w:pPr>
        <w:ind w:left="-10" w:right="3399" w:firstLine="447"/>
        <w:spacing w:after="0" w:line="236" w:lineRule="auto"/>
        <w:tabs>
          <w:tab w:leader="none" w:pos="777" w:val="left"/>
        </w:tabs>
        <w:numPr>
          <w:ilvl w:val="0"/>
          <w:numId w:val="2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Reliance. It is not necessary for any Lender to inquire into the capacity or powers of a Guarantor or any of its Subsidiaries or the officers, directors, partners or agents acting or purporting to act on their behalf, and any Guaranteed Obligations made or created in reliance upon the professed exercise of such powers shall be guaranteed hereunder.</w:t>
      </w:r>
    </w:p>
    <w:p>
      <w:pPr>
        <w:spacing w:after="0" w:line="167" w:lineRule="exact"/>
        <w:rPr>
          <w:sz w:val="20"/>
          <w:szCs w:val="20"/>
          <w:color w:val="auto"/>
        </w:rPr>
      </w:pPr>
    </w:p>
    <w:p>
      <w:pPr>
        <w:ind w:left="430"/>
        <w:spacing w:after="0"/>
        <w:rPr>
          <w:sz w:val="20"/>
          <w:szCs w:val="20"/>
          <w:color w:val="auto"/>
        </w:rPr>
      </w:pPr>
      <w:r>
        <w:rPr>
          <w:rFonts w:ascii="Courier New" w:cs="Courier New" w:eastAsia="Courier New" w:hAnsi="Courier New"/>
          <w:sz w:val="15"/>
          <w:szCs w:val="15"/>
          <w:color w:val="auto"/>
        </w:rPr>
        <w:t>SECTION 7.09 Waiver.</w:t>
      </w:r>
    </w:p>
    <w:p>
      <w:pPr>
        <w:spacing w:after="0" w:line="173" w:lineRule="exact"/>
        <w:rPr>
          <w:sz w:val="20"/>
          <w:szCs w:val="20"/>
          <w:color w:val="auto"/>
        </w:rPr>
      </w:pPr>
    </w:p>
    <w:p>
      <w:pPr>
        <w:ind w:left="-10" w:right="3579" w:firstLine="447"/>
        <w:spacing w:after="0" w:line="254" w:lineRule="auto"/>
        <w:tabs>
          <w:tab w:leader="none" w:pos="777" w:val="left"/>
        </w:tabs>
        <w:numPr>
          <w:ilvl w:val="1"/>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Guarantor waives any right (except as shall be required by applicable law and cannot be waived) to require any Lender to (i) proceed against any other Credit Party or any other party, (ii) proceed against or exhaust any security held from any other Credit Party, or any other party or</w:t>
      </w:r>
    </w:p>
    <w:p>
      <w:pPr>
        <w:spacing w:after="0" w:line="1" w:lineRule="exact"/>
        <w:rPr>
          <w:rFonts w:ascii="Courier New" w:cs="Courier New" w:eastAsia="Courier New" w:hAnsi="Courier New"/>
          <w:sz w:val="14"/>
          <w:szCs w:val="14"/>
          <w:color w:val="auto"/>
        </w:rPr>
      </w:pPr>
    </w:p>
    <w:p>
      <w:pPr>
        <w:ind w:left="-10" w:right="3239" w:firstLine="10"/>
        <w:spacing w:after="0" w:line="237" w:lineRule="auto"/>
        <w:tabs>
          <w:tab w:leader="none" w:pos="515" w:val="left"/>
        </w:tabs>
        <w:numPr>
          <w:ilvl w:val="0"/>
          <w:numId w:val="2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pursue any other remedy in any Lender's power whatsoever. Each Guarantor waives any defense based on or arising out of any defense of any other Credit Party or any other party, other than payment in full of the Guaranteed Obligations, based on or arising out of the disability of any other Credit Party or any other party, or the validity, legality or unenforceability of the Guaranteed Obligations or any part thereof from any cause, or the cessation from any cause of the liability of any other Credit Party or any other party other than payment in full of the Guaranteed Obligations. The Lenders may, at their election, exercise any right or remedy the Lenders may have against any other Credit Party or any other party, or any security, without affecting or impairing in any way the liability of the Guarantors hereunder except to the extent the Guaranteed Obligations have been paid. Each Guarantor waives any defense arising out of any such election by the Lenders, even though such election operates to impair or extinguish any right of reimbursement or subrogation or other right or remedy of a Guarantor against any other Credit Party or any other party or any security.</w:t>
      </w:r>
    </w:p>
    <w:p>
      <w:pPr>
        <w:spacing w:after="0" w:line="174" w:lineRule="exact"/>
        <w:rPr>
          <w:rFonts w:ascii="Courier New" w:cs="Courier New" w:eastAsia="Courier New" w:hAnsi="Courier New"/>
          <w:sz w:val="15"/>
          <w:szCs w:val="15"/>
          <w:color w:val="auto"/>
        </w:rPr>
      </w:pPr>
    </w:p>
    <w:p>
      <w:pPr>
        <w:ind w:left="-10" w:right="3239" w:firstLine="447"/>
        <w:spacing w:after="0" w:line="255" w:lineRule="auto"/>
        <w:tabs>
          <w:tab w:leader="none" w:pos="777" w:val="left"/>
        </w:tabs>
        <w:numPr>
          <w:ilvl w:val="1"/>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Guarantor waives all presentments, demands for performance, protests and notices, including, without limitation, notices of nonperformance, notices of protest, notices of dishonor, notices of acceptance of this Guaranty, and notices of the existence, creation or incurring of new or additional Guaranteed Obligations. Each Guarantor assumes all responsibility for being and keeping itself informed of each Credit Party's financial condition and assets, and of all other circumstances bearing upon the risk of nonpayment of the Guaranteed Obligations and the nature, scope and extent of the risks which such Guarantor assumes and incurs hereunder, and agrees that the Administrative Agent and the Lenders shall have no duty to advise such Guarantor of information known to them regarding such circumstances or risks.</w:t>
      </w:r>
    </w:p>
    <w:p>
      <w:pPr>
        <w:spacing w:after="0" w:line="158"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29"/>
          </w:cols>
          <w:pgMar w:left="230" w:top="792" w:right="1440" w:bottom="1440" w:gutter="0" w:footer="0" w:header="0"/>
        </w:sectPr>
      </w:pPr>
    </w:p>
    <w:bookmarkStart w:id="260" w:name="page261"/>
    <w:bookmarkEnd w:id="260"/>
    <w:p>
      <w:pPr>
        <w:ind w:right="3499" w:firstLine="447"/>
        <w:spacing w:after="0" w:line="235" w:lineRule="auto"/>
        <w:tabs>
          <w:tab w:leader="none" w:pos="787" w:val="left"/>
        </w:tabs>
        <w:numPr>
          <w:ilvl w:val="0"/>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Guarantor irrevocably waives Articles 2814, 2815, 2816, 2817, 2818, 2819, 2820, 2821, 2822, 2823, 2830, 2836, 2837, 2839, 2840, 2841, 2842, 2845 and 2846 of the Federal Civil Code of Mexico.</w:t>
      </w:r>
    </w:p>
    <w:p>
      <w:pPr>
        <w:spacing w:after="0" w:line="173" w:lineRule="exact"/>
        <w:rPr>
          <w:rFonts w:ascii="Courier New" w:cs="Courier New" w:eastAsia="Courier New" w:hAnsi="Courier New"/>
          <w:sz w:val="15"/>
          <w:szCs w:val="15"/>
          <w:color w:val="auto"/>
        </w:rPr>
      </w:pPr>
    </w:p>
    <w:p>
      <w:pPr>
        <w:ind w:right="3319" w:firstLine="447"/>
        <w:spacing w:after="0" w:line="236" w:lineRule="auto"/>
        <w:tabs>
          <w:tab w:leader="none" w:pos="787" w:val="left"/>
        </w:tabs>
        <w:numPr>
          <w:ilvl w:val="0"/>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Guarantor warrants and agrees that each of the waivers set forth above is made with full knowledge of its significance and consequences and that if any of such waivers are determined to be contrary to any applicable law or public policy, such waivers shall be effective only to the maximum extent permitted by law.</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7.10 Nature of Liability. It is the desire and intent of each of the Guarantors and the Lenders that this Guaranty shall be enforced against the Guarantors to the fullest extent permissible under the laws and public policies applied in each jurisdiction in which enforcement is sought. If, however, and to the extent that, the obligations of a Guarantor under this Guaranty shall be adjudicated to be invalid or unenforceable for any reason then the amount of such Guarantor's obligations under this Guaranty shall be deemed to be reduced and such Guarantor shall pay the maximum amount of the Guaranteed Obligations which would be permissible under applicable law.</w:t>
      </w:r>
    </w:p>
    <w:p>
      <w:pPr>
        <w:spacing w:after="0" w:line="172"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VIII</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THE ADMINISTRATIVE AGENT</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SECTION 8.01 Authorization and Action. Each Lender hereby appoints and authorizes the Administrative Agent to take such action as agent on its behalf and to exercise such powers and discretion under this Agreement and the other Loan Documents as are delegated to the Administrative Agent by the terms hereof, together with such powers and discretion as are reasonably incidental thereto. Notwithstanding any provision to the contrary contained elsewhere in this Agreement or in any other Loan Document, the Administrative Agent shall not have any duties or responsibilities, except those expressly set forth herein, nor shall the Administrative Agent have or be deemed to have any fiduciary relationship with any Lender, and no implied covenants, functions, responsibilities, duties, obligations or liabilities shall be read into this Agreement or any other Loan Document or otherwise exist against the Administrative Agent. As to any matters not expressly provided for by the Loan Documents (including, without limitation, enforcement or collection of the Notes), the Administrative Agent shall not be required to exercise any discretion or take any action, but shall be required to act or to refrain from acting (and shall be fully protected in so acting or refraining from acting) upon the instructions of the Required Lenders, and such instructions shall be binding upon all Lenders and all holders of Notes; provided, however, that the Administrative Agent shall not be required to take any action that exposes the Administrative Agent to personal liability or that is contrary to this Agreement or applicable law. The Administrative Agent agrees to give to each Lender prompt notice of each notice given to it by the Borrower pursuant to the terms of this Agreement.</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39"/>
          </w:cols>
          <w:pgMar w:left="220" w:top="624" w:right="1440" w:bottom="1440" w:gutter="0" w:footer="0" w:header="0"/>
        </w:sectPr>
      </w:pPr>
    </w:p>
    <w:bookmarkStart w:id="261" w:name="page262"/>
    <w:bookmarkEnd w:id="261"/>
    <w:p>
      <w:pPr>
        <w:ind w:left="440"/>
        <w:spacing w:after="0"/>
        <w:rPr>
          <w:sz w:val="20"/>
          <w:szCs w:val="20"/>
          <w:color w:val="auto"/>
        </w:rPr>
      </w:pPr>
      <w:r>
        <w:rPr>
          <w:rFonts w:ascii="Courier New" w:cs="Courier New" w:eastAsia="Courier New" w:hAnsi="Courier New"/>
          <w:sz w:val="15"/>
          <w:szCs w:val="15"/>
          <w:color w:val="auto"/>
        </w:rPr>
        <w:t>SECTION 8.02 Duties and Reliance, Etc.</w:t>
      </w:r>
    </w:p>
    <w:p>
      <w:pPr>
        <w:spacing w:after="0" w:line="173" w:lineRule="exact"/>
        <w:rPr>
          <w:sz w:val="20"/>
          <w:szCs w:val="20"/>
          <w:color w:val="auto"/>
        </w:rPr>
      </w:pPr>
    </w:p>
    <w:p>
      <w:pPr>
        <w:ind w:right="3239" w:firstLine="447"/>
        <w:spacing w:after="0" w:line="254" w:lineRule="auto"/>
        <w:tabs>
          <w:tab w:leader="none" w:pos="787" w:val="left"/>
        </w:tabs>
        <w:numPr>
          <w:ilvl w:val="0"/>
          <w:numId w:val="2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Administrative Agent nor any of its directors, officers, agents or employees shall be liable for any action taken or omitted to be taken by it or them under or in connection with the Loan Documents, except for its or their own gross negligence or willful misconduct, or shall have any fiduciary duty to any Lender. Without limitation of the generality of the foregoing, the Administrative Agent: (i) may treat the payee of any Note as the holder thereof until the Administrative Agent receives and accepts an Assignment and Acceptance entered into by the Lender that is the payee of such Note, as assignor, and an Eligible Assignee, as assignee, as provided in Section 9.07; (ii) may consult with legal counsel (including counsel for the Borrower), independent public accountants and other experts selected by it and shall not be liable for any action taken or omitted to be taken in good faith by it in accordance with the advice of such counsel, accountants or experts; (iii) shall not have any duty to ascertain or to inquire as to the performance or observance of any of the terms, covenants or conditions of any Loan Document on the part of the Borrower or to inspect the property (including the books and records) of the Borrower; and (iv) shall not incur any liability under or in respect of any Loan Document by acting upon any notice, consent, certificate or other instrument or writing (which may be by telegram, telecopy, cable or telex) believed by it to be genuine and signed or sent by the proper party, or parties.</w:t>
      </w:r>
    </w:p>
    <w:p>
      <w:pPr>
        <w:spacing w:after="0" w:line="175" w:lineRule="exact"/>
        <w:rPr>
          <w:rFonts w:ascii="Courier New" w:cs="Courier New" w:eastAsia="Courier New" w:hAnsi="Courier New"/>
          <w:sz w:val="14"/>
          <w:szCs w:val="14"/>
          <w:color w:val="auto"/>
        </w:rPr>
      </w:pPr>
    </w:p>
    <w:p>
      <w:pPr>
        <w:ind w:right="3319" w:firstLine="447"/>
        <w:spacing w:after="0" w:line="236" w:lineRule="auto"/>
        <w:tabs>
          <w:tab w:leader="none" w:pos="787" w:val="left"/>
        </w:tabs>
        <w:numPr>
          <w:ilvl w:val="0"/>
          <w:numId w:val="2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Administrative Agent (i) does not make any warranty or representation to any Lender and shall not be responsible to any Lender for the accuracy or completeness of the Confidential Information, warranties or representations made in or in connection with the Loan Documents and (ii) shall not be responsible to any Lender for the due execution, legality, validity, enforceability, genuineness, sufficiency or value of any Loan Document or any other instrument or document furnished pursuant hereto.</w:t>
      </w:r>
    </w:p>
    <w:p>
      <w:pPr>
        <w:spacing w:after="0" w:line="175" w:lineRule="exact"/>
        <w:rPr>
          <w:rFonts w:ascii="Courier New" w:cs="Courier New" w:eastAsia="Courier New" w:hAnsi="Courier New"/>
          <w:sz w:val="15"/>
          <w:szCs w:val="15"/>
          <w:color w:val="auto"/>
        </w:rPr>
      </w:pPr>
    </w:p>
    <w:p>
      <w:pPr>
        <w:ind w:right="3579" w:firstLine="447"/>
        <w:spacing w:after="0" w:line="261" w:lineRule="auto"/>
        <w:tabs>
          <w:tab w:leader="none" w:pos="787" w:val="left"/>
        </w:tabs>
        <w:numPr>
          <w:ilvl w:val="0"/>
          <w:numId w:val="2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Administrative Agent has no duties hereunder or under the other Loan Documents that are not specifically set forth herein or therein.</w:t>
      </w:r>
    </w:p>
    <w:p>
      <w:pPr>
        <w:spacing w:after="0" w:line="160"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SECTION 8.03 Administrative Agent and Affiliates. With respect to its Commitments, the Advance made by it and the Note issued to it, the Administrative Agent shall have the same rights and powers under the Loan Documents as any other Lender and may exercise the same as though it were not the Administrative Agent; and the term "Lender" or "Lenders" shall, unless otherwise expressly indicated, include the Administrative Agent in its individual capacity as Lender. The Administrative Agent and its Affiliates may accept deposits from, lend money to, act as trustee under indentures of, accept investment banking engagements from and generally engage in any kind of business with the Borrower, any of its Subsidiaries and any Person who may do business with or own securities of the Borrower or any of its Subsidiaries, all as if they were not the Administrative Agent, and without any duty to account therefor to the Lenders. Each Lender acknowledges that, pursuant to such activities, the Administrative Agent and its Affiliates may receive information regarding the Borrower and its Affiliates (including information that may be subject to confidentiality obligations in favor of the Borrower or such Affiliate) and acknowledges that the Administrative Agent shall be under no obligation to provide such information to it.</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39"/>
          </w:cols>
          <w:pgMar w:left="220" w:top="617" w:right="1440" w:bottom="1440" w:gutter="0" w:footer="0" w:header="0"/>
        </w:sectPr>
      </w:pPr>
    </w:p>
    <w:bookmarkStart w:id="262" w:name="page263"/>
    <w:bookmarkEnd w:id="262"/>
    <w:p>
      <w:pPr>
        <w:ind w:right="3319" w:firstLine="437"/>
        <w:spacing w:after="0" w:line="255" w:lineRule="auto"/>
        <w:rPr>
          <w:sz w:val="20"/>
          <w:szCs w:val="20"/>
          <w:color w:val="auto"/>
        </w:rPr>
      </w:pPr>
      <w:r>
        <w:rPr>
          <w:rFonts w:ascii="Courier New" w:cs="Courier New" w:eastAsia="Courier New" w:hAnsi="Courier New"/>
          <w:sz w:val="14"/>
          <w:szCs w:val="14"/>
          <w:color w:val="auto"/>
        </w:rPr>
        <w:t>SECTION 8.04 Lender Credit Decision. Each Lender acknowledges that it has, independently and without reliance upon the Administrative Agent or any other Lender and based on the financial statements referred to in Section 4.05 and such other documents and information as it has deemed appropriate, made its own credit analysis and decision to enter into this Agreement. Each Lender also acknowledges that it will, independently and without reliance upon the Administrative Agent or any other Lender and based on such documents and information as it shall deem appropriate at the time, continue to make its own credit decisions in taking or not taking action under this Agreement.</w:t>
      </w:r>
    </w:p>
    <w:p>
      <w:pPr>
        <w:spacing w:after="0" w:line="16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8.05 Indemnification. Each Lender agrees to indemnify the Administrative Agent (to the extent not promptly reimbursed by the Borrower), ratably according to the principal amount of the Note then held by such Lender (or if no Notes are at the time outstanding, ratably according to the amounts of its Commitment), from and against any and all claims, damages, losses, liabilities and expenses (including, without limitation, reasonable fees and expenses of counsel) that are actually incurred by or asserted or awarded against the Administrative Agent, in each case arising out of or in connection with or in any way relating to the Loan Documents or any action taken or omitted by the Administrative Agent under the Loan Documents; provided, however, that no Lender shall be liable for any portion of such liabilities, obligations, losses, damages, penalties, actions, judgments, suits, costs, expenses or disbursements resulting from the Administrative Agent's gross negligence or willful misconduct. Without limitation of the foregoing, each Lender agrees to reimburse the Administrative Agent promptly upon demand for such Lender's ratable share of any costs and expenses payable by the Borrower to the Administrative Agent under Section 9.04, to the extent that the Administrative Agent is not promptly reimbursed for such costs and expenses by the Borrower.</w:t>
      </w:r>
    </w:p>
    <w:p>
      <w:pPr>
        <w:spacing w:after="0" w:line="17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8.06 Successors to Administrative Agent. The Administrative Agent may at any time assign the rights and obligations hereunder to any of its Affiliates, provided that the Administrative Agent, or a Person owning a majority of the capital stock of the Administrative Agent, owns a majority of the capital stock of such Affiliate, or such Affiliate owns a majority of the capital stock of the Administrative Agent. The Administrative Agent may resign at any time by giving written notice thereof to the Lenders and the Borrower and may be removed at any time with or without cause by the Required Lenders. Upon any such resignation or removal, the Borrower, after consultation with the Required Lenders, shall have the right to appoint a successor Administrative Agent to the Administrative Agent. If no such successor Administrative Agent shall have been so appointed, and shall have accepted such appointment, within 30 days after such retiring Administrative Agent's giving of notice of resignation or the Required Lenders' removal of the retiring Administrative Agent, then such retiring Administrative Agent may, after consultation with the Lenders and the Borrower, appoint a successor Administrative Agent to such Administrative Agent, which shall be an Eligible Assignee or commercial bank organized under the laws of the United States or Mexico, or of any State thereof and having a combined capital and surplus of at least U.S.$250,000,000. Upon the acceptance of any appointment as the Administrative Agent hereunder by such a successor Administrative Agent, such successor Administrative Agent shall succeed to and become vested with all the rights, powers, discretion, privileges and duties of such retiring Administrative Agent, and such retiring Administrative Agent shall be discharged from its duties and obligations under the Loan Documents. After the Administrative Agent's resignation or removal hereunder as such Administrative Agent, the provisions of this Article VIII shall inure to its benefit as to any actions taken or omitted to be taken by it while it was the Administrative Agent under this Agreement.</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39"/>
          </w:cols>
          <w:pgMar w:left="220" w:top="624" w:right="1440" w:bottom="1440" w:gutter="0" w:footer="0" w:header="0"/>
        </w:sectPr>
      </w:pPr>
    </w:p>
    <w:bookmarkStart w:id="263" w:name="page264"/>
    <w:bookmarkEnd w:id="263"/>
    <w:p>
      <w:pPr>
        <w:ind w:right="3239" w:firstLine="437"/>
        <w:spacing w:after="0" w:line="236" w:lineRule="auto"/>
        <w:rPr>
          <w:sz w:val="20"/>
          <w:szCs w:val="20"/>
          <w:color w:val="auto"/>
        </w:rPr>
      </w:pPr>
      <w:r>
        <w:rPr>
          <w:rFonts w:ascii="Courier New" w:cs="Courier New" w:eastAsia="Courier New" w:hAnsi="Courier New"/>
          <w:sz w:val="15"/>
          <w:szCs w:val="15"/>
          <w:color w:val="auto"/>
        </w:rPr>
        <w:t>SECTION 8.07 Documentation Agent; Syndication Agent; Arrangers. The Documentation Agent, the Syndication Agent, the Lead Arranger and the Arrangers, in their respective capacities as such, shall have no duties, responsibilities or liabilities under any Loan Document and shall not have a fiduciary relationship with any Lender.</w:t>
      </w:r>
    </w:p>
    <w:p>
      <w:pPr>
        <w:spacing w:after="0" w:line="16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IX</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MISCELLANEOUS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SECTION 9.01 Amendments, Etc. No amendment or waiver of any provision of this Agreement, the Notes or any other Loan Documents, nor consent to any departure by the Borrower therefor, shall in any event be effective unless the same shall be in writing and signed by the Borrower and the Required Lenders, and then such waiver or consent shall be effective only in the specific instance and for the specific purpose for which given; provided, however that no amendment, waiver or consent shall, unless in writing and signed by all Lenders, do any of the following: (i) change the percentage of the Commitments or of the aggregate unpaid principal amount of the Notes, or the number of Lenders, that shall be required for the Lenders or any of them to take any action hereunder or under any other Loan Document; (ii) amend, modify or waive this Section 9.01 or Section 6.01(a); (iii) increase the Commitments of the Lenders; (iv) reduce the principal of, or interest on (including, without limitation, the rate of interest), the Notes or any fees or other amounts payable hereunder; or (v) postpone the Maturity Date or any date fixed for any payment of interest on the Notes or any fees or other amounts payable hereunder; and provided, however, that no amendment, waiver or consent shall, unless in writing and signed by the Administrative Agent in addition to the Lenders required above to take such action, affect the rights or duties of the Administrative Agent under this Agreement or any Note.</w:t>
      </w:r>
    </w:p>
    <w:p>
      <w:pPr>
        <w:spacing w:after="0" w:line="17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9.02 Notices, Etc. All notices and other communications provided for hereunder shall be in writing and in English (including telegraphic, facsimile or telex communication) and faxed, telexed or delivered, if to a Credit Party, at its address set forth opposite its signature on the signature pages hereto; if to any Lender, at its Lending Office specified opposite its name on Annex I hereto or in the Assignment and Acceptance pursuant to which it became a Lender; and if to the Administrative Agent, at its address set forth opposite its signature on the signature pages hereto; or, as to a Credit Party or the Administrative Agent, at such other address as shall be designated by any such party in a written notice to the other parties and, as to each other party, at such other address as shall be designated by such party in a written notice to the Borrower and the Administrative Agent. All such notices and communications shall, when faxed or telexed, be effective when transmitted by facsimile or confirmed by telex answerback, respectively, except that notices and communications to the Administrative Agent pursuant to Articles II, III or VIII shall not be effective until received by the Administrative Agent.</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39"/>
          </w:cols>
          <w:pgMar w:left="220" w:top="624" w:right="1440" w:bottom="1440" w:gutter="0" w:footer="0" w:header="0"/>
        </w:sectPr>
      </w:pPr>
    </w:p>
    <w:bookmarkStart w:id="264" w:name="page265"/>
    <w:bookmarkEnd w:id="264"/>
    <w:p>
      <w:pPr>
        <w:ind w:right="3239" w:firstLine="437"/>
        <w:spacing w:after="0" w:line="236" w:lineRule="auto"/>
        <w:rPr>
          <w:sz w:val="20"/>
          <w:szCs w:val="20"/>
          <w:color w:val="auto"/>
        </w:rPr>
      </w:pPr>
      <w:r>
        <w:rPr>
          <w:rFonts w:ascii="Courier New" w:cs="Courier New" w:eastAsia="Courier New" w:hAnsi="Courier New"/>
          <w:sz w:val="15"/>
          <w:szCs w:val="15"/>
          <w:color w:val="auto"/>
        </w:rPr>
        <w:t>SECTION 9.03 No Waiver, Remedies. No failure on the part of any Lender or the Administrative Agent to exercise, and no delay in exercising, any right hereunder or under any Note or any other Loan Document shall operate as a waiver thereof; nor shall any single or partial exercise of any such right preclude any other or further exercise thereof or the exercise of any other right. The remedies herein and therein provided are cumulative and not exclusive of any remedies provided by law.</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9.04 Costs, Expenses and Indemnification.</w:t>
      </w:r>
    </w:p>
    <w:p>
      <w:pPr>
        <w:spacing w:after="0" w:line="173" w:lineRule="exact"/>
        <w:rPr>
          <w:sz w:val="20"/>
          <w:szCs w:val="20"/>
          <w:color w:val="auto"/>
        </w:rPr>
      </w:pPr>
    </w:p>
    <w:p>
      <w:pPr>
        <w:ind w:right="3239" w:firstLine="447"/>
        <w:spacing w:after="0" w:line="237" w:lineRule="auto"/>
        <w:tabs>
          <w:tab w:leader="none" w:pos="787" w:val="left"/>
        </w:tabs>
        <w:numPr>
          <w:ilvl w:val="0"/>
          <w:numId w:val="2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agrees to pay on demand (whether or not the transactions contemplated by this Agreement are consummated) (i) all reasonable and documented costs and out-of-pocket expenses of the Administrative Agent and the Lead Arranger in connection with the preparation, execution, delivery, administration, syndication, modification and amendment of the Loan Documents, and the reasonable fees and expenses of counsel with respect thereto pursuant to the Fee Letter, and (ii) all reasonable and documented costs and out-of-pocket expenses of the Administrative Agent and the Lenders in connection with the enforcement of the Loan Documents, whether in any action, suit or litigation, any bankruptcy, insolvency or other similar proceeding affecting creditors' rights generally or otherwise (including, without limitation, the reasonable fees and expenses of counsel for the Administrative Agent and each Lender with respect thereto).</w:t>
      </w:r>
    </w:p>
    <w:p>
      <w:pPr>
        <w:spacing w:after="0" w:line="173" w:lineRule="exact"/>
        <w:rPr>
          <w:rFonts w:ascii="Courier New" w:cs="Courier New" w:eastAsia="Courier New" w:hAnsi="Courier New"/>
          <w:sz w:val="15"/>
          <w:szCs w:val="15"/>
          <w:color w:val="auto"/>
        </w:rPr>
      </w:pPr>
    </w:p>
    <w:p>
      <w:pPr>
        <w:ind w:right="3239" w:firstLine="447"/>
        <w:spacing w:after="0" w:line="237" w:lineRule="auto"/>
        <w:tabs>
          <w:tab w:leader="none" w:pos="787" w:val="left"/>
        </w:tabs>
        <w:numPr>
          <w:ilvl w:val="0"/>
          <w:numId w:val="2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agrees to indemnify and hold harmless the Administrative Agent and each Lender and each of their Affiliates and their officers, directors, employees, agents and advisors (each, an "Indemnified Party") from and against any and all claims, damages, losses, liabilities and expenses (including, without limitation, reasonable and documented fees and expenses of counsel and settlement costs) (excluding, however, consequential damages) that are actually incurred by or asserted or awarded against any Indemnified Party, in each case arising out of or in connection with or by reason of, or in connection with the preparation for a defense of, any investigation, litigation or proceeding arising out of, related to or in connection with (i) the Borrower's use of the proceeds of any Advance, (ii) the actual or alleged presence of Hazardous Materials on any property of the Borrower or any of its Subsidiaries or any Environmental Action relating in any way to the Borrower or any of its Subsidiaries or (iii) the Facility or Loan Documents or any Indemnified Party's role in connection therewith, in each case whether or not such investigation, litigation or proceeding is brought by the Borrower or any of its Subsidiaries, directors, shareholders or creditors or an Indemnified Party, whether or not any Indemnified Party is otherwise a party thereto and whether or not the transactions contemplated hereby are consummated, except to the extent such claim, damage, loss, liability or expense is found by a court of competent jurisdiction to have resulted from such Indemnified Party's gross negligence or willful misconduct.</w:t>
      </w:r>
    </w:p>
    <w:p>
      <w:pPr>
        <w:spacing w:after="0" w:line="177" w:lineRule="exact"/>
        <w:rPr>
          <w:rFonts w:ascii="Courier New" w:cs="Courier New" w:eastAsia="Courier New" w:hAnsi="Courier New"/>
          <w:sz w:val="15"/>
          <w:szCs w:val="15"/>
          <w:color w:val="auto"/>
        </w:rPr>
      </w:pPr>
    </w:p>
    <w:p>
      <w:pPr>
        <w:ind w:right="3319" w:firstLine="447"/>
        <w:spacing w:after="0" w:line="236" w:lineRule="auto"/>
        <w:tabs>
          <w:tab w:leader="none" w:pos="787" w:val="left"/>
        </w:tabs>
        <w:numPr>
          <w:ilvl w:val="0"/>
          <w:numId w:val="2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Borrower fails to pay when due any costs, expenses or other amounts payable by it under any Loan Document, including, without limitation, fees and expenses of counsel and indemnities, such amount may be paid on behalf of the Borrower by the Administrative Agent or any Lender, in its sole discretion, and such amount shall be reimbursed by the Borrower.</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39"/>
          </w:cols>
          <w:pgMar w:left="220" w:top="624" w:right="1440" w:bottom="1440" w:gutter="0" w:footer="0" w:header="0"/>
        </w:sectPr>
      </w:pPr>
    </w:p>
    <w:bookmarkStart w:id="265" w:name="page266"/>
    <w:bookmarkEnd w:id="265"/>
    <w:p>
      <w:pPr>
        <w:ind w:right="3239" w:firstLine="437"/>
        <w:spacing w:after="0" w:line="255" w:lineRule="auto"/>
        <w:rPr>
          <w:sz w:val="20"/>
          <w:szCs w:val="20"/>
          <w:color w:val="auto"/>
        </w:rPr>
      </w:pPr>
      <w:r>
        <w:rPr>
          <w:rFonts w:ascii="Courier New" w:cs="Courier New" w:eastAsia="Courier New" w:hAnsi="Courier New"/>
          <w:sz w:val="14"/>
          <w:szCs w:val="14"/>
          <w:color w:val="auto"/>
        </w:rPr>
        <w:t>SECTION 9.05 Right of Set-off. Upon the occurrence and during the continuance of an Event of Default arising under Section 6.01(a), each Lender is hereby authorized at any time and from time to time, to the fullest extent permitted by law, to set off and otherwise apply any and all deposits (general or special, time or demand, provisional or final, matured or unmatured, in any currency) at any time held and other indebtedness at any time owing by such Lender to or for the credit or the account of any Credit Party against any and all of the Obligations of the Credit Parties now or hereafter existing under this Agreement and the Note held by such Lender. Each Lender agrees promptly to notify the Borrower after any such set-off and application; provided, however, that the failure to give such notice shall not affect the validity of such set-off and application. The rights of each Lender under this Section 9.05 are in addition to other rights and remedies (including, without limitation, other rights of set-off) that such Lender may have.</w:t>
      </w:r>
    </w:p>
    <w:p>
      <w:pPr>
        <w:spacing w:after="0" w:line="332"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9.06 Binding Effect. This Agreement shall become effective on the date (the "Effective Date") on which the Agreement shall have been executed by the Borrower, the Guarantors, the Lead Arranger, the Arrangers, the Documentation Agent, the Syndication Agent and the Administrative Agent and when the Administrative Agent shall have been notified by each Lender that such Lender has executed it and thereafter shall be binding upon and inure to the benefit of the Borrower, the Administrative Agent, the Lead Arranger, the Arrangers, the Documentation Agent and the Syndication Agent and each Lender and their respective successors and assigns, except that the Borrower shall not have the right to assign its rights hereunder or any interest herein without the prior written consent of all of the Lenders.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9.07 Assignments and Participations.</w:t>
      </w:r>
    </w:p>
    <w:p>
      <w:pPr>
        <w:spacing w:after="0" w:line="173" w:lineRule="exact"/>
        <w:rPr>
          <w:sz w:val="20"/>
          <w:szCs w:val="20"/>
          <w:color w:val="auto"/>
        </w:rPr>
      </w:pPr>
    </w:p>
    <w:p>
      <w:pPr>
        <w:ind w:right="3239" w:firstLine="447"/>
        <w:spacing w:after="0" w:line="254" w:lineRule="auto"/>
        <w:tabs>
          <w:tab w:leader="none" w:pos="787" w:val="left"/>
        </w:tabs>
        <w:numPr>
          <w:ilvl w:val="1"/>
          <w:numId w:val="2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Lender may assign to one or more Eligible Assignees all or a portion of its rights and obligations under this Agreement (including, without limitation, all or a portion of the Advance owing to it and the Note held by it); provided, however, that (i) each such assignment shall be of a uniform, and not a varying, percentage of all rights and obligations under this Agreement,</w:t>
      </w:r>
    </w:p>
    <w:p>
      <w:pPr>
        <w:spacing w:after="0" w:line="1" w:lineRule="exact"/>
        <w:rPr>
          <w:rFonts w:ascii="Courier New" w:cs="Courier New" w:eastAsia="Courier New" w:hAnsi="Courier New"/>
          <w:sz w:val="14"/>
          <w:szCs w:val="14"/>
          <w:color w:val="auto"/>
        </w:rPr>
      </w:pPr>
    </w:p>
    <w:p>
      <w:pPr>
        <w:ind w:right="3239" w:firstLine="10"/>
        <w:spacing w:after="0" w:line="254" w:lineRule="auto"/>
        <w:tabs>
          <w:tab w:leader="none" w:pos="437" w:val="left"/>
        </w:tabs>
        <w:numPr>
          <w:ilvl w:val="0"/>
          <w:numId w:val="2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in the case of an assignment to a Person that, immediately prior to such assignment, was a Lender or an assignment of all of a Lender's rights and obligations under this Agreement, the aggregate amount of the Advance of the assigning Lender being assigned pursuant to each such assignment (determined as of the date of the Assignment and Acceptance with respect to such assignment) shall in no event be less than U.S.$5,000,000 and increments of U.S.$2,000,000 in excess thereof, and (iii) the parties to each such assignment shall execute and deliver to the Administrative Agent, for its acceptance (such acceptance not to be withheld if the conditions set forth above in this Section 9.07 are satisfied) and recording in the Register, an Assignment and Acceptance, together with any Note subject to such assignment and a processing and recordation fee of U.S.$3,000. Upon such execution, delivery, acceptance and recording, from and after the effective date specified in such Assignment and Acceptance, (x) the assignee thereunder shall be a party hereto and, to the extent that rights and obligations hereunder have been assigned to it pursuant to such Assignment and Acceptance, have the rights and obligations of a Lender hereunder and (y) the Lender assignor thereunder shall, to the extent that rights and obligations hereunder have been assigned by it pursuant to such Assignment and Acceptance, relinquish its rights and be released from its obligations under this Agreement (and, in the case of an Assignment and Acceptance covering all or the remaining portion of an assigning Lender's rights and obligations under this Agreement, such Lender shall cease to be a party hereto).</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39"/>
          </w:cols>
          <w:pgMar w:left="220" w:top="623" w:right="1440" w:bottom="1440" w:gutter="0" w:footer="0" w:header="0"/>
        </w:sectPr>
      </w:pPr>
    </w:p>
    <w:bookmarkStart w:id="266" w:name="page267"/>
    <w:bookmarkEnd w:id="266"/>
    <w:p>
      <w:pPr>
        <w:ind w:left="-10" w:right="3239" w:firstLine="447"/>
        <w:spacing w:after="0" w:line="254" w:lineRule="auto"/>
        <w:tabs>
          <w:tab w:leader="none" w:pos="777" w:val="left"/>
        </w:tabs>
        <w:numPr>
          <w:ilvl w:val="1"/>
          <w:numId w:val="2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executing and delivering an Assignment and Acceptance, the Lender assignor thereunder and the Eligible Assignee thereunder confirm to and agree with each other and the other parties hereto as follows: (i) other than as provided in such Assignment and Acceptance, such assigning Lender makes no representation or warranty and assumes no responsibility with respect to any statements, warranties or representations made in or in connection with this Agreement or any other Loan Document or the execution, legality, validity, enforceability, genuineness, sufficiency or value of this Agreement, any other Loan Document, or any other instrument or document furnished pursuant hereto or thereto; (ii) such assigning Lender makes no representation or warranty and assumes no responsibility with respect to the financial condition of the Borrower or any of its Subsidiaries or with respect to the performance or observance by the Borrower or any of its Subsidiaries of any of its obligations under this Agreement or any other Loan Document or any other instrument or document furnished pursuant hereto or thereto; (iii) such Eligible Assignee confirms that it has received a copy of this Agreement and each other Loan Document, together with copies of the financial statements referred to in Section 4.05 and such other documents and information as it has deemed appropriate to make its own credit analysis and decision to enter into such Assignment and Acceptance; (iv) such Eligible Assignee will, independently and without reliance upon the Administrative Agent, such assigning Lender or any other Lender and based on such documents and information as it shall deem appropriate at the time, continue to make its own credit decisions in taking or not taking action under this Agreement; (v) such Eligible Assignee confirms that it is an Eligible Assignee; (vi) such Eligible Assignee appoints and authorizes the Administrative Agent to take such action as agent on its behalf and to exercise such powers and discretion under this Agreement as are delegated to the Administrative Agent by the terms hereof, together with such powers and discretion as are reasonably incidental thereto; (vii) such Eligible Assignee agrees to be bound by the terms of this Agreement; and (viii) such Eligible Assignee represents and warrants that on and as of the date of the Assignment and Acceptance it either (i) is a Registered Bank, and is a resident (or its principal office is a resident, if such Assignee's applicable Lending Office is a branch or agency of such Assignee) for tax purposes in a jurisdiction with which Mexico has in effect a treaty for the avoidance of double taxation, or</w:t>
      </w:r>
    </w:p>
    <w:p>
      <w:pPr>
        <w:spacing w:after="0" w:line="175" w:lineRule="exact"/>
        <w:rPr>
          <w:rFonts w:ascii="Courier New" w:cs="Courier New" w:eastAsia="Courier New" w:hAnsi="Courier New"/>
          <w:sz w:val="14"/>
          <w:szCs w:val="14"/>
          <w:color w:val="auto"/>
        </w:rPr>
      </w:pPr>
    </w:p>
    <w:p>
      <w:pPr>
        <w:ind w:left="430" w:hanging="430"/>
        <w:spacing w:after="0" w:line="237" w:lineRule="auto"/>
        <w:tabs>
          <w:tab w:leader="none" w:pos="430" w:val="left"/>
        </w:tabs>
        <w:numPr>
          <w:ilvl w:val="0"/>
          <w:numId w:val="2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a Mexican Bank.</w:t>
      </w:r>
    </w:p>
    <w:p>
      <w:pPr>
        <w:spacing w:after="0" w:line="173" w:lineRule="exact"/>
        <w:rPr>
          <w:rFonts w:ascii="Courier New" w:cs="Courier New" w:eastAsia="Courier New" w:hAnsi="Courier New"/>
          <w:sz w:val="15"/>
          <w:szCs w:val="15"/>
          <w:color w:val="auto"/>
        </w:rPr>
      </w:pPr>
    </w:p>
    <w:p>
      <w:pPr>
        <w:ind w:left="-10" w:right="3239" w:firstLine="447"/>
        <w:spacing w:after="0" w:line="236" w:lineRule="auto"/>
        <w:tabs>
          <w:tab w:leader="none" w:pos="777" w:val="left"/>
        </w:tabs>
        <w:numPr>
          <w:ilvl w:val="1"/>
          <w:numId w:val="2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Administrative Agent shall maintain at its address referred to in Section 9.02 a copy of each Assignment and Acceptance delivered to and accepted by it and a register for the recordation of the names and addresses of the Lenders and the principal amount of the Advance owing to each Lender from time to time (the "Register"). The entries in the Register shall be conclusive and binding for all purposes, absent manifest error, and the Borrower, the Administrative Agent and the Lenders may treat each Person whose name is recorded in the Register as a Lender hereunder for all purposes of this Agreement. The Register shall be available for inspection by the Borrower or any Lender at any reasonable time and from time to time upon reasonable prior notice.</w:t>
      </w:r>
    </w:p>
    <w:p>
      <w:pPr>
        <w:spacing w:after="0" w:line="180" w:lineRule="exact"/>
        <w:rPr>
          <w:rFonts w:ascii="Courier New" w:cs="Courier New" w:eastAsia="Courier New" w:hAnsi="Courier New"/>
          <w:sz w:val="15"/>
          <w:szCs w:val="15"/>
          <w:color w:val="auto"/>
        </w:rPr>
      </w:pPr>
    </w:p>
    <w:p>
      <w:pPr>
        <w:ind w:left="-10" w:right="3239" w:firstLine="447"/>
        <w:spacing w:after="0" w:line="255" w:lineRule="auto"/>
        <w:tabs>
          <w:tab w:leader="none" w:pos="777" w:val="left"/>
        </w:tabs>
        <w:numPr>
          <w:ilvl w:val="1"/>
          <w:numId w:val="2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its receipt of an Assignment and Acceptance executed by an assigning Lender and an Eligible Assignee, together with any Note subject to such assignment, the Administrative Agent shall, if such Assignment and Acceptance has been completed and is in substantially the form of Exhibit F hereto, (i) accept such Assignment and Acceptance, (ii) record the information contained therein in the Register and (iii) give prompt notice thereof to the Borrower. Within five Business Days after its receipt of such notice, the Borrower shall execute and deliver to the Administrative Agent in exchange for the surrendered Note a new Note payable to the order of such Eligible Assignee in an amount equal to the Advance assumed by it pursuant to such Assignment and Acceptance and, if the assigning Lender has retained an Advance hereunder, a new Note payable to the order of the assigning Lender in an amount equal to the Advance retained by it hereunder. Such new Note shall be in an aggregate principal amount equal to the aggregate principal amount of such surrendered Note, shall be dated the effective date of such Assignment and Acceptance and shall otherwise be in substantially the form of Exhibit A hereto.</w:t>
      </w:r>
    </w:p>
    <w:p>
      <w:pPr>
        <w:spacing w:after="0" w:line="325"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29"/>
          </w:cols>
          <w:pgMar w:left="230" w:top="624" w:right="1440" w:bottom="1440" w:gutter="0" w:footer="0" w:header="0"/>
        </w:sectPr>
      </w:pPr>
    </w:p>
    <w:bookmarkStart w:id="267" w:name="page268"/>
    <w:bookmarkEnd w:id="267"/>
    <w:p>
      <w:pPr>
        <w:ind w:right="3239" w:firstLine="447"/>
        <w:spacing w:after="0" w:line="254" w:lineRule="auto"/>
        <w:tabs>
          <w:tab w:leader="none" w:pos="787" w:val="left"/>
        </w:tabs>
        <w:numPr>
          <w:ilvl w:val="1"/>
          <w:numId w:val="2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Lender may sell participations in or to all or a portion of its rights and obligations under this Agreement (including, without limitation, all or a portion of its Advance owing to it and the Note held by it); provided, however that (i) such Lender's obligations under this Agreement shall remain unchanged, (ii) such Lender shall remain solely responsible to the other parties hereto for the performance of such obligations, (iii) such Lender shall remain the holder of any such Note for all purposes of this Agreement, (iv) the Borrower, the Administrative Agent and the other Lenders shall continue to deal solely and directly with such Lender in connection with such Lender's rights and obligations under this Agreement, and (v) no participant under any such participation shall have any right to (x) be compensated for Taxes or increased costs in excess of such Lender (or a Registered Lender in the case of EDC) and</w:t>
      </w:r>
    </w:p>
    <w:p>
      <w:pPr>
        <w:spacing w:after="0" w:line="4" w:lineRule="exact"/>
        <w:rPr>
          <w:rFonts w:ascii="Courier New" w:cs="Courier New" w:eastAsia="Courier New" w:hAnsi="Courier New"/>
          <w:sz w:val="14"/>
          <w:szCs w:val="14"/>
          <w:color w:val="auto"/>
        </w:rPr>
      </w:pPr>
    </w:p>
    <w:p>
      <w:pPr>
        <w:ind w:right="3319" w:firstLine="10"/>
        <w:spacing w:after="0" w:line="236" w:lineRule="auto"/>
        <w:tabs>
          <w:tab w:leader="none" w:pos="350" w:val="left"/>
        </w:tabs>
        <w:numPr>
          <w:ilvl w:val="0"/>
          <w:numId w:val="2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approve any amendment or waiver of any provision of any Loan Document, or any consent to any departure by any Borrower therefrom, except to the extent that such amendment, waiver or consent would reduce the principal of, or interest on, the Notes or any fees or other amounts payable hereunder, in each case to the extent subject to such participation, postpone the Maturity Date or any date fixed for any payment of interest on the Notes or any fees or other amounts payable hereunder, in each case to the extent subject to such participation.</w:t>
      </w:r>
    </w:p>
    <w:p>
      <w:pPr>
        <w:spacing w:after="0" w:line="177" w:lineRule="exact"/>
        <w:rPr>
          <w:rFonts w:ascii="Courier New" w:cs="Courier New" w:eastAsia="Courier New" w:hAnsi="Courier New"/>
          <w:sz w:val="15"/>
          <w:szCs w:val="15"/>
          <w:color w:val="auto"/>
        </w:rPr>
      </w:pPr>
    </w:p>
    <w:p>
      <w:pPr>
        <w:ind w:right="3239" w:firstLine="447"/>
        <w:spacing w:after="0" w:line="255" w:lineRule="auto"/>
        <w:tabs>
          <w:tab w:leader="none" w:pos="787" w:val="left"/>
        </w:tabs>
        <w:numPr>
          <w:ilvl w:val="1"/>
          <w:numId w:val="2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notice to the Administrative Agent and the Borrower and notwithstanding any other provision set forth in this Agreement, any Lender may at any time create a security interest in all or any portion of its rights under this Agreement (including, without limitation, the Advance owing to it and the Note held by it) in favor of any Federal Reserve Bank in accordance with Regulation A of the Board of Governors of the U.S. Federal Reserve System.</w:t>
      </w:r>
    </w:p>
    <w:p>
      <w:pPr>
        <w:spacing w:after="0" w:line="166" w:lineRule="exact"/>
        <w:rPr>
          <w:rFonts w:ascii="Courier New" w:cs="Courier New" w:eastAsia="Courier New" w:hAnsi="Courier New"/>
          <w:sz w:val="14"/>
          <w:szCs w:val="14"/>
          <w:color w:val="auto"/>
        </w:rPr>
      </w:pPr>
    </w:p>
    <w:p>
      <w:pPr>
        <w:ind w:right="3239" w:firstLine="447"/>
        <w:spacing w:after="0" w:line="236" w:lineRule="auto"/>
        <w:tabs>
          <w:tab w:leader="none" w:pos="787" w:val="left"/>
        </w:tabs>
        <w:numPr>
          <w:ilvl w:val="1"/>
          <w:numId w:val="2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transferee of any Lender's rights under this Agreement or any other Loan Document through assignment, participation or otherwise shall be entitled to receive any greater payment under Sections 2.08, 2.10, 2.12 or 9.04 than such Lender would have been entitled to receive with respect to the rights transferred.</w:t>
      </w:r>
    </w:p>
    <w:p>
      <w:pPr>
        <w:spacing w:after="0" w:line="174" w:lineRule="exact"/>
        <w:rPr>
          <w:sz w:val="20"/>
          <w:szCs w:val="20"/>
          <w:color w:val="auto"/>
        </w:rPr>
      </w:pPr>
    </w:p>
    <w:p>
      <w:pPr>
        <w:jc w:val="both"/>
        <w:ind w:right="3839" w:firstLine="437"/>
        <w:spacing w:after="0" w:line="261" w:lineRule="auto"/>
        <w:rPr>
          <w:sz w:val="20"/>
          <w:szCs w:val="20"/>
          <w:color w:val="auto"/>
        </w:rPr>
      </w:pPr>
      <w:r>
        <w:rPr>
          <w:rFonts w:ascii="Courier New" w:cs="Courier New" w:eastAsia="Courier New" w:hAnsi="Courier New"/>
          <w:sz w:val="14"/>
          <w:szCs w:val="14"/>
          <w:color w:val="auto"/>
        </w:rPr>
        <w:t>SECTION 9.08 Governing Law. This Agreement shall be governed by, and construed in accordance with, the internal laws of the State of New York.</w:t>
      </w:r>
    </w:p>
    <w:p>
      <w:pPr>
        <w:spacing w:after="0" w:line="160"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SECTION 9.09 Execution in Counterparts; Integration. This Agreement may be executed in any number of counterparts and by different parties hereto in separate counterparts, each of which when so executed shall be deemed to be an original and all of which taken together shall constitute one and the same agreement. Delivery of an executed counterpart of a signature page to this Agreement by facsimile transmission shall be effective as delivery of a manually executed counterpart of this Agreement. This Agreement, together with the Notes, the other Loan Documents and the Fee Letter, constitute the entire agreement and understanding among the parties hereto and supersedes any and all prior agreements and understanding, oral or written, relating to the subject matter hereof. In the event of any conflict between the provisions of this Agreement and the provisions of any of the Notes, the provisions of this Agreement shall prevail.</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39"/>
          </w:cols>
          <w:pgMar w:left="220" w:top="624" w:right="1440" w:bottom="1440" w:gutter="0" w:footer="0" w:header="0"/>
        </w:sectPr>
      </w:pPr>
    </w:p>
    <w:bookmarkStart w:id="268" w:name="page269"/>
    <w:bookmarkEnd w:id="268"/>
    <w:p>
      <w:pPr>
        <w:ind w:right="3319" w:firstLine="437"/>
        <w:spacing w:after="0" w:line="254" w:lineRule="auto"/>
        <w:rPr>
          <w:sz w:val="20"/>
          <w:szCs w:val="20"/>
          <w:color w:val="auto"/>
        </w:rPr>
      </w:pPr>
      <w:r>
        <w:rPr>
          <w:rFonts w:ascii="Courier New" w:cs="Courier New" w:eastAsia="Courier New" w:hAnsi="Courier New"/>
          <w:sz w:val="14"/>
          <w:szCs w:val="14"/>
          <w:color w:val="auto"/>
        </w:rPr>
        <w:t>SECTION 9.10 Confidentiality. Neither the Administrative Agent nor any Lender shall disclose any Confidential Information to any Person without the consent of the Borrower, other than (a) to the Administrative Agent's or such Lender's officers, directors, employees, agents and advisors to the extent necessary and to actual or prospective Eligible Assignees and participants, and then only so long as such Person agrees to keep confidential such information,</w:t>
      </w:r>
    </w:p>
    <w:p>
      <w:pPr>
        <w:spacing w:after="0" w:line="2" w:lineRule="exact"/>
        <w:rPr>
          <w:sz w:val="20"/>
          <w:szCs w:val="20"/>
          <w:color w:val="auto"/>
        </w:rPr>
      </w:pPr>
    </w:p>
    <w:p>
      <w:pPr>
        <w:ind w:right="3399" w:firstLine="10"/>
        <w:spacing w:after="0" w:line="235" w:lineRule="auto"/>
        <w:tabs>
          <w:tab w:leader="none" w:pos="350" w:val="left"/>
        </w:tabs>
        <w:numPr>
          <w:ilvl w:val="0"/>
          <w:numId w:val="2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required by any, law, rule or regulation or judicial process and (c) as requested or required by any state, federal or foreign authority or examiner regulating banks or banking.</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9.11 Judgment Currency.</w:t>
      </w:r>
    </w:p>
    <w:p>
      <w:pPr>
        <w:spacing w:after="0" w:line="173" w:lineRule="exact"/>
        <w:rPr>
          <w:sz w:val="20"/>
          <w:szCs w:val="20"/>
          <w:color w:val="auto"/>
        </w:rPr>
      </w:pPr>
    </w:p>
    <w:p>
      <w:pPr>
        <w:ind w:right="3399" w:firstLine="447"/>
        <w:spacing w:after="0" w:line="255" w:lineRule="auto"/>
        <w:tabs>
          <w:tab w:leader="none" w:pos="787" w:val="left"/>
        </w:tabs>
        <w:numPr>
          <w:ilvl w:val="0"/>
          <w:numId w:val="2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for the purposes of obtaining judgment in any court, it is necessary to convert a sum due hereunder or under the Notes or any other Loan Document in Dollars into another currency (the "Other Currency"), the parties hereto agree, to the fullest extent that they may effectively do so, that the rate of exchange used shall be that at which in accordance with normal banking procedures the Administrative Agent could purchase Dollars in New York City on the Business Day preceding that on which final judgment is given.</w:t>
      </w:r>
    </w:p>
    <w:p>
      <w:pPr>
        <w:spacing w:after="0" w:line="166" w:lineRule="exact"/>
        <w:rPr>
          <w:rFonts w:ascii="Courier New" w:cs="Courier New" w:eastAsia="Courier New" w:hAnsi="Courier New"/>
          <w:sz w:val="14"/>
          <w:szCs w:val="14"/>
          <w:color w:val="auto"/>
        </w:rPr>
      </w:pPr>
    </w:p>
    <w:p>
      <w:pPr>
        <w:ind w:right="3239" w:firstLine="447"/>
        <w:spacing w:after="0" w:line="237" w:lineRule="auto"/>
        <w:tabs>
          <w:tab w:leader="none" w:pos="787" w:val="left"/>
        </w:tabs>
        <w:numPr>
          <w:ilvl w:val="0"/>
          <w:numId w:val="2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obligation of the Credit Parties in respect of any sum due in Dollars from any of them to any Lender or the Administrative Agent hereunder or under the Note held by such Lender shall, notwithstanding any judgment in any Other Currency, be discharged only to the extent that, on the Business Day following receipt by such Lender or the Administrative Agent (as the case may be) of any sum adjudged to be so due in such Other Currency such Lender or the Administrative Agent (as the case may be) may, in accordance with normal banking procedures, purchase Dollars with such Other Currency; if the amount of the Dollars so purchased is less than the sum originally due to such Lender or the Administrative Agent (as the case may be) in Dollars, each of the Credit Parties agrees, as a separate obligation and notwithstanding such judgment, to indemnify such Lender or the Administrative Agent (as the case may be) against such loss, and if the amount of the Dollars so purchased exceeds the sum originally due to any Lender or the Administrative Agent (as the case may be) in Dollars, such Lender or the Administrative Agent (as the case may be) agrees to remit to the Borrower such excess.</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9.12 Consent to Jurisdiction.</w:t>
      </w:r>
    </w:p>
    <w:p>
      <w:pPr>
        <w:spacing w:after="0" w:line="173" w:lineRule="exact"/>
        <w:rPr>
          <w:sz w:val="20"/>
          <w:szCs w:val="20"/>
          <w:color w:val="auto"/>
        </w:rPr>
      </w:pPr>
    </w:p>
    <w:p>
      <w:pPr>
        <w:ind w:right="3239" w:firstLine="447"/>
        <w:spacing w:after="0" w:line="254" w:lineRule="auto"/>
        <w:tabs>
          <w:tab w:leader="none" w:pos="787" w:val="left"/>
        </w:tabs>
        <w:numPr>
          <w:ilvl w:val="0"/>
          <w:numId w:val="2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Persons parties hereto hereby irrevocably submits to the jurisdiction of any New York State or Federal court sitting in the borough of Manhattan in New York City and any appellate court from any thereof and to the courts of its own corporate domicile with respect to actions brought against it as a defendant in any action or proceeding arising out of or relating to this Agreement or any other Loan Document to which such Person is or is to become a party, and such Person hereby irrevocably agrees that all claims in respect of any such action or proceeding may be heard and determined in such New York State court or in such Federal court. Each of the Persons parties hereto hereby irrevocably waives, to the fullest extent it may effectively do so, any objection it may now or hereafter have as to the venue of any such action or proceeding brought in any such court or that such court is an inconvenient forum. Each of the Credit Parties hereby irrevocably appoints CT Corporation System, Inc. (the "Process Agent"), with an office on the date hereof at 111 Eighth Avenue, 13th Floor, New York, NY 10011, United States, as its agent to receive on its behalf and in respect of its property, service of copies of the summons and complaint and any other process which may be served in any such action or proceeding. Such service may be made by delivering a copy of such process to such Credit Party in care of the Process Agent at the Process Agent's above address, and each of the Credit Parties hereby irrevocably authorizes and directs the Process Agent to accept such service on its behalf. Each of the Credit Parties agrees that a final judgment in any such action or proceeding shall be conclusive and may be enforced in other jurisdictions by suit on the judgment or in any other manner provided by law.</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39"/>
          </w:cols>
          <w:pgMar w:left="220" w:top="624" w:right="1440" w:bottom="1440" w:gutter="0" w:footer="0" w:header="0"/>
        </w:sectPr>
      </w:pPr>
    </w:p>
    <w:bookmarkStart w:id="269" w:name="page270"/>
    <w:bookmarkEnd w:id="269"/>
    <w:p>
      <w:pPr>
        <w:ind w:right="3239" w:firstLine="447"/>
        <w:spacing w:after="0" w:line="236" w:lineRule="auto"/>
        <w:tabs>
          <w:tab w:leader="none" w:pos="787" w:val="left"/>
        </w:tabs>
        <w:numPr>
          <w:ilvl w:val="0"/>
          <w:numId w:val="2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Nothing in this Section shall affect the right of any Lender or the Administrative Agent to serve legal process in any other manner permitted by law or affect the right of any Lender or the Administrative Agent to bring any action or proceeding against the Borrower, the Guarantors or their respective property in the courts of other jurisdictions.</w:t>
      </w:r>
    </w:p>
    <w:p>
      <w:pPr>
        <w:spacing w:after="0" w:line="173" w:lineRule="exact"/>
        <w:rPr>
          <w:rFonts w:ascii="Courier New" w:cs="Courier New" w:eastAsia="Courier New" w:hAnsi="Courier New"/>
          <w:sz w:val="15"/>
          <w:szCs w:val="15"/>
          <w:color w:val="auto"/>
        </w:rPr>
      </w:pPr>
    </w:p>
    <w:p>
      <w:pPr>
        <w:ind w:right="3319" w:firstLine="447"/>
        <w:spacing w:after="0" w:line="236" w:lineRule="auto"/>
        <w:tabs>
          <w:tab w:leader="none" w:pos="787" w:val="left"/>
        </w:tabs>
        <w:numPr>
          <w:ilvl w:val="0"/>
          <w:numId w:val="2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that any Credit Party has or hereafter may acquire any immunity from jurisdiction of any court or from any legal process (whether through service or notice, attachment prior to judgment, attachment in aid of execution, execution or otherwise) with respect to itself or its property, such Credit Party hereby irrevocably waives such immunity in respect of its obligations under this Agreement and the other Loan Documents to which it is or becomes a party.</w:t>
      </w:r>
    </w:p>
    <w:p>
      <w:pPr>
        <w:spacing w:after="0" w:line="17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SECTION 9.13 Survival. All indemnities set forth in this Agreement, including, without limitation, Sections 2.10, 8.05, 9.04(b) and 9.11(b), shall survive the execution and delivery of this Agreement and the other Loan Documents (notwithstanding any failure of the Facility to close) and the making and the repayment of the Advances until such time as all Obligations shall have been paid in full.</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9.14 WAIVER OF JURY TRIAL. EACH OF THE CREDIT PARTIES, THE ADMINISTRATIVE AGENT AND EACH LENDER HEREBY IRREVOCABLY WAIVES, TO THE FULLEST EXTENT PERMITTED BY LAW, ALL RIGHT TO TRIAL BY JURY IN ANY ACTION, PROCEEDING OR COUNTERCLAIM (WHETHER BASED ON CONTRACT, TORT OR OTHERWISE) ARISING OUT OF OR RELATING TO ANY OF THE LOAN DOCUMENTS, THE ADVANCES OR THE ACTIONS OF THE ADMINISTRATIVE AGENT OR ANY LENDER IN THE NEGOTIATION, ADMINISTRATION, PERFORMANCE OR ENFORCEMENT THEREOF.</w:t>
      </w:r>
    </w:p>
    <w:p>
      <w:pPr>
        <w:spacing w:after="0" w:line="17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SECTION 9.15 Limitation on Liability. Each of the Credit Parties hereby waives, releases and agrees not to sue the Administrative Agent or any Lender upon any claim for any special, indirect, consequential or punitive damages suffered by any Credit Party in connection with, arising out of, or in any way related to the Loan Documents or the relationship established by the Loan Documents, or any act, omission or event occurring in connection therewith, unless it is determined by a judgment of a court of competent jurisdiction that such damages were the result of acts or omissions on the part of the Administrative Agent or such Lender constituting gross negligence or willful misconduct.</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39"/>
          </w:cols>
          <w:pgMar w:left="220" w:top="624" w:right="1440" w:bottom="1440" w:gutter="0" w:footer="0" w:header="0"/>
        </w:sectPr>
      </w:pPr>
    </w:p>
    <w:bookmarkStart w:id="270" w:name="page271"/>
    <w:bookmarkEnd w:id="270"/>
    <w:p>
      <w:pPr>
        <w:ind w:left="1240"/>
        <w:spacing w:after="0"/>
        <w:rPr>
          <w:sz w:val="20"/>
          <w:szCs w:val="20"/>
          <w:color w:val="auto"/>
        </w:rPr>
      </w:pPr>
      <w:r>
        <w:rPr>
          <w:rFonts w:ascii="Courier New" w:cs="Courier New" w:eastAsia="Courier New" w:hAnsi="Courier New"/>
          <w:sz w:val="14"/>
          <w:szCs w:val="14"/>
          <w:color w:val="auto"/>
        </w:rPr>
        <w:t>[SIGNATURES ON NEXT PAGE]</w:t>
      </w:r>
    </w:p>
    <w:p>
      <w:pPr>
        <w:sectPr>
          <w:pgSz w:w="11900" w:h="16838" w:orient="portrait"/>
          <w:cols w:equalWidth="0" w:num="1">
            <w:col w:w="9019"/>
          </w:cols>
          <w:pgMar w:left="1440" w:top="624" w:right="1440" w:bottom="1440" w:gutter="0" w:footer="0" w:header="0"/>
        </w:sectPr>
      </w:pPr>
    </w:p>
    <w:p>
      <w:pPr>
        <w:spacing w:after="0" w:line="340"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9019"/>
          </w:cols>
          <w:pgMar w:left="1440" w:top="624" w:right="1440" w:bottom="1440" w:gutter="0" w:footer="0" w:header="0"/>
          <w:type w:val="continuous"/>
        </w:sectPr>
      </w:pPr>
    </w:p>
    <w:bookmarkStart w:id="271" w:name="page272"/>
    <w:bookmarkEnd w:id="271"/>
    <w:p>
      <w:pPr>
        <w:ind w:right="3499" w:firstLine="437"/>
        <w:spacing w:after="0" w:line="235" w:lineRule="auto"/>
        <w:rPr>
          <w:sz w:val="20"/>
          <w:szCs w:val="20"/>
          <w:color w:val="auto"/>
        </w:rPr>
      </w:pPr>
      <w:r>
        <w:rPr>
          <w:rFonts w:ascii="Courier New" w:cs="Courier New" w:eastAsia="Courier New" w:hAnsi="Courier New"/>
          <w:sz w:val="15"/>
          <w:szCs w:val="15"/>
          <w:color w:val="auto"/>
        </w:rPr>
        <w:t>IN WITNESS WHEREOF, the parties hereto have caused their duly authorized officers to execute and deliver this Agreement as of the date first above written.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20" w:type="dxa"/>
            <w:vAlign w:val="bottom"/>
          </w:tcPr>
          <w:p>
            <w:pPr>
              <w:spacing w:after="0"/>
              <w:rPr>
                <w:sz w:val="20"/>
                <w:szCs w:val="20"/>
                <w:color w:val="auto"/>
              </w:rPr>
            </w:pPr>
            <w:r>
              <w:rPr>
                <w:rFonts w:ascii="Courier New" w:cs="Courier New" w:eastAsia="Courier New" w:hAnsi="Courier New"/>
                <w:sz w:val="15"/>
                <w:szCs w:val="15"/>
                <w:color w:val="auto"/>
              </w:rPr>
              <w:t>Address:</w:t>
            </w:r>
          </w:p>
        </w:tc>
        <w:tc>
          <w:tcPr>
            <w:tcW w:w="2880" w:type="dxa"/>
            <w:vAlign w:val="bottom"/>
          </w:tcPr>
          <w:p>
            <w:pPr>
              <w:spacing w:after="0"/>
              <w:rPr>
                <w:sz w:val="14"/>
                <w:szCs w:val="14"/>
                <w:color w:val="auto"/>
              </w:rPr>
            </w:pP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880" w:type="dxa"/>
            <w:vAlign w:val="bottom"/>
          </w:tcPr>
          <w:p>
            <w:pPr>
              <w:spacing w:after="0"/>
              <w:rPr>
                <w:sz w:val="14"/>
                <w:szCs w:val="14"/>
                <w:color w:val="auto"/>
              </w:rPr>
            </w:pP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General Anaya 601 Poniente, Colonia Bella</w:t>
            </w:r>
          </w:p>
        </w:tc>
        <w:tc>
          <w:tcPr>
            <w:tcW w:w="2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FEMSA EMPAQUES, S.A. DE C.V.,</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Vista 1er Piso</w:t>
            </w:r>
          </w:p>
        </w:tc>
        <w:tc>
          <w:tcPr>
            <w:tcW w:w="2880" w:type="dxa"/>
            <w:vAlign w:val="bottom"/>
          </w:tcPr>
          <w:p>
            <w:pPr>
              <w:jc w:val="right"/>
              <w:ind w:right="1407"/>
              <w:spacing w:after="0" w:line="168" w:lineRule="exact"/>
              <w:rPr>
                <w:sz w:val="20"/>
                <w:szCs w:val="20"/>
                <w:color w:val="auto"/>
              </w:rPr>
            </w:pPr>
            <w:r>
              <w:rPr>
                <w:rFonts w:ascii="Courier New" w:cs="Courier New" w:eastAsia="Courier New" w:hAnsi="Courier New"/>
                <w:sz w:val="15"/>
                <w:szCs w:val="15"/>
                <w:color w:val="auto"/>
              </w:rPr>
              <w:t>as Borrower</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Monterrey, N.L. Mexico, C.P. 64410</w:t>
            </w:r>
          </w:p>
        </w:tc>
        <w:tc>
          <w:tcPr>
            <w:tcW w:w="2880" w:type="dxa"/>
            <w:vAlign w:val="bottom"/>
          </w:tcPr>
          <w:p>
            <w:pPr>
              <w:spacing w:after="0"/>
              <w:rPr>
                <w:sz w:val="14"/>
                <w:szCs w:val="14"/>
                <w:color w:val="auto"/>
              </w:rPr>
            </w:pP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Attention: Arturo Guerrero/Elvia Villarreal</w:t>
            </w:r>
          </w:p>
        </w:tc>
        <w:tc>
          <w:tcPr>
            <w:tcW w:w="2880" w:type="dxa"/>
            <w:vAlign w:val="bottom"/>
          </w:tcPr>
          <w:p>
            <w:pPr>
              <w:spacing w:after="0"/>
              <w:rPr>
                <w:sz w:val="14"/>
                <w:szCs w:val="14"/>
                <w:color w:val="auto"/>
              </w:rPr>
            </w:pP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Telephone: 011-52-818-328-6606 / 011-52-</w:t>
            </w:r>
          </w:p>
        </w:tc>
        <w:tc>
          <w:tcPr>
            <w:tcW w:w="2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By:__________________________</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818-328-6635</w:t>
            </w:r>
          </w:p>
        </w:tc>
        <w:tc>
          <w:tcPr>
            <w:tcW w:w="2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Name:_____________________</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Facsimile:  011-52-818-328-6893</w:t>
            </w:r>
          </w:p>
        </w:tc>
        <w:tc>
          <w:tcPr>
            <w:tcW w:w="2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Title:____________________</w:t>
            </w:r>
          </w:p>
        </w:tc>
      </w:tr>
      <w:tr>
        <w:trPr>
          <w:trHeight w:val="505"/>
        </w:trPr>
        <w:tc>
          <w:tcPr>
            <w:tcW w:w="4120" w:type="dxa"/>
            <w:vAlign w:val="bottom"/>
          </w:tcPr>
          <w:p>
            <w:pPr>
              <w:spacing w:after="0"/>
              <w:rPr>
                <w:sz w:val="24"/>
                <w:szCs w:val="24"/>
                <w:color w:val="auto"/>
              </w:rPr>
            </w:pPr>
          </w:p>
        </w:tc>
        <w:tc>
          <w:tcPr>
            <w:tcW w:w="2880" w:type="dxa"/>
            <w:vAlign w:val="bottom"/>
          </w:tcPr>
          <w:p>
            <w:pPr>
              <w:jc w:val="right"/>
              <w:spacing w:after="0"/>
              <w:rPr>
                <w:sz w:val="20"/>
                <w:szCs w:val="20"/>
                <w:color w:val="auto"/>
              </w:rPr>
            </w:pPr>
            <w:r>
              <w:rPr>
                <w:rFonts w:ascii="Courier New" w:cs="Courier New" w:eastAsia="Courier New" w:hAnsi="Courier New"/>
                <w:sz w:val="15"/>
                <w:szCs w:val="15"/>
                <w:color w:val="auto"/>
              </w:rPr>
              <w:t>By:__________________________</w:t>
            </w:r>
          </w:p>
        </w:tc>
      </w:tr>
      <w:tr>
        <w:trPr>
          <w:trHeight w:val="168"/>
        </w:trPr>
        <w:tc>
          <w:tcPr>
            <w:tcW w:w="4120" w:type="dxa"/>
            <w:vAlign w:val="bottom"/>
          </w:tcPr>
          <w:p>
            <w:pPr>
              <w:spacing w:after="0"/>
              <w:rPr>
                <w:sz w:val="14"/>
                <w:szCs w:val="14"/>
                <w:color w:val="auto"/>
              </w:rPr>
            </w:pPr>
          </w:p>
        </w:tc>
        <w:tc>
          <w:tcPr>
            <w:tcW w:w="2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Name:_____________________</w:t>
            </w:r>
          </w:p>
        </w:tc>
      </w:tr>
      <w:tr>
        <w:trPr>
          <w:trHeight w:val="168"/>
        </w:trPr>
        <w:tc>
          <w:tcPr>
            <w:tcW w:w="4120" w:type="dxa"/>
            <w:vAlign w:val="bottom"/>
          </w:tcPr>
          <w:p>
            <w:pPr>
              <w:spacing w:after="0"/>
              <w:rPr>
                <w:sz w:val="14"/>
                <w:szCs w:val="14"/>
                <w:color w:val="auto"/>
              </w:rPr>
            </w:pPr>
          </w:p>
        </w:tc>
        <w:tc>
          <w:tcPr>
            <w:tcW w:w="2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Title:____________________</w:t>
            </w:r>
          </w:p>
        </w:tc>
      </w:tr>
      <w:tr>
        <w:trPr>
          <w:trHeight w:val="505"/>
        </w:trPr>
        <w:tc>
          <w:tcPr>
            <w:tcW w:w="4120" w:type="dxa"/>
            <w:vAlign w:val="bottom"/>
          </w:tcPr>
          <w:p>
            <w:pPr>
              <w:ind w:left="3420"/>
              <w:spacing w:after="0"/>
              <w:rPr>
                <w:sz w:val="20"/>
                <w:szCs w:val="20"/>
                <w:color w:val="auto"/>
              </w:rPr>
            </w:pPr>
            <w:r>
              <w:rPr>
                <w:rFonts w:ascii="Courier New" w:cs="Courier New" w:eastAsia="Courier New" w:hAnsi="Courier New"/>
                <w:sz w:val="15"/>
                <w:szCs w:val="15"/>
                <w:color w:val="auto"/>
              </w:rPr>
              <w:t>57</w:t>
            </w:r>
          </w:p>
        </w:tc>
        <w:tc>
          <w:tcPr>
            <w:tcW w:w="2880" w:type="dxa"/>
            <w:vAlign w:val="bottom"/>
          </w:tcPr>
          <w:p>
            <w:pPr>
              <w:spacing w:after="0"/>
              <w:rPr>
                <w:sz w:val="24"/>
                <w:szCs w:val="24"/>
                <w:color w:val="auto"/>
              </w:rPr>
            </w:pPr>
          </w:p>
        </w:tc>
      </w:tr>
    </w:tbl>
    <w:p>
      <w:pPr>
        <w:sectPr>
          <w:pgSz w:w="11900" w:h="16838" w:orient="portrait"/>
          <w:cols w:equalWidth="0" w:num="1">
            <w:col w:w="10239"/>
          </w:cols>
          <w:pgMar w:left="220" w:top="1128" w:right="1440" w:bottom="1440" w:gutter="0" w:footer="0" w:header="0"/>
        </w:sectPr>
      </w:pPr>
    </w:p>
    <w:bookmarkStart w:id="272" w:name="page273"/>
    <w:bookmarkEnd w:id="27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40" w:type="dxa"/>
            <w:vAlign w:val="bottom"/>
          </w:tcPr>
          <w:p>
            <w:pPr>
              <w:spacing w:after="0"/>
              <w:rPr>
                <w:sz w:val="20"/>
                <w:szCs w:val="20"/>
                <w:color w:val="auto"/>
              </w:rPr>
            </w:pPr>
            <w:r>
              <w:rPr>
                <w:rFonts w:ascii="Courier New" w:cs="Courier New" w:eastAsia="Courier New" w:hAnsi="Courier New"/>
                <w:sz w:val="15"/>
                <w:szCs w:val="15"/>
                <w:color w:val="auto"/>
              </w:rPr>
              <w:t>Address:</w:t>
            </w:r>
          </w:p>
        </w:tc>
        <w:tc>
          <w:tcPr>
            <w:tcW w:w="3060" w:type="dxa"/>
            <w:vAlign w:val="bottom"/>
          </w:tcPr>
          <w:p>
            <w:pPr>
              <w:spacing w:after="0"/>
              <w:rPr>
                <w:sz w:val="14"/>
                <w:szCs w:val="14"/>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060" w:type="dxa"/>
            <w:vAlign w:val="bottom"/>
          </w:tcPr>
          <w:p>
            <w:pPr>
              <w:spacing w:after="0"/>
              <w:rPr>
                <w:sz w:val="14"/>
                <w:szCs w:val="14"/>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General Anaya 601 Poniente, Colonia Bella</w:t>
            </w:r>
          </w:p>
        </w:tc>
        <w:tc>
          <w:tcPr>
            <w:tcW w:w="3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FABRICAS MONTERREY, S.A. DE C.V.,</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Vista 1er Piso</w:t>
            </w:r>
          </w:p>
        </w:tc>
        <w:tc>
          <w:tcPr>
            <w:tcW w:w="3060" w:type="dxa"/>
            <w:vAlign w:val="bottom"/>
          </w:tcPr>
          <w:p>
            <w:pPr>
              <w:jc w:val="right"/>
              <w:ind w:right="1667"/>
              <w:spacing w:after="0" w:line="168" w:lineRule="exact"/>
              <w:rPr>
                <w:sz w:val="20"/>
                <w:szCs w:val="20"/>
                <w:color w:val="auto"/>
              </w:rPr>
            </w:pPr>
            <w:r>
              <w:rPr>
                <w:rFonts w:ascii="Courier New" w:cs="Courier New" w:eastAsia="Courier New" w:hAnsi="Courier New"/>
                <w:sz w:val="15"/>
                <w:szCs w:val="15"/>
                <w:color w:val="auto"/>
              </w:rPr>
              <w:t>as Guarantor</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Monterrey, N.L. Mexico, C.P. 64410</w:t>
            </w:r>
          </w:p>
        </w:tc>
        <w:tc>
          <w:tcPr>
            <w:tcW w:w="3060" w:type="dxa"/>
            <w:vAlign w:val="bottom"/>
          </w:tcPr>
          <w:p>
            <w:pPr>
              <w:spacing w:after="0"/>
              <w:rPr>
                <w:sz w:val="14"/>
                <w:szCs w:val="14"/>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Attention: Arturo Guerrero/Elvia Villarreal</w:t>
            </w:r>
          </w:p>
        </w:tc>
        <w:tc>
          <w:tcPr>
            <w:tcW w:w="3060" w:type="dxa"/>
            <w:vAlign w:val="bottom"/>
          </w:tcPr>
          <w:p>
            <w:pPr>
              <w:spacing w:after="0"/>
              <w:rPr>
                <w:sz w:val="14"/>
                <w:szCs w:val="14"/>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Telephone: 011-52-818-328-6606 / 011-52-</w:t>
            </w:r>
          </w:p>
        </w:tc>
        <w:tc>
          <w:tcPr>
            <w:tcW w:w="3060" w:type="dxa"/>
            <w:vAlign w:val="bottom"/>
          </w:tcPr>
          <w:p>
            <w:pPr>
              <w:spacing w:after="0"/>
              <w:rPr>
                <w:sz w:val="14"/>
                <w:szCs w:val="14"/>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818-328-6635</w:t>
            </w:r>
          </w:p>
        </w:tc>
        <w:tc>
          <w:tcPr>
            <w:tcW w:w="3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By:______________________________</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Facsimile:  011-52-818-328-6893</w:t>
            </w:r>
          </w:p>
        </w:tc>
        <w:tc>
          <w:tcPr>
            <w:tcW w:w="3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Name:_________________________</w:t>
            </w:r>
          </w:p>
        </w:tc>
      </w:tr>
      <w:tr>
        <w:trPr>
          <w:trHeight w:val="168"/>
        </w:trPr>
        <w:tc>
          <w:tcPr>
            <w:tcW w:w="3940" w:type="dxa"/>
            <w:vAlign w:val="bottom"/>
          </w:tcPr>
          <w:p>
            <w:pPr>
              <w:spacing w:after="0"/>
              <w:rPr>
                <w:sz w:val="14"/>
                <w:szCs w:val="14"/>
                <w:color w:val="auto"/>
              </w:rPr>
            </w:pPr>
          </w:p>
        </w:tc>
        <w:tc>
          <w:tcPr>
            <w:tcW w:w="3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Title:________________________</w:t>
            </w:r>
          </w:p>
        </w:tc>
      </w:tr>
      <w:tr>
        <w:trPr>
          <w:trHeight w:val="505"/>
        </w:trPr>
        <w:tc>
          <w:tcPr>
            <w:tcW w:w="3940" w:type="dxa"/>
            <w:vAlign w:val="bottom"/>
          </w:tcPr>
          <w:p>
            <w:pPr>
              <w:spacing w:after="0"/>
              <w:rPr>
                <w:sz w:val="24"/>
                <w:szCs w:val="24"/>
                <w:color w:val="auto"/>
              </w:rPr>
            </w:pPr>
          </w:p>
        </w:tc>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By:______________________________</w:t>
            </w:r>
          </w:p>
        </w:tc>
      </w:tr>
      <w:tr>
        <w:trPr>
          <w:trHeight w:val="168"/>
        </w:trPr>
        <w:tc>
          <w:tcPr>
            <w:tcW w:w="3940" w:type="dxa"/>
            <w:vAlign w:val="bottom"/>
          </w:tcPr>
          <w:p>
            <w:pPr>
              <w:spacing w:after="0"/>
              <w:rPr>
                <w:sz w:val="14"/>
                <w:szCs w:val="14"/>
                <w:color w:val="auto"/>
              </w:rPr>
            </w:pPr>
          </w:p>
        </w:tc>
        <w:tc>
          <w:tcPr>
            <w:tcW w:w="3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Name:_________________________</w:t>
            </w:r>
          </w:p>
        </w:tc>
      </w:tr>
      <w:tr>
        <w:trPr>
          <w:trHeight w:val="168"/>
        </w:trPr>
        <w:tc>
          <w:tcPr>
            <w:tcW w:w="3940" w:type="dxa"/>
            <w:vAlign w:val="bottom"/>
          </w:tcPr>
          <w:p>
            <w:pPr>
              <w:spacing w:after="0"/>
              <w:rPr>
                <w:sz w:val="14"/>
                <w:szCs w:val="14"/>
                <w:color w:val="auto"/>
              </w:rPr>
            </w:pPr>
          </w:p>
        </w:tc>
        <w:tc>
          <w:tcPr>
            <w:tcW w:w="3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Title:________________________</w:t>
            </w:r>
          </w:p>
        </w:tc>
      </w:tr>
      <w:tr>
        <w:trPr>
          <w:trHeight w:val="336"/>
        </w:trPr>
        <w:tc>
          <w:tcPr>
            <w:tcW w:w="3940" w:type="dxa"/>
            <w:vAlign w:val="bottom"/>
          </w:tcPr>
          <w:p>
            <w:pPr>
              <w:ind w:left="3420"/>
              <w:spacing w:after="0"/>
              <w:rPr>
                <w:sz w:val="20"/>
                <w:szCs w:val="20"/>
                <w:color w:val="auto"/>
              </w:rPr>
            </w:pPr>
            <w:r>
              <w:rPr>
                <w:rFonts w:ascii="Courier New" w:cs="Courier New" w:eastAsia="Courier New" w:hAnsi="Courier New"/>
                <w:sz w:val="15"/>
                <w:szCs w:val="15"/>
                <w:color w:val="auto"/>
              </w:rPr>
              <w:t>58</w:t>
            </w:r>
          </w:p>
        </w:tc>
        <w:tc>
          <w:tcPr>
            <w:tcW w:w="306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273" w:name="page274"/>
    <w:bookmarkEnd w:id="27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00" w:type="dxa"/>
            <w:vAlign w:val="bottom"/>
          </w:tcPr>
          <w:p>
            <w:pPr>
              <w:spacing w:after="0"/>
              <w:rPr>
                <w:sz w:val="20"/>
                <w:szCs w:val="20"/>
                <w:color w:val="auto"/>
              </w:rPr>
            </w:pPr>
            <w:r>
              <w:rPr>
                <w:rFonts w:ascii="Courier New" w:cs="Courier New" w:eastAsia="Courier New" w:hAnsi="Courier New"/>
                <w:sz w:val="15"/>
                <w:szCs w:val="15"/>
                <w:color w:val="auto"/>
              </w:rPr>
              <w:t>Address:</w:t>
            </w:r>
          </w:p>
        </w:tc>
        <w:tc>
          <w:tcPr>
            <w:tcW w:w="3100" w:type="dxa"/>
            <w:vAlign w:val="bottom"/>
          </w:tcPr>
          <w:p>
            <w:pPr>
              <w:spacing w:after="0"/>
              <w:rPr>
                <w:sz w:val="14"/>
                <w:szCs w:val="14"/>
                <w:color w:val="auto"/>
              </w:rPr>
            </w:pP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100" w:type="dxa"/>
            <w:vAlign w:val="bottom"/>
          </w:tcPr>
          <w:p>
            <w:pPr>
              <w:spacing w:after="0"/>
              <w:rPr>
                <w:sz w:val="14"/>
                <w:szCs w:val="14"/>
                <w:color w:val="auto"/>
              </w:rPr>
            </w:pP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General Anaya 601 Poniente, Colonia Bella</w:t>
            </w:r>
          </w:p>
        </w:tc>
        <w:tc>
          <w:tcPr>
            <w:tcW w:w="3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SILICES DE VERACRUZ, S.A. DE C.V.,</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Vista 1er Piso</w:t>
            </w:r>
          </w:p>
        </w:tc>
        <w:tc>
          <w:tcPr>
            <w:tcW w:w="3100" w:type="dxa"/>
            <w:vAlign w:val="bottom"/>
          </w:tcPr>
          <w:p>
            <w:pPr>
              <w:jc w:val="right"/>
              <w:ind w:right="1747"/>
              <w:spacing w:after="0" w:line="168" w:lineRule="exact"/>
              <w:rPr>
                <w:sz w:val="20"/>
                <w:szCs w:val="20"/>
                <w:color w:val="auto"/>
              </w:rPr>
            </w:pPr>
            <w:r>
              <w:rPr>
                <w:rFonts w:ascii="Courier New" w:cs="Courier New" w:eastAsia="Courier New" w:hAnsi="Courier New"/>
                <w:sz w:val="15"/>
                <w:szCs w:val="15"/>
                <w:color w:val="auto"/>
              </w:rPr>
              <w:t>as Guarantor</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Monterrey, N.L. Mexico, C.P. 64410</w:t>
            </w:r>
          </w:p>
        </w:tc>
        <w:tc>
          <w:tcPr>
            <w:tcW w:w="3100" w:type="dxa"/>
            <w:vAlign w:val="bottom"/>
          </w:tcPr>
          <w:p>
            <w:pPr>
              <w:spacing w:after="0"/>
              <w:rPr>
                <w:sz w:val="14"/>
                <w:szCs w:val="14"/>
                <w:color w:val="auto"/>
              </w:rPr>
            </w:pP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Attention: Arturo Guerrero/Elvia Villarreal</w:t>
            </w:r>
          </w:p>
        </w:tc>
        <w:tc>
          <w:tcPr>
            <w:tcW w:w="3100" w:type="dxa"/>
            <w:vAlign w:val="bottom"/>
          </w:tcPr>
          <w:p>
            <w:pPr>
              <w:spacing w:after="0"/>
              <w:rPr>
                <w:sz w:val="14"/>
                <w:szCs w:val="14"/>
                <w:color w:val="auto"/>
              </w:rPr>
            </w:pP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Telephone: 011-52-818-328-6606 / 011-52-</w:t>
            </w:r>
          </w:p>
        </w:tc>
        <w:tc>
          <w:tcPr>
            <w:tcW w:w="3100" w:type="dxa"/>
            <w:vAlign w:val="bottom"/>
          </w:tcPr>
          <w:p>
            <w:pPr>
              <w:spacing w:after="0"/>
              <w:rPr>
                <w:sz w:val="14"/>
                <w:szCs w:val="14"/>
                <w:color w:val="auto"/>
              </w:rPr>
            </w:pP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818-328-6635</w:t>
            </w:r>
          </w:p>
        </w:tc>
        <w:tc>
          <w:tcPr>
            <w:tcW w:w="3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By:_______________________________</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Facsimile:  011-52-818-328-6893</w:t>
            </w:r>
          </w:p>
        </w:tc>
        <w:tc>
          <w:tcPr>
            <w:tcW w:w="3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Name:__________________________</w:t>
            </w:r>
          </w:p>
        </w:tc>
      </w:tr>
      <w:tr>
        <w:trPr>
          <w:trHeight w:val="168"/>
        </w:trPr>
        <w:tc>
          <w:tcPr>
            <w:tcW w:w="3900" w:type="dxa"/>
            <w:vAlign w:val="bottom"/>
          </w:tcPr>
          <w:p>
            <w:pPr>
              <w:spacing w:after="0"/>
              <w:rPr>
                <w:sz w:val="14"/>
                <w:szCs w:val="14"/>
                <w:color w:val="auto"/>
              </w:rPr>
            </w:pPr>
          </w:p>
        </w:tc>
        <w:tc>
          <w:tcPr>
            <w:tcW w:w="3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Title: ________________________</w:t>
            </w:r>
          </w:p>
        </w:tc>
      </w:tr>
      <w:tr>
        <w:trPr>
          <w:trHeight w:val="505"/>
        </w:trPr>
        <w:tc>
          <w:tcPr>
            <w:tcW w:w="3900" w:type="dxa"/>
            <w:vAlign w:val="bottom"/>
          </w:tcPr>
          <w:p>
            <w:pPr>
              <w:spacing w:after="0"/>
              <w:rPr>
                <w:sz w:val="24"/>
                <w:szCs w:val="24"/>
                <w:color w:val="auto"/>
              </w:rPr>
            </w:pPr>
          </w:p>
        </w:tc>
        <w:tc>
          <w:tcPr>
            <w:tcW w:w="3100" w:type="dxa"/>
            <w:vAlign w:val="bottom"/>
          </w:tcPr>
          <w:p>
            <w:pPr>
              <w:jc w:val="right"/>
              <w:spacing w:after="0"/>
              <w:rPr>
                <w:sz w:val="20"/>
                <w:szCs w:val="20"/>
                <w:color w:val="auto"/>
              </w:rPr>
            </w:pPr>
            <w:r>
              <w:rPr>
                <w:rFonts w:ascii="Courier New" w:cs="Courier New" w:eastAsia="Courier New" w:hAnsi="Courier New"/>
                <w:sz w:val="15"/>
                <w:szCs w:val="15"/>
                <w:color w:val="auto"/>
              </w:rPr>
              <w:t>By:_______________________________</w:t>
            </w:r>
          </w:p>
        </w:tc>
      </w:tr>
      <w:tr>
        <w:trPr>
          <w:trHeight w:val="168"/>
        </w:trPr>
        <w:tc>
          <w:tcPr>
            <w:tcW w:w="3900" w:type="dxa"/>
            <w:vAlign w:val="bottom"/>
          </w:tcPr>
          <w:p>
            <w:pPr>
              <w:spacing w:after="0"/>
              <w:rPr>
                <w:sz w:val="14"/>
                <w:szCs w:val="14"/>
                <w:color w:val="auto"/>
              </w:rPr>
            </w:pPr>
          </w:p>
        </w:tc>
        <w:tc>
          <w:tcPr>
            <w:tcW w:w="3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Name:__________________________</w:t>
            </w:r>
          </w:p>
        </w:tc>
      </w:tr>
      <w:tr>
        <w:trPr>
          <w:trHeight w:val="168"/>
        </w:trPr>
        <w:tc>
          <w:tcPr>
            <w:tcW w:w="3900" w:type="dxa"/>
            <w:vAlign w:val="bottom"/>
          </w:tcPr>
          <w:p>
            <w:pPr>
              <w:spacing w:after="0"/>
              <w:rPr>
                <w:sz w:val="14"/>
                <w:szCs w:val="14"/>
                <w:color w:val="auto"/>
              </w:rPr>
            </w:pPr>
          </w:p>
        </w:tc>
        <w:tc>
          <w:tcPr>
            <w:tcW w:w="3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Title:_________________________</w:t>
            </w:r>
          </w:p>
        </w:tc>
      </w:tr>
      <w:tr>
        <w:trPr>
          <w:trHeight w:val="336"/>
        </w:trPr>
        <w:tc>
          <w:tcPr>
            <w:tcW w:w="3900" w:type="dxa"/>
            <w:vAlign w:val="bottom"/>
          </w:tcPr>
          <w:p>
            <w:pPr>
              <w:ind w:left="3420"/>
              <w:spacing w:after="0"/>
              <w:rPr>
                <w:sz w:val="20"/>
                <w:szCs w:val="20"/>
                <w:color w:val="auto"/>
              </w:rPr>
            </w:pPr>
            <w:r>
              <w:rPr>
                <w:rFonts w:ascii="Courier New" w:cs="Courier New" w:eastAsia="Courier New" w:hAnsi="Courier New"/>
                <w:sz w:val="15"/>
                <w:szCs w:val="15"/>
                <w:color w:val="auto"/>
              </w:rPr>
              <w:t>59</w:t>
            </w:r>
          </w:p>
        </w:tc>
        <w:tc>
          <w:tcPr>
            <w:tcW w:w="3100" w:type="dxa"/>
            <w:vAlign w:val="bottom"/>
          </w:tcPr>
          <w:p>
            <w:pPr>
              <w:spacing w:after="0"/>
              <w:rPr>
                <w:sz w:val="24"/>
                <w:szCs w:val="24"/>
                <w:color w:val="auto"/>
              </w:rPr>
            </w:pPr>
          </w:p>
        </w:tc>
      </w:tr>
    </w:tbl>
    <w:p>
      <w:pPr>
        <w:sectPr>
          <w:pgSz w:w="11900" w:h="16838" w:orient="portrait"/>
          <w:cols w:equalWidth="0" w:num="1">
            <w:col w:w="10239"/>
          </w:cols>
          <w:pgMar w:left="220" w:top="785" w:right="1440" w:bottom="1440" w:gutter="0" w:footer="0" w:header="0"/>
        </w:sectPr>
      </w:pPr>
    </w:p>
    <w:bookmarkStart w:id="274" w:name="page275"/>
    <w:bookmarkEnd w:id="27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rPr>
              <w:t>Address:</w:t>
            </w:r>
          </w:p>
        </w:tc>
        <w:tc>
          <w:tcPr>
            <w:tcW w:w="4060" w:type="dxa"/>
            <w:vAlign w:val="bottom"/>
          </w:tcPr>
          <w:p>
            <w:pPr>
              <w:spacing w:after="0"/>
              <w:rPr>
                <w:sz w:val="14"/>
                <w:szCs w:val="14"/>
                <w:color w:val="auto"/>
              </w:rPr>
            </w:pP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4060" w:type="dxa"/>
            <w:vAlign w:val="bottom"/>
          </w:tcPr>
          <w:p>
            <w:pPr>
              <w:spacing w:after="0"/>
              <w:rPr>
                <w:sz w:val="14"/>
                <w:szCs w:val="14"/>
                <w:color w:val="auto"/>
              </w:rPr>
            </w:pP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1345 Avenue of the Americas</w:t>
            </w:r>
          </w:p>
        </w:tc>
        <w:tc>
          <w:tcPr>
            <w:tcW w:w="4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BBVA SECURITIES INC.,</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45th Floor</w:t>
            </w:r>
          </w:p>
        </w:tc>
        <w:tc>
          <w:tcPr>
            <w:tcW w:w="40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as Lead Arranger</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New York, NY 10105</w:t>
            </w:r>
          </w:p>
        </w:tc>
        <w:tc>
          <w:tcPr>
            <w:tcW w:w="4060" w:type="dxa"/>
            <w:vAlign w:val="bottom"/>
          </w:tcPr>
          <w:p>
            <w:pPr>
              <w:spacing w:after="0"/>
              <w:rPr>
                <w:sz w:val="14"/>
                <w:szCs w:val="14"/>
                <w:color w:val="auto"/>
              </w:rPr>
            </w:pP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Attention: Felipe Macia</w:t>
            </w:r>
          </w:p>
        </w:tc>
        <w:tc>
          <w:tcPr>
            <w:tcW w:w="4060" w:type="dxa"/>
            <w:vAlign w:val="bottom"/>
          </w:tcPr>
          <w:p>
            <w:pPr>
              <w:spacing w:after="0"/>
              <w:rPr>
                <w:sz w:val="14"/>
                <w:szCs w:val="14"/>
                <w:color w:val="auto"/>
              </w:rPr>
            </w:pP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Telephone: +1 (212) 728 2392</w:t>
            </w:r>
          </w:p>
        </w:tc>
        <w:tc>
          <w:tcPr>
            <w:tcW w:w="4060" w:type="dxa"/>
            <w:vAlign w:val="bottom"/>
          </w:tcPr>
          <w:p>
            <w:pPr>
              <w:spacing w:after="0"/>
              <w:rPr>
                <w:sz w:val="14"/>
                <w:szCs w:val="14"/>
                <w:color w:val="auto"/>
              </w:rPr>
            </w:pP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Facsimile: +1 (212) 258 2216</w:t>
            </w:r>
          </w:p>
        </w:tc>
        <w:tc>
          <w:tcPr>
            <w:tcW w:w="4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By:__________________</w:t>
            </w:r>
          </w:p>
        </w:tc>
      </w:tr>
      <w:tr>
        <w:trPr>
          <w:trHeight w:val="168"/>
        </w:trPr>
        <w:tc>
          <w:tcPr>
            <w:tcW w:w="2940" w:type="dxa"/>
            <w:vAlign w:val="bottom"/>
          </w:tcPr>
          <w:p>
            <w:pPr>
              <w:spacing w:after="0"/>
              <w:rPr>
                <w:sz w:val="14"/>
                <w:szCs w:val="14"/>
                <w:color w:val="auto"/>
              </w:rPr>
            </w:pPr>
          </w:p>
        </w:tc>
        <w:tc>
          <w:tcPr>
            <w:tcW w:w="4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Name:_____________</w:t>
            </w:r>
          </w:p>
        </w:tc>
      </w:tr>
      <w:tr>
        <w:trPr>
          <w:trHeight w:val="168"/>
        </w:trPr>
        <w:tc>
          <w:tcPr>
            <w:tcW w:w="2940" w:type="dxa"/>
            <w:vAlign w:val="bottom"/>
          </w:tcPr>
          <w:p>
            <w:pPr>
              <w:spacing w:after="0"/>
              <w:rPr>
                <w:sz w:val="14"/>
                <w:szCs w:val="14"/>
                <w:color w:val="auto"/>
              </w:rPr>
            </w:pPr>
          </w:p>
        </w:tc>
        <w:tc>
          <w:tcPr>
            <w:tcW w:w="4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Title:____________</w:t>
            </w:r>
          </w:p>
        </w:tc>
      </w:tr>
      <w:tr>
        <w:trPr>
          <w:trHeight w:val="505"/>
        </w:trPr>
        <w:tc>
          <w:tcPr>
            <w:tcW w:w="2940" w:type="dxa"/>
            <w:vAlign w:val="bottom"/>
          </w:tcPr>
          <w:p>
            <w:pPr>
              <w:spacing w:after="0"/>
              <w:rPr>
                <w:sz w:val="24"/>
                <w:szCs w:val="24"/>
                <w:color w:val="auto"/>
              </w:rPr>
            </w:pPr>
          </w:p>
        </w:tc>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rPr>
              <w:t>By:__________________</w:t>
            </w:r>
          </w:p>
        </w:tc>
      </w:tr>
      <w:tr>
        <w:trPr>
          <w:trHeight w:val="168"/>
        </w:trPr>
        <w:tc>
          <w:tcPr>
            <w:tcW w:w="2940" w:type="dxa"/>
            <w:vAlign w:val="bottom"/>
          </w:tcPr>
          <w:p>
            <w:pPr>
              <w:spacing w:after="0"/>
              <w:rPr>
                <w:sz w:val="14"/>
                <w:szCs w:val="14"/>
                <w:color w:val="auto"/>
              </w:rPr>
            </w:pPr>
          </w:p>
        </w:tc>
        <w:tc>
          <w:tcPr>
            <w:tcW w:w="4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Name:_____________</w:t>
            </w:r>
          </w:p>
        </w:tc>
      </w:tr>
      <w:tr>
        <w:trPr>
          <w:trHeight w:val="168"/>
        </w:trPr>
        <w:tc>
          <w:tcPr>
            <w:tcW w:w="2940" w:type="dxa"/>
            <w:vAlign w:val="bottom"/>
          </w:tcPr>
          <w:p>
            <w:pPr>
              <w:spacing w:after="0"/>
              <w:rPr>
                <w:sz w:val="14"/>
                <w:szCs w:val="14"/>
                <w:color w:val="auto"/>
              </w:rPr>
            </w:pPr>
          </w:p>
        </w:tc>
        <w:tc>
          <w:tcPr>
            <w:tcW w:w="4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Title:____________</w:t>
            </w:r>
          </w:p>
        </w:tc>
      </w:tr>
      <w:tr>
        <w:trPr>
          <w:trHeight w:val="505"/>
        </w:trPr>
        <w:tc>
          <w:tcPr>
            <w:tcW w:w="2940" w:type="dxa"/>
            <w:vAlign w:val="bottom"/>
          </w:tcPr>
          <w:p>
            <w:pPr>
              <w:spacing w:after="0"/>
              <w:rPr>
                <w:sz w:val="24"/>
                <w:szCs w:val="24"/>
                <w:color w:val="auto"/>
              </w:rPr>
            </w:pPr>
          </w:p>
        </w:tc>
        <w:tc>
          <w:tcPr>
            <w:tcW w:w="4060" w:type="dxa"/>
            <w:vAlign w:val="bottom"/>
          </w:tcPr>
          <w:p>
            <w:pPr>
              <w:jc w:val="right"/>
              <w:ind w:right="3327"/>
              <w:spacing w:after="0"/>
              <w:rPr>
                <w:sz w:val="20"/>
                <w:szCs w:val="20"/>
                <w:color w:val="auto"/>
              </w:rPr>
            </w:pPr>
            <w:r>
              <w:rPr>
                <w:rFonts w:ascii="Courier New" w:cs="Courier New" w:eastAsia="Courier New" w:hAnsi="Courier New"/>
                <w:sz w:val="15"/>
                <w:szCs w:val="15"/>
                <w:color w:val="auto"/>
              </w:rPr>
              <w:t>60</w:t>
            </w:r>
          </w:p>
        </w:tc>
      </w:tr>
    </w:tbl>
    <w:p>
      <w:pPr>
        <w:sectPr>
          <w:pgSz w:w="11900" w:h="16838" w:orient="portrait"/>
          <w:cols w:equalWidth="0" w:num="1">
            <w:col w:w="10239"/>
          </w:cols>
          <w:pgMar w:left="220" w:top="617" w:right="1440" w:bottom="1440" w:gutter="0" w:footer="0" w:header="0"/>
        </w:sectPr>
      </w:pPr>
    </w:p>
    <w:bookmarkStart w:id="275" w:name="page276"/>
    <w:bookmarkEnd w:id="27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rPr>
              <w:t>Address:</w:t>
            </w:r>
          </w:p>
        </w:tc>
        <w:tc>
          <w:tcPr>
            <w:tcW w:w="3360" w:type="dxa"/>
            <w:vAlign w:val="bottom"/>
          </w:tcPr>
          <w:p>
            <w:pPr>
              <w:spacing w:after="0"/>
              <w:rPr>
                <w:sz w:val="14"/>
                <w:szCs w:val="14"/>
                <w:color w:val="auto"/>
              </w:rPr>
            </w:pP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360" w:type="dxa"/>
            <w:vAlign w:val="bottom"/>
          </w:tcPr>
          <w:p>
            <w:pPr>
              <w:spacing w:after="0"/>
              <w:rPr>
                <w:sz w:val="14"/>
                <w:szCs w:val="14"/>
                <w:color w:val="auto"/>
              </w:rPr>
            </w:pP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100 Rustcraft Road</w:t>
            </w:r>
          </w:p>
        </w:tc>
        <w:tc>
          <w:tcPr>
            <w:tcW w:w="3360" w:type="dxa"/>
            <w:vAlign w:val="bottom"/>
          </w:tcPr>
          <w:p>
            <w:pPr>
              <w:jc w:val="right"/>
              <w:ind w:right="1847"/>
              <w:spacing w:after="0" w:line="168" w:lineRule="exact"/>
              <w:rPr>
                <w:sz w:val="20"/>
                <w:szCs w:val="20"/>
                <w:color w:val="auto"/>
              </w:rPr>
            </w:pPr>
            <w:r>
              <w:rPr>
                <w:rFonts w:ascii="Courier New" w:cs="Courier New" w:eastAsia="Courier New" w:hAnsi="Courier New"/>
                <w:sz w:val="15"/>
                <w:szCs w:val="15"/>
                <w:color w:val="auto"/>
                <w:w w:val="98"/>
              </w:rPr>
              <w:t>BANKBOSTON N.A.,</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Dedham, Massachusetts, USA</w:t>
            </w:r>
          </w:p>
        </w:tc>
        <w:tc>
          <w:tcPr>
            <w:tcW w:w="33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as Arranger (BankBoston is the name</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Attention: Pamela Carpenter/Jorge Garcia</w:t>
            </w:r>
          </w:p>
        </w:tc>
        <w:tc>
          <w:tcPr>
            <w:tcW w:w="3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by which Fleet National Bank operates</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Telephone:  781-467-2271</w:t>
            </w:r>
          </w:p>
        </w:tc>
        <w:tc>
          <w:tcPr>
            <w:tcW w:w="33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in Latin America)</w:t>
            </w:r>
          </w:p>
        </w:tc>
      </w:tr>
      <w:tr>
        <w:trPr>
          <w:trHeight w:val="505"/>
        </w:trPr>
        <w:tc>
          <w:tcPr>
            <w:tcW w:w="3640" w:type="dxa"/>
            <w:vAlign w:val="bottom"/>
          </w:tcPr>
          <w:p>
            <w:pPr>
              <w:spacing w:after="0"/>
              <w:rPr>
                <w:sz w:val="24"/>
                <w:szCs w:val="24"/>
                <w:color w:val="auto"/>
              </w:rPr>
            </w:pPr>
          </w:p>
        </w:tc>
        <w:tc>
          <w:tcPr>
            <w:tcW w:w="3360" w:type="dxa"/>
            <w:vAlign w:val="bottom"/>
          </w:tcPr>
          <w:p>
            <w:pPr>
              <w:jc w:val="right"/>
              <w:spacing w:after="0"/>
              <w:rPr>
                <w:sz w:val="20"/>
                <w:szCs w:val="20"/>
                <w:color w:val="auto"/>
              </w:rPr>
            </w:pPr>
            <w:r>
              <w:rPr>
                <w:rFonts w:ascii="Courier New" w:cs="Courier New" w:eastAsia="Courier New" w:hAnsi="Courier New"/>
                <w:sz w:val="15"/>
                <w:szCs w:val="15"/>
                <w:color w:val="auto"/>
                <w:w w:val="97"/>
              </w:rPr>
              <w:t>By:___________________________________</w:t>
            </w:r>
          </w:p>
        </w:tc>
      </w:tr>
      <w:tr>
        <w:trPr>
          <w:trHeight w:val="168"/>
        </w:trPr>
        <w:tc>
          <w:tcPr>
            <w:tcW w:w="3640" w:type="dxa"/>
            <w:vAlign w:val="bottom"/>
          </w:tcPr>
          <w:p>
            <w:pPr>
              <w:spacing w:after="0"/>
              <w:rPr>
                <w:sz w:val="14"/>
                <w:szCs w:val="14"/>
                <w:color w:val="auto"/>
              </w:rPr>
            </w:pPr>
          </w:p>
        </w:tc>
        <w:tc>
          <w:tcPr>
            <w:tcW w:w="3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Name:______________________________</w:t>
            </w:r>
          </w:p>
        </w:tc>
      </w:tr>
      <w:tr>
        <w:trPr>
          <w:trHeight w:val="168"/>
        </w:trPr>
        <w:tc>
          <w:tcPr>
            <w:tcW w:w="3640" w:type="dxa"/>
            <w:vAlign w:val="bottom"/>
          </w:tcPr>
          <w:p>
            <w:pPr>
              <w:spacing w:after="0"/>
              <w:rPr>
                <w:sz w:val="14"/>
                <w:szCs w:val="14"/>
                <w:color w:val="auto"/>
              </w:rPr>
            </w:pPr>
          </w:p>
        </w:tc>
        <w:tc>
          <w:tcPr>
            <w:tcW w:w="3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Title:_____________________________</w:t>
            </w:r>
          </w:p>
        </w:tc>
      </w:tr>
      <w:tr>
        <w:trPr>
          <w:trHeight w:val="505"/>
        </w:trPr>
        <w:tc>
          <w:tcPr>
            <w:tcW w:w="3640" w:type="dxa"/>
            <w:vAlign w:val="bottom"/>
          </w:tcPr>
          <w:p>
            <w:pPr>
              <w:spacing w:after="0"/>
              <w:rPr>
                <w:sz w:val="24"/>
                <w:szCs w:val="24"/>
                <w:color w:val="auto"/>
              </w:rPr>
            </w:pPr>
          </w:p>
        </w:tc>
        <w:tc>
          <w:tcPr>
            <w:tcW w:w="3360" w:type="dxa"/>
            <w:vAlign w:val="bottom"/>
          </w:tcPr>
          <w:p>
            <w:pPr>
              <w:jc w:val="right"/>
              <w:spacing w:after="0"/>
              <w:rPr>
                <w:sz w:val="20"/>
                <w:szCs w:val="20"/>
                <w:color w:val="auto"/>
              </w:rPr>
            </w:pPr>
            <w:r>
              <w:rPr>
                <w:rFonts w:ascii="Courier New" w:cs="Courier New" w:eastAsia="Courier New" w:hAnsi="Courier New"/>
                <w:sz w:val="15"/>
                <w:szCs w:val="15"/>
                <w:color w:val="auto"/>
                <w:w w:val="97"/>
              </w:rPr>
              <w:t>By:___________________________________</w:t>
            </w:r>
          </w:p>
        </w:tc>
      </w:tr>
      <w:tr>
        <w:trPr>
          <w:trHeight w:val="168"/>
        </w:trPr>
        <w:tc>
          <w:tcPr>
            <w:tcW w:w="3640" w:type="dxa"/>
            <w:vAlign w:val="bottom"/>
          </w:tcPr>
          <w:p>
            <w:pPr>
              <w:spacing w:after="0"/>
              <w:rPr>
                <w:sz w:val="14"/>
                <w:szCs w:val="14"/>
                <w:color w:val="auto"/>
              </w:rPr>
            </w:pPr>
          </w:p>
        </w:tc>
        <w:tc>
          <w:tcPr>
            <w:tcW w:w="3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Name:______________________________</w:t>
            </w:r>
          </w:p>
        </w:tc>
      </w:tr>
      <w:tr>
        <w:trPr>
          <w:trHeight w:val="168"/>
        </w:trPr>
        <w:tc>
          <w:tcPr>
            <w:tcW w:w="3640" w:type="dxa"/>
            <w:vAlign w:val="bottom"/>
          </w:tcPr>
          <w:p>
            <w:pPr>
              <w:spacing w:after="0"/>
              <w:rPr>
                <w:sz w:val="14"/>
                <w:szCs w:val="14"/>
                <w:color w:val="auto"/>
              </w:rPr>
            </w:pPr>
          </w:p>
        </w:tc>
        <w:tc>
          <w:tcPr>
            <w:tcW w:w="3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Title:_____________________________</w:t>
            </w:r>
          </w:p>
        </w:tc>
      </w:tr>
      <w:tr>
        <w:trPr>
          <w:trHeight w:val="505"/>
        </w:trPr>
        <w:tc>
          <w:tcPr>
            <w:tcW w:w="3640" w:type="dxa"/>
            <w:vAlign w:val="bottom"/>
          </w:tcPr>
          <w:p>
            <w:pPr>
              <w:ind w:left="3420"/>
              <w:spacing w:after="0"/>
              <w:rPr>
                <w:sz w:val="20"/>
                <w:szCs w:val="20"/>
                <w:color w:val="auto"/>
              </w:rPr>
            </w:pPr>
            <w:r>
              <w:rPr>
                <w:rFonts w:ascii="Courier New" w:cs="Courier New" w:eastAsia="Courier New" w:hAnsi="Courier New"/>
                <w:sz w:val="15"/>
                <w:szCs w:val="15"/>
                <w:color w:val="auto"/>
              </w:rPr>
              <w:t>61</w:t>
            </w:r>
          </w:p>
        </w:tc>
        <w:tc>
          <w:tcPr>
            <w:tcW w:w="3360" w:type="dxa"/>
            <w:vAlign w:val="bottom"/>
          </w:tcPr>
          <w:p>
            <w:pPr>
              <w:spacing w:after="0"/>
              <w:rPr>
                <w:sz w:val="24"/>
                <w:szCs w:val="24"/>
                <w:color w:val="auto"/>
              </w:rPr>
            </w:pPr>
          </w:p>
        </w:tc>
      </w:tr>
    </w:tbl>
    <w:p>
      <w:pPr>
        <w:sectPr>
          <w:pgSz w:w="11900" w:h="16838" w:orient="portrait"/>
          <w:cols w:equalWidth="0" w:num="1">
            <w:col w:w="10239"/>
          </w:cols>
          <w:pgMar w:left="220" w:top="954" w:right="1440" w:bottom="1440" w:gutter="0" w:footer="0" w:header="0"/>
        </w:sectPr>
      </w:pPr>
    </w:p>
    <w:bookmarkStart w:id="276" w:name="page277"/>
    <w:bookmarkEnd w:id="27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00" w:type="dxa"/>
            <w:vAlign w:val="bottom"/>
          </w:tcPr>
          <w:p>
            <w:pPr>
              <w:spacing w:after="0"/>
              <w:rPr>
                <w:sz w:val="20"/>
                <w:szCs w:val="20"/>
                <w:color w:val="auto"/>
              </w:rPr>
            </w:pPr>
            <w:r>
              <w:rPr>
                <w:rFonts w:ascii="Courier New" w:cs="Courier New" w:eastAsia="Courier New" w:hAnsi="Courier New"/>
                <w:sz w:val="15"/>
                <w:szCs w:val="15"/>
                <w:color w:val="auto"/>
              </w:rPr>
              <w:t>Address:</w:t>
            </w:r>
          </w:p>
        </w:tc>
        <w:tc>
          <w:tcPr>
            <w:tcW w:w="2800" w:type="dxa"/>
            <w:vAlign w:val="bottom"/>
          </w:tcPr>
          <w:p>
            <w:pPr>
              <w:spacing w:after="0"/>
              <w:rPr>
                <w:sz w:val="14"/>
                <w:szCs w:val="14"/>
                <w:color w:val="auto"/>
              </w:rPr>
            </w:pP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800" w:type="dxa"/>
            <w:vAlign w:val="bottom"/>
          </w:tcPr>
          <w:p>
            <w:pPr>
              <w:spacing w:after="0"/>
              <w:rPr>
                <w:sz w:val="14"/>
                <w:szCs w:val="14"/>
                <w:color w:val="auto"/>
              </w:rPr>
            </w:pP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151 O'Connor Street</w:t>
            </w:r>
          </w:p>
        </w:tc>
        <w:tc>
          <w:tcPr>
            <w:tcW w:w="2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EXPORT DEVELOPMENT CANADA,</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Ottawa, Ontario, Canada</w:t>
            </w:r>
          </w:p>
        </w:tc>
        <w:tc>
          <w:tcPr>
            <w:tcW w:w="280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as Arranger</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Attention: Denis L'Heureux/Diana MacGibbon</w:t>
            </w:r>
          </w:p>
        </w:tc>
        <w:tc>
          <w:tcPr>
            <w:tcW w:w="2800" w:type="dxa"/>
            <w:vAlign w:val="bottom"/>
          </w:tcPr>
          <w:p>
            <w:pPr>
              <w:spacing w:after="0"/>
              <w:rPr>
                <w:sz w:val="14"/>
                <w:szCs w:val="14"/>
                <w:color w:val="auto"/>
              </w:rPr>
            </w:pP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Telephone: +1 (613) 597 8809</w:t>
            </w:r>
          </w:p>
        </w:tc>
        <w:tc>
          <w:tcPr>
            <w:tcW w:w="2800" w:type="dxa"/>
            <w:vAlign w:val="bottom"/>
          </w:tcPr>
          <w:p>
            <w:pPr>
              <w:spacing w:after="0"/>
              <w:rPr>
                <w:sz w:val="14"/>
                <w:szCs w:val="14"/>
                <w:color w:val="auto"/>
              </w:rPr>
            </w:pP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Facsimile: +1 (613) 597 8503</w:t>
            </w:r>
          </w:p>
        </w:tc>
        <w:tc>
          <w:tcPr>
            <w:tcW w:w="2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By:_______________________</w:t>
            </w:r>
          </w:p>
        </w:tc>
      </w:tr>
      <w:tr>
        <w:trPr>
          <w:trHeight w:val="168"/>
        </w:trPr>
        <w:tc>
          <w:tcPr>
            <w:tcW w:w="4200" w:type="dxa"/>
            <w:vAlign w:val="bottom"/>
          </w:tcPr>
          <w:p>
            <w:pPr>
              <w:spacing w:after="0"/>
              <w:rPr>
                <w:sz w:val="14"/>
                <w:szCs w:val="14"/>
                <w:color w:val="auto"/>
              </w:rPr>
            </w:pPr>
          </w:p>
        </w:tc>
        <w:tc>
          <w:tcPr>
            <w:tcW w:w="2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Name:__________________</w:t>
            </w:r>
          </w:p>
        </w:tc>
      </w:tr>
      <w:tr>
        <w:trPr>
          <w:trHeight w:val="168"/>
        </w:trPr>
        <w:tc>
          <w:tcPr>
            <w:tcW w:w="4200" w:type="dxa"/>
            <w:vAlign w:val="bottom"/>
          </w:tcPr>
          <w:p>
            <w:pPr>
              <w:spacing w:after="0"/>
              <w:rPr>
                <w:sz w:val="14"/>
                <w:szCs w:val="14"/>
                <w:color w:val="auto"/>
              </w:rPr>
            </w:pPr>
          </w:p>
        </w:tc>
        <w:tc>
          <w:tcPr>
            <w:tcW w:w="2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Title:_________________</w:t>
            </w:r>
          </w:p>
        </w:tc>
      </w:tr>
      <w:tr>
        <w:trPr>
          <w:trHeight w:val="505"/>
        </w:trPr>
        <w:tc>
          <w:tcPr>
            <w:tcW w:w="4200" w:type="dxa"/>
            <w:vAlign w:val="bottom"/>
          </w:tcPr>
          <w:p>
            <w:pPr>
              <w:spacing w:after="0"/>
              <w:rPr>
                <w:sz w:val="24"/>
                <w:szCs w:val="24"/>
                <w:color w:val="auto"/>
              </w:rPr>
            </w:pPr>
          </w:p>
        </w:tc>
        <w:tc>
          <w:tcPr>
            <w:tcW w:w="2800" w:type="dxa"/>
            <w:vAlign w:val="bottom"/>
          </w:tcPr>
          <w:p>
            <w:pPr>
              <w:jc w:val="right"/>
              <w:spacing w:after="0"/>
              <w:rPr>
                <w:sz w:val="20"/>
                <w:szCs w:val="20"/>
                <w:color w:val="auto"/>
              </w:rPr>
            </w:pPr>
            <w:r>
              <w:rPr>
                <w:rFonts w:ascii="Courier New" w:cs="Courier New" w:eastAsia="Courier New" w:hAnsi="Courier New"/>
                <w:sz w:val="15"/>
                <w:szCs w:val="15"/>
                <w:color w:val="auto"/>
              </w:rPr>
              <w:t>By:_______________________</w:t>
            </w:r>
          </w:p>
        </w:tc>
      </w:tr>
      <w:tr>
        <w:trPr>
          <w:trHeight w:val="168"/>
        </w:trPr>
        <w:tc>
          <w:tcPr>
            <w:tcW w:w="4200" w:type="dxa"/>
            <w:vAlign w:val="bottom"/>
          </w:tcPr>
          <w:p>
            <w:pPr>
              <w:spacing w:after="0"/>
              <w:rPr>
                <w:sz w:val="14"/>
                <w:szCs w:val="14"/>
                <w:color w:val="auto"/>
              </w:rPr>
            </w:pPr>
          </w:p>
        </w:tc>
        <w:tc>
          <w:tcPr>
            <w:tcW w:w="2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Name:__________________</w:t>
            </w:r>
          </w:p>
        </w:tc>
      </w:tr>
      <w:tr>
        <w:trPr>
          <w:trHeight w:val="168"/>
        </w:trPr>
        <w:tc>
          <w:tcPr>
            <w:tcW w:w="4200" w:type="dxa"/>
            <w:vAlign w:val="bottom"/>
          </w:tcPr>
          <w:p>
            <w:pPr>
              <w:spacing w:after="0"/>
              <w:rPr>
                <w:sz w:val="14"/>
                <w:szCs w:val="14"/>
                <w:color w:val="auto"/>
              </w:rPr>
            </w:pPr>
          </w:p>
        </w:tc>
        <w:tc>
          <w:tcPr>
            <w:tcW w:w="2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Title:_________________</w:t>
            </w:r>
          </w:p>
        </w:tc>
      </w:tr>
      <w:tr>
        <w:trPr>
          <w:trHeight w:val="336"/>
        </w:trPr>
        <w:tc>
          <w:tcPr>
            <w:tcW w:w="4200" w:type="dxa"/>
            <w:vAlign w:val="bottom"/>
          </w:tcPr>
          <w:p>
            <w:pPr>
              <w:ind w:left="3420"/>
              <w:spacing w:after="0"/>
              <w:rPr>
                <w:sz w:val="20"/>
                <w:szCs w:val="20"/>
                <w:color w:val="auto"/>
              </w:rPr>
            </w:pPr>
            <w:r>
              <w:rPr>
                <w:rFonts w:ascii="Courier New" w:cs="Courier New" w:eastAsia="Courier New" w:hAnsi="Courier New"/>
                <w:sz w:val="15"/>
                <w:szCs w:val="15"/>
                <w:color w:val="auto"/>
              </w:rPr>
              <w:t>62</w:t>
            </w:r>
          </w:p>
        </w:tc>
        <w:tc>
          <w:tcPr>
            <w:tcW w:w="280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277" w:name="page278"/>
    <w:bookmarkEnd w:id="27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Address:</w:t>
            </w:r>
          </w:p>
        </w:tc>
        <w:tc>
          <w:tcPr>
            <w:tcW w:w="3920" w:type="dxa"/>
            <w:vAlign w:val="bottom"/>
          </w:tcPr>
          <w:p>
            <w:pPr>
              <w:spacing w:after="0"/>
              <w:rPr>
                <w:sz w:val="14"/>
                <w:szCs w:val="14"/>
                <w:color w:val="auto"/>
              </w:rPr>
            </w:pP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920" w:type="dxa"/>
            <w:vAlign w:val="bottom"/>
          </w:tcPr>
          <w:p>
            <w:pPr>
              <w:spacing w:after="0"/>
              <w:rPr>
                <w:sz w:val="14"/>
                <w:szCs w:val="14"/>
                <w:color w:val="auto"/>
              </w:rPr>
            </w:pP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Montes Urales #620, 3er Piso</w:t>
            </w:r>
          </w:p>
        </w:tc>
        <w:tc>
          <w:tcPr>
            <w:tcW w:w="3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BBVA BANCOMER, S.A., INSTITUCION</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Colonia Lomas de Chapultepec</w:t>
            </w:r>
          </w:p>
        </w:tc>
        <w:tc>
          <w:tcPr>
            <w:tcW w:w="39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DE BANCA MULTIPLE, GRUPO</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Mexico D.F. 11000</w:t>
            </w:r>
          </w:p>
        </w:tc>
        <w:tc>
          <w:tcPr>
            <w:tcW w:w="39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FINANCIERO BBVA BANCOMER,</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Attention: Concepcion Zuniga</w:t>
            </w:r>
          </w:p>
        </w:tc>
        <w:tc>
          <w:tcPr>
            <w:tcW w:w="39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as Administrative Agent</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Telephone:  011-52-555-201-2063</w:t>
            </w:r>
          </w:p>
        </w:tc>
        <w:tc>
          <w:tcPr>
            <w:tcW w:w="3920" w:type="dxa"/>
            <w:vAlign w:val="bottom"/>
          </w:tcPr>
          <w:p>
            <w:pPr>
              <w:spacing w:after="0"/>
              <w:rPr>
                <w:sz w:val="14"/>
                <w:szCs w:val="14"/>
                <w:color w:val="auto"/>
              </w:rPr>
            </w:pP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Facsimile:  011-52-555-201-2054</w:t>
            </w:r>
          </w:p>
        </w:tc>
        <w:tc>
          <w:tcPr>
            <w:tcW w:w="3920" w:type="dxa"/>
            <w:vAlign w:val="bottom"/>
          </w:tcPr>
          <w:p>
            <w:pPr>
              <w:spacing w:after="0"/>
              <w:rPr>
                <w:sz w:val="14"/>
                <w:szCs w:val="14"/>
                <w:color w:val="auto"/>
              </w:rPr>
            </w:pPr>
          </w:p>
        </w:tc>
      </w:tr>
      <w:tr>
        <w:trPr>
          <w:trHeight w:val="168"/>
        </w:trPr>
        <w:tc>
          <w:tcPr>
            <w:tcW w:w="3080" w:type="dxa"/>
            <w:vAlign w:val="bottom"/>
          </w:tcPr>
          <w:p>
            <w:pPr>
              <w:spacing w:after="0"/>
              <w:rPr>
                <w:sz w:val="14"/>
                <w:szCs w:val="14"/>
                <w:color w:val="auto"/>
              </w:rPr>
            </w:pPr>
          </w:p>
        </w:tc>
        <w:tc>
          <w:tcPr>
            <w:tcW w:w="3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By:_____________________________</w:t>
            </w:r>
          </w:p>
        </w:tc>
      </w:tr>
      <w:tr>
        <w:trPr>
          <w:trHeight w:val="168"/>
        </w:trPr>
        <w:tc>
          <w:tcPr>
            <w:tcW w:w="3080" w:type="dxa"/>
            <w:vAlign w:val="bottom"/>
          </w:tcPr>
          <w:p>
            <w:pPr>
              <w:spacing w:after="0"/>
              <w:rPr>
                <w:sz w:val="14"/>
                <w:szCs w:val="14"/>
                <w:color w:val="auto"/>
              </w:rPr>
            </w:pPr>
          </w:p>
        </w:tc>
        <w:tc>
          <w:tcPr>
            <w:tcW w:w="3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Name:________________________</w:t>
            </w:r>
          </w:p>
        </w:tc>
      </w:tr>
      <w:tr>
        <w:trPr>
          <w:trHeight w:val="168"/>
        </w:trPr>
        <w:tc>
          <w:tcPr>
            <w:tcW w:w="3080" w:type="dxa"/>
            <w:vAlign w:val="bottom"/>
          </w:tcPr>
          <w:p>
            <w:pPr>
              <w:spacing w:after="0"/>
              <w:rPr>
                <w:sz w:val="14"/>
                <w:szCs w:val="14"/>
                <w:color w:val="auto"/>
              </w:rPr>
            </w:pPr>
          </w:p>
        </w:tc>
        <w:tc>
          <w:tcPr>
            <w:tcW w:w="3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Title:_______________________</w:t>
            </w:r>
          </w:p>
        </w:tc>
      </w:tr>
      <w:tr>
        <w:trPr>
          <w:trHeight w:val="505"/>
        </w:trPr>
        <w:tc>
          <w:tcPr>
            <w:tcW w:w="3080" w:type="dxa"/>
            <w:vAlign w:val="bottom"/>
          </w:tcPr>
          <w:p>
            <w:pPr>
              <w:spacing w:after="0"/>
              <w:rPr>
                <w:sz w:val="24"/>
                <w:szCs w:val="24"/>
                <w:color w:val="auto"/>
              </w:rPr>
            </w:pPr>
          </w:p>
        </w:tc>
        <w:tc>
          <w:tcPr>
            <w:tcW w:w="3920" w:type="dxa"/>
            <w:vAlign w:val="bottom"/>
          </w:tcPr>
          <w:p>
            <w:pPr>
              <w:jc w:val="right"/>
              <w:spacing w:after="0"/>
              <w:rPr>
                <w:sz w:val="20"/>
                <w:szCs w:val="20"/>
                <w:color w:val="auto"/>
              </w:rPr>
            </w:pPr>
            <w:r>
              <w:rPr>
                <w:rFonts w:ascii="Courier New" w:cs="Courier New" w:eastAsia="Courier New" w:hAnsi="Courier New"/>
                <w:sz w:val="15"/>
                <w:szCs w:val="15"/>
                <w:color w:val="auto"/>
              </w:rPr>
              <w:t>By:_____________________________</w:t>
            </w:r>
          </w:p>
        </w:tc>
      </w:tr>
      <w:tr>
        <w:trPr>
          <w:trHeight w:val="168"/>
        </w:trPr>
        <w:tc>
          <w:tcPr>
            <w:tcW w:w="3080" w:type="dxa"/>
            <w:vAlign w:val="bottom"/>
          </w:tcPr>
          <w:p>
            <w:pPr>
              <w:spacing w:after="0"/>
              <w:rPr>
                <w:sz w:val="14"/>
                <w:szCs w:val="14"/>
                <w:color w:val="auto"/>
              </w:rPr>
            </w:pPr>
          </w:p>
        </w:tc>
        <w:tc>
          <w:tcPr>
            <w:tcW w:w="3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Name:________________________</w:t>
            </w:r>
          </w:p>
        </w:tc>
      </w:tr>
      <w:tr>
        <w:trPr>
          <w:trHeight w:val="168"/>
        </w:trPr>
        <w:tc>
          <w:tcPr>
            <w:tcW w:w="3080" w:type="dxa"/>
            <w:vAlign w:val="bottom"/>
          </w:tcPr>
          <w:p>
            <w:pPr>
              <w:spacing w:after="0"/>
              <w:rPr>
                <w:sz w:val="14"/>
                <w:szCs w:val="14"/>
                <w:color w:val="auto"/>
              </w:rPr>
            </w:pPr>
          </w:p>
        </w:tc>
        <w:tc>
          <w:tcPr>
            <w:tcW w:w="3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Title:_______________________</w:t>
            </w:r>
          </w:p>
        </w:tc>
      </w:tr>
      <w:tr>
        <w:trPr>
          <w:trHeight w:val="336"/>
        </w:trPr>
        <w:tc>
          <w:tcPr>
            <w:tcW w:w="3080" w:type="dxa"/>
            <w:vAlign w:val="bottom"/>
          </w:tcPr>
          <w:p>
            <w:pPr>
              <w:spacing w:after="0"/>
              <w:rPr>
                <w:sz w:val="24"/>
                <w:szCs w:val="24"/>
                <w:color w:val="auto"/>
              </w:rPr>
            </w:pPr>
          </w:p>
        </w:tc>
        <w:tc>
          <w:tcPr>
            <w:tcW w:w="3920" w:type="dxa"/>
            <w:vAlign w:val="bottom"/>
          </w:tcPr>
          <w:p>
            <w:pPr>
              <w:jc w:val="right"/>
              <w:ind w:right="3327"/>
              <w:spacing w:after="0"/>
              <w:rPr>
                <w:sz w:val="20"/>
                <w:szCs w:val="20"/>
                <w:color w:val="auto"/>
              </w:rPr>
            </w:pPr>
            <w:r>
              <w:rPr>
                <w:rFonts w:ascii="Courier New" w:cs="Courier New" w:eastAsia="Courier New" w:hAnsi="Courier New"/>
                <w:sz w:val="15"/>
                <w:szCs w:val="15"/>
                <w:color w:val="auto"/>
              </w:rPr>
              <w:t>63</w:t>
            </w:r>
          </w:p>
        </w:tc>
      </w:tr>
    </w:tbl>
    <w:p>
      <w:pPr>
        <w:sectPr>
          <w:pgSz w:w="11900" w:h="16838" w:orient="portrait"/>
          <w:cols w:equalWidth="0" w:num="1">
            <w:col w:w="10239"/>
          </w:cols>
          <w:pgMar w:left="220" w:top="953" w:right="1440" w:bottom="1440" w:gutter="0" w:footer="0" w:header="0"/>
        </w:sectPr>
      </w:pPr>
    </w:p>
    <w:bookmarkStart w:id="278" w:name="page279"/>
    <w:bookmarkEnd w:id="27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00" w:type="dxa"/>
            <w:vAlign w:val="bottom"/>
          </w:tcPr>
          <w:p>
            <w:pPr>
              <w:spacing w:after="0"/>
              <w:rPr>
                <w:sz w:val="20"/>
                <w:szCs w:val="20"/>
                <w:color w:val="auto"/>
              </w:rPr>
            </w:pPr>
            <w:r>
              <w:rPr>
                <w:rFonts w:ascii="Courier New" w:cs="Courier New" w:eastAsia="Courier New" w:hAnsi="Courier New"/>
                <w:sz w:val="15"/>
                <w:szCs w:val="15"/>
                <w:color w:val="auto"/>
              </w:rPr>
              <w:t>Address:</w:t>
            </w:r>
          </w:p>
        </w:tc>
        <w:tc>
          <w:tcPr>
            <w:tcW w:w="2800" w:type="dxa"/>
            <w:vAlign w:val="bottom"/>
          </w:tcPr>
          <w:p>
            <w:pPr>
              <w:spacing w:after="0"/>
              <w:rPr>
                <w:sz w:val="14"/>
                <w:szCs w:val="14"/>
                <w:color w:val="auto"/>
              </w:rPr>
            </w:pP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800" w:type="dxa"/>
            <w:vAlign w:val="bottom"/>
          </w:tcPr>
          <w:p>
            <w:pPr>
              <w:spacing w:after="0"/>
              <w:rPr>
                <w:sz w:val="14"/>
                <w:szCs w:val="14"/>
                <w:color w:val="auto"/>
              </w:rPr>
            </w:pP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151 O'Connor Street</w:t>
            </w:r>
          </w:p>
        </w:tc>
        <w:tc>
          <w:tcPr>
            <w:tcW w:w="2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EXPORT DEVELOPMENT CANADA,</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Ottawa, Ontario, Canada</w:t>
            </w:r>
          </w:p>
        </w:tc>
        <w:tc>
          <w:tcPr>
            <w:tcW w:w="28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as Syndication Agent</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Attention: Denis L'Heureux/Diana MacGibbon</w:t>
            </w:r>
          </w:p>
        </w:tc>
        <w:tc>
          <w:tcPr>
            <w:tcW w:w="2800" w:type="dxa"/>
            <w:vAlign w:val="bottom"/>
          </w:tcPr>
          <w:p>
            <w:pPr>
              <w:spacing w:after="0"/>
              <w:rPr>
                <w:sz w:val="14"/>
                <w:szCs w:val="14"/>
                <w:color w:val="auto"/>
              </w:rPr>
            </w:pP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Telephone: +1 (613) 597 8809</w:t>
            </w:r>
          </w:p>
        </w:tc>
        <w:tc>
          <w:tcPr>
            <w:tcW w:w="2800" w:type="dxa"/>
            <w:vAlign w:val="bottom"/>
          </w:tcPr>
          <w:p>
            <w:pPr>
              <w:spacing w:after="0"/>
              <w:rPr>
                <w:sz w:val="14"/>
                <w:szCs w:val="14"/>
                <w:color w:val="auto"/>
              </w:rPr>
            </w:pP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Facsimile: +1 (613) 597 8503</w:t>
            </w:r>
          </w:p>
        </w:tc>
        <w:tc>
          <w:tcPr>
            <w:tcW w:w="2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By:_______________________</w:t>
            </w:r>
          </w:p>
        </w:tc>
      </w:tr>
      <w:tr>
        <w:trPr>
          <w:trHeight w:val="168"/>
        </w:trPr>
        <w:tc>
          <w:tcPr>
            <w:tcW w:w="4200" w:type="dxa"/>
            <w:vAlign w:val="bottom"/>
          </w:tcPr>
          <w:p>
            <w:pPr>
              <w:spacing w:after="0"/>
              <w:rPr>
                <w:sz w:val="14"/>
                <w:szCs w:val="14"/>
                <w:color w:val="auto"/>
              </w:rPr>
            </w:pPr>
          </w:p>
        </w:tc>
        <w:tc>
          <w:tcPr>
            <w:tcW w:w="2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Name:__________________</w:t>
            </w:r>
          </w:p>
        </w:tc>
      </w:tr>
      <w:tr>
        <w:trPr>
          <w:trHeight w:val="168"/>
        </w:trPr>
        <w:tc>
          <w:tcPr>
            <w:tcW w:w="4200" w:type="dxa"/>
            <w:vAlign w:val="bottom"/>
          </w:tcPr>
          <w:p>
            <w:pPr>
              <w:spacing w:after="0"/>
              <w:rPr>
                <w:sz w:val="14"/>
                <w:szCs w:val="14"/>
                <w:color w:val="auto"/>
              </w:rPr>
            </w:pPr>
          </w:p>
        </w:tc>
        <w:tc>
          <w:tcPr>
            <w:tcW w:w="2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Title:_________________</w:t>
            </w:r>
          </w:p>
        </w:tc>
      </w:tr>
      <w:tr>
        <w:trPr>
          <w:trHeight w:val="505"/>
        </w:trPr>
        <w:tc>
          <w:tcPr>
            <w:tcW w:w="4200" w:type="dxa"/>
            <w:vAlign w:val="bottom"/>
          </w:tcPr>
          <w:p>
            <w:pPr>
              <w:spacing w:after="0"/>
              <w:rPr>
                <w:sz w:val="24"/>
                <w:szCs w:val="24"/>
                <w:color w:val="auto"/>
              </w:rPr>
            </w:pPr>
          </w:p>
        </w:tc>
        <w:tc>
          <w:tcPr>
            <w:tcW w:w="2800" w:type="dxa"/>
            <w:vAlign w:val="bottom"/>
          </w:tcPr>
          <w:p>
            <w:pPr>
              <w:jc w:val="right"/>
              <w:spacing w:after="0"/>
              <w:rPr>
                <w:sz w:val="20"/>
                <w:szCs w:val="20"/>
                <w:color w:val="auto"/>
              </w:rPr>
            </w:pPr>
            <w:r>
              <w:rPr>
                <w:rFonts w:ascii="Courier New" w:cs="Courier New" w:eastAsia="Courier New" w:hAnsi="Courier New"/>
                <w:sz w:val="15"/>
                <w:szCs w:val="15"/>
                <w:color w:val="auto"/>
              </w:rPr>
              <w:t>By:_______________________</w:t>
            </w:r>
          </w:p>
        </w:tc>
      </w:tr>
      <w:tr>
        <w:trPr>
          <w:trHeight w:val="168"/>
        </w:trPr>
        <w:tc>
          <w:tcPr>
            <w:tcW w:w="4200" w:type="dxa"/>
            <w:vAlign w:val="bottom"/>
          </w:tcPr>
          <w:p>
            <w:pPr>
              <w:spacing w:after="0"/>
              <w:rPr>
                <w:sz w:val="14"/>
                <w:szCs w:val="14"/>
                <w:color w:val="auto"/>
              </w:rPr>
            </w:pPr>
          </w:p>
        </w:tc>
        <w:tc>
          <w:tcPr>
            <w:tcW w:w="2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Name:__________________</w:t>
            </w:r>
          </w:p>
        </w:tc>
      </w:tr>
      <w:tr>
        <w:trPr>
          <w:trHeight w:val="168"/>
        </w:trPr>
        <w:tc>
          <w:tcPr>
            <w:tcW w:w="4200" w:type="dxa"/>
            <w:vAlign w:val="bottom"/>
          </w:tcPr>
          <w:p>
            <w:pPr>
              <w:spacing w:after="0"/>
              <w:rPr>
                <w:sz w:val="14"/>
                <w:szCs w:val="14"/>
                <w:color w:val="auto"/>
              </w:rPr>
            </w:pPr>
          </w:p>
        </w:tc>
        <w:tc>
          <w:tcPr>
            <w:tcW w:w="2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Title:_________________</w:t>
            </w:r>
          </w:p>
        </w:tc>
      </w:tr>
      <w:tr>
        <w:trPr>
          <w:trHeight w:val="505"/>
        </w:trPr>
        <w:tc>
          <w:tcPr>
            <w:tcW w:w="4200" w:type="dxa"/>
            <w:vAlign w:val="bottom"/>
          </w:tcPr>
          <w:p>
            <w:pPr>
              <w:ind w:left="3420"/>
              <w:spacing w:after="0"/>
              <w:rPr>
                <w:sz w:val="20"/>
                <w:szCs w:val="20"/>
                <w:color w:val="auto"/>
              </w:rPr>
            </w:pPr>
            <w:r>
              <w:rPr>
                <w:rFonts w:ascii="Courier New" w:cs="Courier New" w:eastAsia="Courier New" w:hAnsi="Courier New"/>
                <w:sz w:val="15"/>
                <w:szCs w:val="15"/>
                <w:color w:val="auto"/>
              </w:rPr>
              <w:t>64</w:t>
            </w:r>
          </w:p>
        </w:tc>
        <w:tc>
          <w:tcPr>
            <w:tcW w:w="2800" w:type="dxa"/>
            <w:vAlign w:val="bottom"/>
          </w:tcPr>
          <w:p>
            <w:pPr>
              <w:spacing w:after="0"/>
              <w:rPr>
                <w:sz w:val="24"/>
                <w:szCs w:val="24"/>
                <w:color w:val="auto"/>
              </w:rPr>
            </w:pPr>
          </w:p>
        </w:tc>
      </w:tr>
    </w:tbl>
    <w:p>
      <w:pPr>
        <w:sectPr>
          <w:pgSz w:w="11900" w:h="16838" w:orient="portrait"/>
          <w:cols w:equalWidth="0" w:num="1">
            <w:col w:w="10239"/>
          </w:cols>
          <w:pgMar w:left="220" w:top="785" w:right="1440" w:bottom="1440" w:gutter="0" w:footer="0" w:header="0"/>
        </w:sectPr>
      </w:pPr>
    </w:p>
    <w:bookmarkStart w:id="279" w:name="page280"/>
    <w:bookmarkEnd w:id="27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80" w:type="dxa"/>
            <w:vAlign w:val="bottom"/>
          </w:tcPr>
          <w:p>
            <w:pPr>
              <w:spacing w:after="0"/>
              <w:rPr>
                <w:sz w:val="20"/>
                <w:szCs w:val="20"/>
                <w:color w:val="auto"/>
              </w:rPr>
            </w:pPr>
            <w:r>
              <w:rPr>
                <w:rFonts w:ascii="Courier New" w:cs="Courier New" w:eastAsia="Courier New" w:hAnsi="Courier New"/>
                <w:sz w:val="15"/>
                <w:szCs w:val="15"/>
                <w:color w:val="auto"/>
              </w:rPr>
              <w:t>Address:</w:t>
            </w:r>
          </w:p>
        </w:tc>
        <w:tc>
          <w:tcPr>
            <w:tcW w:w="3320" w:type="dxa"/>
            <w:vAlign w:val="bottom"/>
          </w:tcPr>
          <w:p>
            <w:pPr>
              <w:spacing w:after="0"/>
              <w:rPr>
                <w:sz w:val="14"/>
                <w:szCs w:val="14"/>
                <w:color w:val="auto"/>
              </w:rPr>
            </w:pP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320" w:type="dxa"/>
            <w:vAlign w:val="bottom"/>
          </w:tcPr>
          <w:p>
            <w:pPr>
              <w:spacing w:after="0"/>
              <w:rPr>
                <w:sz w:val="14"/>
                <w:szCs w:val="14"/>
                <w:color w:val="auto"/>
              </w:rPr>
            </w:pP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100 Rustcraft Road</w:t>
            </w:r>
          </w:p>
        </w:tc>
        <w:tc>
          <w:tcPr>
            <w:tcW w:w="3320" w:type="dxa"/>
            <w:vAlign w:val="bottom"/>
          </w:tcPr>
          <w:p>
            <w:pPr>
              <w:jc w:val="right"/>
              <w:ind w:right="1747"/>
              <w:spacing w:after="0" w:line="168" w:lineRule="exact"/>
              <w:rPr>
                <w:sz w:val="20"/>
                <w:szCs w:val="20"/>
                <w:color w:val="auto"/>
              </w:rPr>
            </w:pPr>
            <w:r>
              <w:rPr>
                <w:rFonts w:ascii="Courier New" w:cs="Courier New" w:eastAsia="Courier New" w:hAnsi="Courier New"/>
                <w:sz w:val="15"/>
                <w:szCs w:val="15"/>
                <w:color w:val="auto"/>
              </w:rPr>
              <w:t>BANKBOSTON N.A.,</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Dedham, Massachusetts, USA</w:t>
            </w:r>
          </w:p>
        </w:tc>
        <w:tc>
          <w:tcPr>
            <w:tcW w:w="3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as Documentation Agent (BankBoston</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Attention: Pamela Carpenter/Jorge Garcia</w:t>
            </w:r>
          </w:p>
        </w:tc>
        <w:tc>
          <w:tcPr>
            <w:tcW w:w="3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is the name by which Fleet National</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Telephone:  781-467-2271</w:t>
            </w:r>
          </w:p>
        </w:tc>
        <w:tc>
          <w:tcPr>
            <w:tcW w:w="3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Bank operates in Latin America)</w:t>
            </w:r>
          </w:p>
        </w:tc>
      </w:tr>
      <w:tr>
        <w:trPr>
          <w:trHeight w:val="505"/>
        </w:trPr>
        <w:tc>
          <w:tcPr>
            <w:tcW w:w="3680" w:type="dxa"/>
            <w:vAlign w:val="bottom"/>
          </w:tcPr>
          <w:p>
            <w:pPr>
              <w:spacing w:after="0"/>
              <w:rPr>
                <w:sz w:val="24"/>
                <w:szCs w:val="24"/>
                <w:color w:val="auto"/>
              </w:rPr>
            </w:pPr>
          </w:p>
        </w:tc>
        <w:tc>
          <w:tcPr>
            <w:tcW w:w="3320" w:type="dxa"/>
            <w:vAlign w:val="bottom"/>
          </w:tcPr>
          <w:p>
            <w:pPr>
              <w:jc w:val="right"/>
              <w:spacing w:after="0"/>
              <w:rPr>
                <w:sz w:val="20"/>
                <w:szCs w:val="20"/>
                <w:color w:val="auto"/>
              </w:rPr>
            </w:pPr>
            <w:r>
              <w:rPr>
                <w:rFonts w:ascii="Courier New" w:cs="Courier New" w:eastAsia="Courier New" w:hAnsi="Courier New"/>
                <w:sz w:val="15"/>
                <w:szCs w:val="15"/>
                <w:color w:val="auto"/>
                <w:w w:val="99"/>
              </w:rPr>
              <w:t>By:__________________________________</w:t>
            </w:r>
          </w:p>
        </w:tc>
      </w:tr>
      <w:tr>
        <w:trPr>
          <w:trHeight w:val="168"/>
        </w:trPr>
        <w:tc>
          <w:tcPr>
            <w:tcW w:w="3680" w:type="dxa"/>
            <w:vAlign w:val="bottom"/>
          </w:tcPr>
          <w:p>
            <w:pPr>
              <w:spacing w:after="0"/>
              <w:rPr>
                <w:sz w:val="14"/>
                <w:szCs w:val="14"/>
                <w:color w:val="auto"/>
              </w:rPr>
            </w:pPr>
          </w:p>
        </w:tc>
        <w:tc>
          <w:tcPr>
            <w:tcW w:w="3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Name:_____________________________</w:t>
            </w:r>
          </w:p>
        </w:tc>
      </w:tr>
      <w:tr>
        <w:trPr>
          <w:trHeight w:val="168"/>
        </w:trPr>
        <w:tc>
          <w:tcPr>
            <w:tcW w:w="3680" w:type="dxa"/>
            <w:vAlign w:val="bottom"/>
          </w:tcPr>
          <w:p>
            <w:pPr>
              <w:spacing w:after="0"/>
              <w:rPr>
                <w:sz w:val="14"/>
                <w:szCs w:val="14"/>
                <w:color w:val="auto"/>
              </w:rPr>
            </w:pPr>
          </w:p>
        </w:tc>
        <w:tc>
          <w:tcPr>
            <w:tcW w:w="3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Title:____________________________</w:t>
            </w:r>
          </w:p>
        </w:tc>
      </w:tr>
      <w:tr>
        <w:trPr>
          <w:trHeight w:val="505"/>
        </w:trPr>
        <w:tc>
          <w:tcPr>
            <w:tcW w:w="3680" w:type="dxa"/>
            <w:vAlign w:val="bottom"/>
          </w:tcPr>
          <w:p>
            <w:pPr>
              <w:spacing w:after="0"/>
              <w:rPr>
                <w:sz w:val="24"/>
                <w:szCs w:val="24"/>
                <w:color w:val="auto"/>
              </w:rPr>
            </w:pPr>
          </w:p>
        </w:tc>
        <w:tc>
          <w:tcPr>
            <w:tcW w:w="3320" w:type="dxa"/>
            <w:vAlign w:val="bottom"/>
          </w:tcPr>
          <w:p>
            <w:pPr>
              <w:jc w:val="right"/>
              <w:spacing w:after="0"/>
              <w:rPr>
                <w:sz w:val="20"/>
                <w:szCs w:val="20"/>
                <w:color w:val="auto"/>
              </w:rPr>
            </w:pPr>
            <w:r>
              <w:rPr>
                <w:rFonts w:ascii="Courier New" w:cs="Courier New" w:eastAsia="Courier New" w:hAnsi="Courier New"/>
                <w:sz w:val="15"/>
                <w:szCs w:val="15"/>
                <w:color w:val="auto"/>
                <w:w w:val="99"/>
              </w:rPr>
              <w:t>By:__________________________________</w:t>
            </w:r>
          </w:p>
        </w:tc>
      </w:tr>
      <w:tr>
        <w:trPr>
          <w:trHeight w:val="168"/>
        </w:trPr>
        <w:tc>
          <w:tcPr>
            <w:tcW w:w="3680" w:type="dxa"/>
            <w:vAlign w:val="bottom"/>
          </w:tcPr>
          <w:p>
            <w:pPr>
              <w:spacing w:after="0"/>
              <w:rPr>
                <w:sz w:val="14"/>
                <w:szCs w:val="14"/>
                <w:color w:val="auto"/>
              </w:rPr>
            </w:pPr>
          </w:p>
        </w:tc>
        <w:tc>
          <w:tcPr>
            <w:tcW w:w="3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Name:_____________________________</w:t>
            </w:r>
          </w:p>
        </w:tc>
      </w:tr>
      <w:tr>
        <w:trPr>
          <w:trHeight w:val="168"/>
        </w:trPr>
        <w:tc>
          <w:tcPr>
            <w:tcW w:w="3680" w:type="dxa"/>
            <w:vAlign w:val="bottom"/>
          </w:tcPr>
          <w:p>
            <w:pPr>
              <w:spacing w:after="0"/>
              <w:rPr>
                <w:sz w:val="14"/>
                <w:szCs w:val="14"/>
                <w:color w:val="auto"/>
              </w:rPr>
            </w:pPr>
          </w:p>
        </w:tc>
        <w:tc>
          <w:tcPr>
            <w:tcW w:w="3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Title:____________________________</w:t>
            </w:r>
          </w:p>
        </w:tc>
      </w:tr>
      <w:tr>
        <w:trPr>
          <w:trHeight w:val="505"/>
        </w:trPr>
        <w:tc>
          <w:tcPr>
            <w:tcW w:w="3680" w:type="dxa"/>
            <w:vAlign w:val="bottom"/>
          </w:tcPr>
          <w:p>
            <w:pPr>
              <w:ind w:left="3420"/>
              <w:spacing w:after="0"/>
              <w:rPr>
                <w:sz w:val="20"/>
                <w:szCs w:val="20"/>
                <w:color w:val="auto"/>
              </w:rPr>
            </w:pPr>
            <w:r>
              <w:rPr>
                <w:rFonts w:ascii="Courier New" w:cs="Courier New" w:eastAsia="Courier New" w:hAnsi="Courier New"/>
                <w:sz w:val="15"/>
                <w:szCs w:val="15"/>
                <w:color w:val="auto"/>
              </w:rPr>
              <w:t>65</w:t>
            </w:r>
          </w:p>
        </w:tc>
        <w:tc>
          <w:tcPr>
            <w:tcW w:w="332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280" w:name="page281"/>
    <w:bookmarkEnd w:id="28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Address:</w:t>
            </w:r>
          </w:p>
        </w:tc>
        <w:tc>
          <w:tcPr>
            <w:tcW w:w="3920" w:type="dxa"/>
            <w:vAlign w:val="bottom"/>
          </w:tcPr>
          <w:p>
            <w:pPr>
              <w:spacing w:after="0"/>
              <w:rPr>
                <w:sz w:val="14"/>
                <w:szCs w:val="14"/>
                <w:color w:val="auto"/>
              </w:rPr>
            </w:pP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920" w:type="dxa"/>
            <w:vAlign w:val="bottom"/>
          </w:tcPr>
          <w:p>
            <w:pPr>
              <w:spacing w:after="0"/>
              <w:rPr>
                <w:sz w:val="14"/>
                <w:szCs w:val="14"/>
                <w:color w:val="auto"/>
              </w:rPr>
            </w:pP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Montes Urales #620, 3er Piso</w:t>
            </w:r>
          </w:p>
        </w:tc>
        <w:tc>
          <w:tcPr>
            <w:tcW w:w="3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BBVA BANCOMER, S.A., INSTITUCION</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Colonia Lomas de Chapultepec</w:t>
            </w:r>
          </w:p>
        </w:tc>
        <w:tc>
          <w:tcPr>
            <w:tcW w:w="3920" w:type="dxa"/>
            <w:vAlign w:val="bottom"/>
          </w:tcPr>
          <w:p>
            <w:pPr>
              <w:ind w:left="1120"/>
              <w:spacing w:after="0" w:line="168" w:lineRule="exact"/>
              <w:rPr>
                <w:sz w:val="20"/>
                <w:szCs w:val="20"/>
                <w:color w:val="auto"/>
              </w:rPr>
            </w:pPr>
            <w:r>
              <w:rPr>
                <w:rFonts w:ascii="Courier New" w:cs="Courier New" w:eastAsia="Courier New" w:hAnsi="Courier New"/>
                <w:sz w:val="15"/>
                <w:szCs w:val="15"/>
                <w:color w:val="auto"/>
              </w:rPr>
              <w:t>DE BANCA MULTIPLE, GRUPO</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Mexico D.F. 11000</w:t>
            </w:r>
          </w:p>
        </w:tc>
        <w:tc>
          <w:tcPr>
            <w:tcW w:w="3920" w:type="dxa"/>
            <w:vAlign w:val="bottom"/>
          </w:tcPr>
          <w:p>
            <w:pPr>
              <w:ind w:left="1120"/>
              <w:spacing w:after="0" w:line="168" w:lineRule="exact"/>
              <w:rPr>
                <w:sz w:val="20"/>
                <w:szCs w:val="20"/>
                <w:color w:val="auto"/>
              </w:rPr>
            </w:pPr>
            <w:r>
              <w:rPr>
                <w:rFonts w:ascii="Courier New" w:cs="Courier New" w:eastAsia="Courier New" w:hAnsi="Courier New"/>
                <w:sz w:val="15"/>
                <w:szCs w:val="15"/>
                <w:color w:val="auto"/>
              </w:rPr>
              <w:t>FINANCIERO BBVA BANCOMER,</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Attention: Concepcion Zuniga</w:t>
            </w:r>
          </w:p>
        </w:tc>
        <w:tc>
          <w:tcPr>
            <w:tcW w:w="3920" w:type="dxa"/>
            <w:vAlign w:val="bottom"/>
          </w:tcPr>
          <w:p>
            <w:pPr>
              <w:jc w:val="right"/>
              <w:ind w:right="1847"/>
              <w:spacing w:after="0" w:line="168" w:lineRule="exact"/>
              <w:rPr>
                <w:sz w:val="20"/>
                <w:szCs w:val="20"/>
                <w:color w:val="auto"/>
              </w:rPr>
            </w:pPr>
            <w:r>
              <w:rPr>
                <w:rFonts w:ascii="Courier New" w:cs="Courier New" w:eastAsia="Courier New" w:hAnsi="Courier New"/>
                <w:sz w:val="15"/>
                <w:szCs w:val="15"/>
                <w:color w:val="auto"/>
              </w:rPr>
              <w:t>as Lender</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Telephone:  011-52-555-201-2063</w:t>
            </w:r>
          </w:p>
        </w:tc>
        <w:tc>
          <w:tcPr>
            <w:tcW w:w="3920" w:type="dxa"/>
            <w:vAlign w:val="bottom"/>
          </w:tcPr>
          <w:p>
            <w:pPr>
              <w:spacing w:after="0"/>
              <w:rPr>
                <w:sz w:val="14"/>
                <w:szCs w:val="14"/>
                <w:color w:val="auto"/>
              </w:rPr>
            </w:pP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Facsimile:  011-52-555-201-2054</w:t>
            </w:r>
          </w:p>
        </w:tc>
        <w:tc>
          <w:tcPr>
            <w:tcW w:w="3920" w:type="dxa"/>
            <w:vAlign w:val="bottom"/>
          </w:tcPr>
          <w:p>
            <w:pPr>
              <w:spacing w:after="0"/>
              <w:rPr>
                <w:sz w:val="14"/>
                <w:szCs w:val="14"/>
                <w:color w:val="auto"/>
              </w:rPr>
            </w:pPr>
          </w:p>
        </w:tc>
      </w:tr>
      <w:tr>
        <w:trPr>
          <w:trHeight w:val="168"/>
        </w:trPr>
        <w:tc>
          <w:tcPr>
            <w:tcW w:w="3080" w:type="dxa"/>
            <w:vAlign w:val="bottom"/>
          </w:tcPr>
          <w:p>
            <w:pPr>
              <w:spacing w:after="0"/>
              <w:rPr>
                <w:sz w:val="14"/>
                <w:szCs w:val="14"/>
                <w:color w:val="auto"/>
              </w:rPr>
            </w:pPr>
          </w:p>
        </w:tc>
        <w:tc>
          <w:tcPr>
            <w:tcW w:w="3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By:_____________________________</w:t>
            </w:r>
          </w:p>
        </w:tc>
      </w:tr>
      <w:tr>
        <w:trPr>
          <w:trHeight w:val="168"/>
        </w:trPr>
        <w:tc>
          <w:tcPr>
            <w:tcW w:w="3080" w:type="dxa"/>
            <w:vAlign w:val="bottom"/>
          </w:tcPr>
          <w:p>
            <w:pPr>
              <w:spacing w:after="0"/>
              <w:rPr>
                <w:sz w:val="14"/>
                <w:szCs w:val="14"/>
                <w:color w:val="auto"/>
              </w:rPr>
            </w:pPr>
          </w:p>
        </w:tc>
        <w:tc>
          <w:tcPr>
            <w:tcW w:w="3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Name:________________________</w:t>
            </w:r>
          </w:p>
        </w:tc>
      </w:tr>
      <w:tr>
        <w:trPr>
          <w:trHeight w:val="168"/>
        </w:trPr>
        <w:tc>
          <w:tcPr>
            <w:tcW w:w="3080" w:type="dxa"/>
            <w:vAlign w:val="bottom"/>
          </w:tcPr>
          <w:p>
            <w:pPr>
              <w:spacing w:after="0"/>
              <w:rPr>
                <w:sz w:val="14"/>
                <w:szCs w:val="14"/>
                <w:color w:val="auto"/>
              </w:rPr>
            </w:pPr>
          </w:p>
        </w:tc>
        <w:tc>
          <w:tcPr>
            <w:tcW w:w="3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Title:_______________________</w:t>
            </w:r>
          </w:p>
        </w:tc>
      </w:tr>
      <w:tr>
        <w:trPr>
          <w:trHeight w:val="505"/>
        </w:trPr>
        <w:tc>
          <w:tcPr>
            <w:tcW w:w="3080" w:type="dxa"/>
            <w:vAlign w:val="bottom"/>
          </w:tcPr>
          <w:p>
            <w:pPr>
              <w:spacing w:after="0"/>
              <w:rPr>
                <w:sz w:val="24"/>
                <w:szCs w:val="24"/>
                <w:color w:val="auto"/>
              </w:rPr>
            </w:pPr>
          </w:p>
        </w:tc>
        <w:tc>
          <w:tcPr>
            <w:tcW w:w="3920" w:type="dxa"/>
            <w:vAlign w:val="bottom"/>
          </w:tcPr>
          <w:p>
            <w:pPr>
              <w:jc w:val="right"/>
              <w:spacing w:after="0"/>
              <w:rPr>
                <w:sz w:val="20"/>
                <w:szCs w:val="20"/>
                <w:color w:val="auto"/>
              </w:rPr>
            </w:pPr>
            <w:r>
              <w:rPr>
                <w:rFonts w:ascii="Courier New" w:cs="Courier New" w:eastAsia="Courier New" w:hAnsi="Courier New"/>
                <w:sz w:val="15"/>
                <w:szCs w:val="15"/>
                <w:color w:val="auto"/>
              </w:rPr>
              <w:t>By:_____________________________</w:t>
            </w:r>
          </w:p>
        </w:tc>
      </w:tr>
      <w:tr>
        <w:trPr>
          <w:trHeight w:val="168"/>
        </w:trPr>
        <w:tc>
          <w:tcPr>
            <w:tcW w:w="3080" w:type="dxa"/>
            <w:vAlign w:val="bottom"/>
          </w:tcPr>
          <w:p>
            <w:pPr>
              <w:spacing w:after="0"/>
              <w:rPr>
                <w:sz w:val="14"/>
                <w:szCs w:val="14"/>
                <w:color w:val="auto"/>
              </w:rPr>
            </w:pPr>
          </w:p>
        </w:tc>
        <w:tc>
          <w:tcPr>
            <w:tcW w:w="3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Name:________________________</w:t>
            </w:r>
          </w:p>
        </w:tc>
      </w:tr>
      <w:tr>
        <w:trPr>
          <w:trHeight w:val="168"/>
        </w:trPr>
        <w:tc>
          <w:tcPr>
            <w:tcW w:w="3080" w:type="dxa"/>
            <w:vAlign w:val="bottom"/>
          </w:tcPr>
          <w:p>
            <w:pPr>
              <w:spacing w:after="0"/>
              <w:rPr>
                <w:sz w:val="14"/>
                <w:szCs w:val="14"/>
                <w:color w:val="auto"/>
              </w:rPr>
            </w:pPr>
          </w:p>
        </w:tc>
        <w:tc>
          <w:tcPr>
            <w:tcW w:w="3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Title: ______________________</w:t>
            </w:r>
          </w:p>
        </w:tc>
      </w:tr>
      <w:tr>
        <w:trPr>
          <w:trHeight w:val="336"/>
        </w:trPr>
        <w:tc>
          <w:tcPr>
            <w:tcW w:w="3080" w:type="dxa"/>
            <w:vAlign w:val="bottom"/>
          </w:tcPr>
          <w:p>
            <w:pPr>
              <w:spacing w:after="0"/>
              <w:rPr>
                <w:sz w:val="24"/>
                <w:szCs w:val="24"/>
                <w:color w:val="auto"/>
              </w:rPr>
            </w:pPr>
          </w:p>
        </w:tc>
        <w:tc>
          <w:tcPr>
            <w:tcW w:w="3920" w:type="dxa"/>
            <w:vAlign w:val="bottom"/>
          </w:tcPr>
          <w:p>
            <w:pPr>
              <w:jc w:val="right"/>
              <w:ind w:right="3327"/>
              <w:spacing w:after="0"/>
              <w:rPr>
                <w:sz w:val="20"/>
                <w:szCs w:val="20"/>
                <w:color w:val="auto"/>
              </w:rPr>
            </w:pPr>
            <w:r>
              <w:rPr>
                <w:rFonts w:ascii="Courier New" w:cs="Courier New" w:eastAsia="Courier New" w:hAnsi="Courier New"/>
                <w:sz w:val="15"/>
                <w:szCs w:val="15"/>
                <w:color w:val="auto"/>
              </w:rPr>
              <w:t>66</w:t>
            </w:r>
          </w:p>
        </w:tc>
      </w:tr>
    </w:tbl>
    <w:p>
      <w:pPr>
        <w:sectPr>
          <w:pgSz w:w="11900" w:h="16838" w:orient="portrait"/>
          <w:cols w:equalWidth="0" w:num="1">
            <w:col w:w="10239"/>
          </w:cols>
          <w:pgMar w:left="220" w:top="785" w:right="1440" w:bottom="1440" w:gutter="0" w:footer="0" w:header="0"/>
        </w:sectPr>
      </w:pPr>
    </w:p>
    <w:bookmarkStart w:id="281" w:name="page282"/>
    <w:bookmarkEnd w:id="28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rPr>
              <w:t>Address:</w:t>
            </w:r>
          </w:p>
        </w:tc>
        <w:tc>
          <w:tcPr>
            <w:tcW w:w="3360" w:type="dxa"/>
            <w:vAlign w:val="bottom"/>
          </w:tcPr>
          <w:p>
            <w:pPr>
              <w:spacing w:after="0"/>
              <w:rPr>
                <w:sz w:val="14"/>
                <w:szCs w:val="14"/>
                <w:color w:val="auto"/>
              </w:rPr>
            </w:pP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360" w:type="dxa"/>
            <w:vAlign w:val="bottom"/>
          </w:tcPr>
          <w:p>
            <w:pPr>
              <w:spacing w:after="0"/>
              <w:rPr>
                <w:sz w:val="14"/>
                <w:szCs w:val="14"/>
                <w:color w:val="auto"/>
              </w:rPr>
            </w:pP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100 Rustcraft Road</w:t>
            </w:r>
          </w:p>
        </w:tc>
        <w:tc>
          <w:tcPr>
            <w:tcW w:w="3360" w:type="dxa"/>
            <w:vAlign w:val="bottom"/>
          </w:tcPr>
          <w:p>
            <w:pPr>
              <w:jc w:val="right"/>
              <w:ind w:right="1847"/>
              <w:spacing w:after="0" w:line="168" w:lineRule="exact"/>
              <w:rPr>
                <w:sz w:val="20"/>
                <w:szCs w:val="20"/>
                <w:color w:val="auto"/>
              </w:rPr>
            </w:pPr>
            <w:r>
              <w:rPr>
                <w:rFonts w:ascii="Courier New" w:cs="Courier New" w:eastAsia="Courier New" w:hAnsi="Courier New"/>
                <w:sz w:val="15"/>
                <w:szCs w:val="15"/>
                <w:color w:val="auto"/>
                <w:w w:val="98"/>
              </w:rPr>
              <w:t>BANKBOSTON N.A.,</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Dedham, Massachusetts, USA</w:t>
            </w:r>
          </w:p>
        </w:tc>
        <w:tc>
          <w:tcPr>
            <w:tcW w:w="33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8"/>
              </w:rPr>
              <w:t>as Lender (BankBoston is the name by</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Attention: Pamela Carpenter/Jorge Garcia</w:t>
            </w:r>
          </w:p>
        </w:tc>
        <w:tc>
          <w:tcPr>
            <w:tcW w:w="3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which Fleet National Bank operates in</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Telephone:  781-467-2271</w:t>
            </w:r>
          </w:p>
        </w:tc>
        <w:tc>
          <w:tcPr>
            <w:tcW w:w="33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Latin America)</w:t>
            </w:r>
          </w:p>
        </w:tc>
      </w:tr>
      <w:tr>
        <w:trPr>
          <w:trHeight w:val="505"/>
        </w:trPr>
        <w:tc>
          <w:tcPr>
            <w:tcW w:w="3640" w:type="dxa"/>
            <w:vAlign w:val="bottom"/>
          </w:tcPr>
          <w:p>
            <w:pPr>
              <w:spacing w:after="0"/>
              <w:rPr>
                <w:sz w:val="24"/>
                <w:szCs w:val="24"/>
                <w:color w:val="auto"/>
              </w:rPr>
            </w:pPr>
          </w:p>
        </w:tc>
        <w:tc>
          <w:tcPr>
            <w:tcW w:w="3360" w:type="dxa"/>
            <w:vAlign w:val="bottom"/>
          </w:tcPr>
          <w:p>
            <w:pPr>
              <w:jc w:val="right"/>
              <w:spacing w:after="0"/>
              <w:rPr>
                <w:sz w:val="20"/>
                <w:szCs w:val="20"/>
                <w:color w:val="auto"/>
              </w:rPr>
            </w:pPr>
            <w:r>
              <w:rPr>
                <w:rFonts w:ascii="Courier New" w:cs="Courier New" w:eastAsia="Courier New" w:hAnsi="Courier New"/>
                <w:sz w:val="15"/>
                <w:szCs w:val="15"/>
                <w:color w:val="auto"/>
                <w:w w:val="97"/>
              </w:rPr>
              <w:t>By:___________________________________</w:t>
            </w:r>
          </w:p>
        </w:tc>
      </w:tr>
      <w:tr>
        <w:trPr>
          <w:trHeight w:val="168"/>
        </w:trPr>
        <w:tc>
          <w:tcPr>
            <w:tcW w:w="3640" w:type="dxa"/>
            <w:vAlign w:val="bottom"/>
          </w:tcPr>
          <w:p>
            <w:pPr>
              <w:spacing w:after="0"/>
              <w:rPr>
                <w:sz w:val="14"/>
                <w:szCs w:val="14"/>
                <w:color w:val="auto"/>
              </w:rPr>
            </w:pPr>
          </w:p>
        </w:tc>
        <w:tc>
          <w:tcPr>
            <w:tcW w:w="3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Name:______________________________</w:t>
            </w:r>
          </w:p>
        </w:tc>
      </w:tr>
      <w:tr>
        <w:trPr>
          <w:trHeight w:val="168"/>
        </w:trPr>
        <w:tc>
          <w:tcPr>
            <w:tcW w:w="3640" w:type="dxa"/>
            <w:vAlign w:val="bottom"/>
          </w:tcPr>
          <w:p>
            <w:pPr>
              <w:spacing w:after="0"/>
              <w:rPr>
                <w:sz w:val="14"/>
                <w:szCs w:val="14"/>
                <w:color w:val="auto"/>
              </w:rPr>
            </w:pPr>
          </w:p>
        </w:tc>
        <w:tc>
          <w:tcPr>
            <w:tcW w:w="3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Title:_____________________________</w:t>
            </w:r>
          </w:p>
        </w:tc>
      </w:tr>
      <w:tr>
        <w:trPr>
          <w:trHeight w:val="505"/>
        </w:trPr>
        <w:tc>
          <w:tcPr>
            <w:tcW w:w="3640" w:type="dxa"/>
            <w:vAlign w:val="bottom"/>
          </w:tcPr>
          <w:p>
            <w:pPr>
              <w:spacing w:after="0"/>
              <w:rPr>
                <w:sz w:val="24"/>
                <w:szCs w:val="24"/>
                <w:color w:val="auto"/>
              </w:rPr>
            </w:pPr>
          </w:p>
        </w:tc>
        <w:tc>
          <w:tcPr>
            <w:tcW w:w="3360" w:type="dxa"/>
            <w:vAlign w:val="bottom"/>
          </w:tcPr>
          <w:p>
            <w:pPr>
              <w:jc w:val="right"/>
              <w:spacing w:after="0"/>
              <w:rPr>
                <w:sz w:val="20"/>
                <w:szCs w:val="20"/>
                <w:color w:val="auto"/>
              </w:rPr>
            </w:pPr>
            <w:r>
              <w:rPr>
                <w:rFonts w:ascii="Courier New" w:cs="Courier New" w:eastAsia="Courier New" w:hAnsi="Courier New"/>
                <w:sz w:val="15"/>
                <w:szCs w:val="15"/>
                <w:color w:val="auto"/>
                <w:w w:val="97"/>
              </w:rPr>
              <w:t>By:___________________________________</w:t>
            </w:r>
          </w:p>
        </w:tc>
      </w:tr>
      <w:tr>
        <w:trPr>
          <w:trHeight w:val="168"/>
        </w:trPr>
        <w:tc>
          <w:tcPr>
            <w:tcW w:w="3640" w:type="dxa"/>
            <w:vAlign w:val="bottom"/>
          </w:tcPr>
          <w:p>
            <w:pPr>
              <w:spacing w:after="0"/>
              <w:rPr>
                <w:sz w:val="14"/>
                <w:szCs w:val="14"/>
                <w:color w:val="auto"/>
              </w:rPr>
            </w:pPr>
          </w:p>
        </w:tc>
        <w:tc>
          <w:tcPr>
            <w:tcW w:w="3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Name:______________________________</w:t>
            </w:r>
          </w:p>
        </w:tc>
      </w:tr>
      <w:tr>
        <w:trPr>
          <w:trHeight w:val="168"/>
        </w:trPr>
        <w:tc>
          <w:tcPr>
            <w:tcW w:w="3640" w:type="dxa"/>
            <w:vAlign w:val="bottom"/>
          </w:tcPr>
          <w:p>
            <w:pPr>
              <w:spacing w:after="0"/>
              <w:rPr>
                <w:sz w:val="14"/>
                <w:szCs w:val="14"/>
                <w:color w:val="auto"/>
              </w:rPr>
            </w:pPr>
          </w:p>
        </w:tc>
        <w:tc>
          <w:tcPr>
            <w:tcW w:w="3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Title:_____________________________</w:t>
            </w:r>
          </w:p>
        </w:tc>
      </w:tr>
      <w:tr>
        <w:trPr>
          <w:trHeight w:val="336"/>
        </w:trPr>
        <w:tc>
          <w:tcPr>
            <w:tcW w:w="3640" w:type="dxa"/>
            <w:vAlign w:val="bottom"/>
          </w:tcPr>
          <w:p>
            <w:pPr>
              <w:ind w:left="3420"/>
              <w:spacing w:after="0"/>
              <w:rPr>
                <w:sz w:val="20"/>
                <w:szCs w:val="20"/>
                <w:color w:val="auto"/>
              </w:rPr>
            </w:pPr>
            <w:r>
              <w:rPr>
                <w:rFonts w:ascii="Courier New" w:cs="Courier New" w:eastAsia="Courier New" w:hAnsi="Courier New"/>
                <w:sz w:val="15"/>
                <w:szCs w:val="15"/>
                <w:color w:val="auto"/>
              </w:rPr>
              <w:t>67</w:t>
            </w:r>
          </w:p>
        </w:tc>
        <w:tc>
          <w:tcPr>
            <w:tcW w:w="3360" w:type="dxa"/>
            <w:vAlign w:val="bottom"/>
          </w:tcPr>
          <w:p>
            <w:pPr>
              <w:spacing w:after="0"/>
              <w:rPr>
                <w:sz w:val="24"/>
                <w:szCs w:val="24"/>
                <w:color w:val="auto"/>
              </w:rPr>
            </w:pPr>
          </w:p>
        </w:tc>
      </w:tr>
    </w:tbl>
    <w:p>
      <w:pPr>
        <w:sectPr>
          <w:pgSz w:w="11900" w:h="16838" w:orient="portrait"/>
          <w:cols w:equalWidth="0" w:num="1">
            <w:col w:w="10239"/>
          </w:cols>
          <w:pgMar w:left="220" w:top="786" w:right="1440" w:bottom="1440" w:gutter="0" w:footer="0" w:header="0"/>
        </w:sectPr>
      </w:pPr>
    </w:p>
    <w:bookmarkStart w:id="282" w:name="page283"/>
    <w:bookmarkEnd w:id="28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60" w:type="dxa"/>
            <w:vAlign w:val="bottom"/>
          </w:tcPr>
          <w:p>
            <w:pPr>
              <w:spacing w:after="0"/>
              <w:rPr>
                <w:sz w:val="20"/>
                <w:szCs w:val="20"/>
                <w:color w:val="auto"/>
              </w:rPr>
            </w:pPr>
            <w:r>
              <w:rPr>
                <w:rFonts w:ascii="Courier New" w:cs="Courier New" w:eastAsia="Courier New" w:hAnsi="Courier New"/>
                <w:sz w:val="15"/>
                <w:szCs w:val="15"/>
                <w:color w:val="auto"/>
              </w:rPr>
              <w:t>Address:</w:t>
            </w:r>
          </w:p>
        </w:tc>
        <w:tc>
          <w:tcPr>
            <w:tcW w:w="2840" w:type="dxa"/>
            <w:vAlign w:val="bottom"/>
          </w:tcPr>
          <w:p>
            <w:pPr>
              <w:spacing w:after="0"/>
              <w:rPr>
                <w:sz w:val="14"/>
                <w:szCs w:val="14"/>
                <w:color w:val="auto"/>
              </w:rPr>
            </w:pP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840" w:type="dxa"/>
            <w:vAlign w:val="bottom"/>
          </w:tcPr>
          <w:p>
            <w:pPr>
              <w:spacing w:after="0"/>
              <w:rPr>
                <w:sz w:val="14"/>
                <w:szCs w:val="14"/>
                <w:color w:val="auto"/>
              </w:rPr>
            </w:pP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151 O'Connor Street</w:t>
            </w:r>
          </w:p>
        </w:tc>
        <w:tc>
          <w:tcPr>
            <w:tcW w:w="2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EXPORT DEVELOPMENT CANADA,</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Ottawa, Ontario, Canada</w:t>
            </w:r>
          </w:p>
        </w:tc>
        <w:tc>
          <w:tcPr>
            <w:tcW w:w="2840" w:type="dxa"/>
            <w:vAlign w:val="bottom"/>
          </w:tcPr>
          <w:p>
            <w:pPr>
              <w:jc w:val="right"/>
              <w:ind w:right="1407"/>
              <w:spacing w:after="0" w:line="168" w:lineRule="exact"/>
              <w:rPr>
                <w:sz w:val="20"/>
                <w:szCs w:val="20"/>
                <w:color w:val="auto"/>
              </w:rPr>
            </w:pPr>
            <w:r>
              <w:rPr>
                <w:rFonts w:ascii="Courier New" w:cs="Courier New" w:eastAsia="Courier New" w:hAnsi="Courier New"/>
                <w:sz w:val="15"/>
                <w:szCs w:val="15"/>
                <w:color w:val="auto"/>
              </w:rPr>
              <w:t>as Lender</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Attention: Denis L'Heureux/Diana MacGibbon</w:t>
            </w:r>
          </w:p>
        </w:tc>
        <w:tc>
          <w:tcPr>
            <w:tcW w:w="2840" w:type="dxa"/>
            <w:vAlign w:val="bottom"/>
          </w:tcPr>
          <w:p>
            <w:pPr>
              <w:spacing w:after="0"/>
              <w:rPr>
                <w:sz w:val="14"/>
                <w:szCs w:val="14"/>
                <w:color w:val="auto"/>
              </w:rPr>
            </w:pP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Telephone: +1 (613) 597 8809</w:t>
            </w:r>
          </w:p>
        </w:tc>
        <w:tc>
          <w:tcPr>
            <w:tcW w:w="2840" w:type="dxa"/>
            <w:vAlign w:val="bottom"/>
          </w:tcPr>
          <w:p>
            <w:pPr>
              <w:spacing w:after="0"/>
              <w:rPr>
                <w:sz w:val="14"/>
                <w:szCs w:val="14"/>
                <w:color w:val="auto"/>
              </w:rPr>
            </w:pP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Facsimile: +1 (613) 597 8503</w:t>
            </w:r>
          </w:p>
        </w:tc>
        <w:tc>
          <w:tcPr>
            <w:tcW w:w="2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By:________________________</w:t>
            </w:r>
          </w:p>
        </w:tc>
      </w:tr>
      <w:tr>
        <w:trPr>
          <w:trHeight w:val="168"/>
        </w:trPr>
        <w:tc>
          <w:tcPr>
            <w:tcW w:w="4160" w:type="dxa"/>
            <w:vAlign w:val="bottom"/>
          </w:tcPr>
          <w:p>
            <w:pPr>
              <w:spacing w:after="0"/>
              <w:rPr>
                <w:sz w:val="14"/>
                <w:szCs w:val="14"/>
                <w:color w:val="auto"/>
              </w:rPr>
            </w:pPr>
          </w:p>
        </w:tc>
        <w:tc>
          <w:tcPr>
            <w:tcW w:w="2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Name:___________________</w:t>
            </w:r>
          </w:p>
        </w:tc>
      </w:tr>
      <w:tr>
        <w:trPr>
          <w:trHeight w:val="168"/>
        </w:trPr>
        <w:tc>
          <w:tcPr>
            <w:tcW w:w="4160" w:type="dxa"/>
            <w:vAlign w:val="bottom"/>
          </w:tcPr>
          <w:p>
            <w:pPr>
              <w:spacing w:after="0"/>
              <w:rPr>
                <w:sz w:val="14"/>
                <w:szCs w:val="14"/>
                <w:color w:val="auto"/>
              </w:rPr>
            </w:pPr>
          </w:p>
        </w:tc>
        <w:tc>
          <w:tcPr>
            <w:tcW w:w="2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Title:__________________</w:t>
            </w:r>
          </w:p>
        </w:tc>
      </w:tr>
      <w:tr>
        <w:trPr>
          <w:trHeight w:val="505"/>
        </w:trPr>
        <w:tc>
          <w:tcPr>
            <w:tcW w:w="4160" w:type="dxa"/>
            <w:vAlign w:val="bottom"/>
          </w:tcPr>
          <w:p>
            <w:pPr>
              <w:spacing w:after="0"/>
              <w:rPr>
                <w:sz w:val="24"/>
                <w:szCs w:val="24"/>
                <w:color w:val="auto"/>
              </w:rPr>
            </w:pPr>
          </w:p>
        </w:tc>
        <w:tc>
          <w:tcPr>
            <w:tcW w:w="2840" w:type="dxa"/>
            <w:vAlign w:val="bottom"/>
          </w:tcPr>
          <w:p>
            <w:pPr>
              <w:jc w:val="right"/>
              <w:spacing w:after="0"/>
              <w:rPr>
                <w:sz w:val="20"/>
                <w:szCs w:val="20"/>
                <w:color w:val="auto"/>
              </w:rPr>
            </w:pPr>
            <w:r>
              <w:rPr>
                <w:rFonts w:ascii="Courier New" w:cs="Courier New" w:eastAsia="Courier New" w:hAnsi="Courier New"/>
                <w:sz w:val="15"/>
                <w:szCs w:val="15"/>
                <w:color w:val="auto"/>
              </w:rPr>
              <w:t>By:________________________</w:t>
            </w:r>
          </w:p>
        </w:tc>
      </w:tr>
      <w:tr>
        <w:trPr>
          <w:trHeight w:val="168"/>
        </w:trPr>
        <w:tc>
          <w:tcPr>
            <w:tcW w:w="4160" w:type="dxa"/>
            <w:vAlign w:val="bottom"/>
          </w:tcPr>
          <w:p>
            <w:pPr>
              <w:spacing w:after="0"/>
              <w:rPr>
                <w:sz w:val="14"/>
                <w:szCs w:val="14"/>
                <w:color w:val="auto"/>
              </w:rPr>
            </w:pPr>
          </w:p>
        </w:tc>
        <w:tc>
          <w:tcPr>
            <w:tcW w:w="2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Name:______________________</w:t>
            </w:r>
          </w:p>
        </w:tc>
      </w:tr>
      <w:tr>
        <w:trPr>
          <w:trHeight w:val="168"/>
        </w:trPr>
        <w:tc>
          <w:tcPr>
            <w:tcW w:w="4160" w:type="dxa"/>
            <w:vAlign w:val="bottom"/>
          </w:tcPr>
          <w:p>
            <w:pPr>
              <w:spacing w:after="0"/>
              <w:rPr>
                <w:sz w:val="14"/>
                <w:szCs w:val="14"/>
                <w:color w:val="auto"/>
              </w:rPr>
            </w:pPr>
          </w:p>
        </w:tc>
        <w:tc>
          <w:tcPr>
            <w:tcW w:w="2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Title:_____________________</w:t>
            </w:r>
          </w:p>
        </w:tc>
      </w:tr>
      <w:tr>
        <w:trPr>
          <w:trHeight w:val="505"/>
        </w:trPr>
        <w:tc>
          <w:tcPr>
            <w:tcW w:w="4160" w:type="dxa"/>
            <w:vAlign w:val="bottom"/>
          </w:tcPr>
          <w:p>
            <w:pPr>
              <w:ind w:left="3420"/>
              <w:spacing w:after="0"/>
              <w:rPr>
                <w:sz w:val="20"/>
                <w:szCs w:val="20"/>
                <w:color w:val="auto"/>
              </w:rPr>
            </w:pPr>
            <w:r>
              <w:rPr>
                <w:rFonts w:ascii="Courier New" w:cs="Courier New" w:eastAsia="Courier New" w:hAnsi="Courier New"/>
                <w:sz w:val="15"/>
                <w:szCs w:val="15"/>
                <w:color w:val="auto"/>
              </w:rPr>
              <w:t>68</w:t>
            </w:r>
          </w:p>
        </w:tc>
        <w:tc>
          <w:tcPr>
            <w:tcW w:w="2840" w:type="dxa"/>
            <w:vAlign w:val="bottom"/>
          </w:tcPr>
          <w:p>
            <w:pPr>
              <w:spacing w:after="0"/>
              <w:rPr>
                <w:sz w:val="24"/>
                <w:szCs w:val="24"/>
                <w:color w:val="auto"/>
              </w:rPr>
            </w:pPr>
          </w:p>
        </w:tc>
      </w:tr>
    </w:tbl>
    <w:p>
      <w:pPr>
        <w:sectPr>
          <w:pgSz w:w="11900" w:h="16838" w:orient="portrait"/>
          <w:cols w:equalWidth="0" w:num="1">
            <w:col w:w="10239"/>
          </w:cols>
          <w:pgMar w:left="220" w:top="954" w:right="1440" w:bottom="1440" w:gutter="0" w:footer="0" w:header="0"/>
        </w:sectPr>
      </w:pPr>
    </w:p>
    <w:bookmarkStart w:id="283" w:name="page284"/>
    <w:bookmarkEnd w:id="28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84" w:name="page285"/>
    <w:bookmarkEnd w:id="284"/>
    <w:p>
      <w:pPr>
        <w:jc w:val="right"/>
        <w:ind w:right="3239"/>
        <w:spacing w:after="0"/>
        <w:rPr>
          <w:sz w:val="20"/>
          <w:szCs w:val="20"/>
          <w:color w:val="auto"/>
        </w:rPr>
      </w:pPr>
      <w:r>
        <w:rPr>
          <w:rFonts w:ascii="Courier New" w:cs="Courier New" w:eastAsia="Courier New" w:hAnsi="Courier New"/>
          <w:sz w:val="15"/>
          <w:szCs w:val="15"/>
          <w:color w:val="auto"/>
        </w:rPr>
        <w:t>Exhibit 2.5</w:t>
      </w:r>
    </w:p>
    <w:p>
      <w:pPr>
        <w:spacing w:after="0" w:line="335"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AMENDMENT TO CREDIT AGREEMENT</w:t>
      </w:r>
    </w:p>
    <w:p>
      <w:pPr>
        <w:spacing w:after="0" w:line="341"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THIS AMENDMENT TO CREDIT AGREEMENT (this "Amendment") is entered into as of April 9, 2003, by and among FEMSA Empaques, S.A. de C.V. (the "Borrower"), a sociedad anonima de capital variable organized and existing under the laws of Mexico, Fabricas Monterrey, S.A. de C.V. and Silices de Veracruz, S.A. de C.V., each a sociedad anonima de capital variable organized and existing under the laws of Mexico, and such other Material Subsidiaries of the Borrower as may, from time to time, pursuant to Section 5.01(j) of the Credit Agreement (as defined below), join in the Credit Agreement as guarantors (each, a "Guarantor" and collectively, the "Guarantors"), each of the financial institutions listed on the signature pages hereof under the heading "2002 Lenders" (each, a "2002 Lender" and collectively, the "2002 Lenders"), the financial institution listed on the signature pages hereof under the heading "2003 Lender" (the "2003 Lender"), and BBVA Bancomer, S.A., Institucion de Banca Multiple, Grupo Financiero BBVA Bancomer, as administrative agent (the "Administrative Agent") for the Lenders (as defined below). W I T N E S S E T H :</w:t>
      </w:r>
    </w:p>
    <w:p>
      <w:pPr>
        <w:spacing w:after="0" w:line="16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WHEREAS, pursuant to that certain Credit Agreement dated as of December 18, 2002 (the "Credit Agreement") by and among the Borrower, the Guarantors, the 2002 Lenders, the Administrative Agent, Export Development Canada as Syndication Agent, Bankboston N.A. as Documentation Agent, BBVA Securities Inc. as Lead Arranger and Export Development Canada and Bankboston N.A., as Arrangers, the 2002 Lenders provided the Borrower with a US$60,000,000 credit facility (the "2002 Advances") (capitalized terms not otherwise defined herein shall have the meanings set forth in the Credit Agreement); and</w:t>
      </w:r>
    </w:p>
    <w:p>
      <w:pPr>
        <w:spacing w:after="0" w:line="177"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WHEREAS, the parties hereto wish to amend the Credit Agreement to provide for an additional advance of up to US$30,000,000 to the Borrower from the 2003 Lender under, and pursuant to the terms of, the Credit Agreement and this Amendment.</w:t>
      </w:r>
    </w:p>
    <w:p>
      <w:pPr>
        <w:spacing w:after="0" w:line="175"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NOW, THEREFORE, in consideration of the foregoing and of the mutual obligations, promises and covenants herein contained, the receipt and adequacy of which is hereby acknowledged by each of the parties hereto, it is hereby agreed as follows: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1. 2003 Advance.</w:t>
      </w:r>
    </w:p>
    <w:p>
      <w:pPr>
        <w:spacing w:after="0" w:line="173"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1.1. Amounts and Terms of the Advance. The 2003 Lender severally agrees, on the terms and conditions hereinafter set forth, on any Business Day on or prior to April 24, 2003 (provided Borrower has provided a 2003 Notice of Borrowing pursuant to Section 1.2(a) of this Amendment) (the "2003 Borrowing Date"), to make a single advance (the "2003 Advance") to the Borrower, which 2003 Advance shall not exceed for the 2003 Lender, in aggregate principal amount, the amount set forth opposite the 2003 Lender's name on Annex I hereto under the caption "Commitment" or, if the 2003 Lender has entered into one or more Assignments and Acceptances after the date hereof, the amount set forth in the Register maintained by the Administrative Agent pursuant to Section 9.07(c) of the Credit Agreement (such amount being the 2003 Lender's Commitment for purposes of the Credit Agreement). Amounts borrowed under this Section 1.1 and repaid or prepaid may not be reborrowed.</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pacing w:after="0" w:line="200" w:lineRule="exact"/>
        <w:rPr>
          <w:sz w:val="20"/>
          <w:szCs w:val="20"/>
          <w:color w:val="auto"/>
        </w:rPr>
      </w:pPr>
    </w:p>
    <w:p>
      <w:pPr>
        <w:spacing w:after="0" w:line="2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1.2. Making the 2003 Advance.</w:t>
      </w:r>
    </w:p>
    <w:p>
      <w:pPr>
        <w:spacing w:after="0" w:line="173" w:lineRule="exact"/>
        <w:rPr>
          <w:sz w:val="20"/>
          <w:szCs w:val="20"/>
          <w:color w:val="auto"/>
        </w:rPr>
      </w:pPr>
    </w:p>
    <w:p>
      <w:pPr>
        <w:jc w:val="both"/>
        <w:ind w:right="3239" w:firstLine="447"/>
        <w:spacing w:after="0" w:line="237" w:lineRule="auto"/>
        <w:tabs>
          <w:tab w:leader="none" w:pos="787" w:val="left"/>
        </w:tabs>
        <w:numPr>
          <w:ilvl w:val="1"/>
          <w:numId w:val="2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borrowing of the 2003 Advance (the "2003 Borrowing") shall be made on notice (the "2003 Notice of Borrowing") given by the Borrower to the Administrative Agent not later than 11:00 A.M. (New York City time) on the third Business Day prior to the 2003 Borrowing Date. Immediately following receipt of the 2003 Notice of Borrowing, the Administrative Agent shall give to the 2003 Lender notice thereof by facsimile transmission. The 2003 Notice of Borrowing shall be sent by the Borrower requesting the 2003 Advance by facsimile transmission, confirmed immediately in writing, in substantially the form of Exhibit B to the Credit Agreement (except for the applicable interest period), specifying therein (i) the requested 2003 Borrowing Date, (ii) the requested aggregate principal amount of the 2003 Borrowing, and (iii) the payment instructions for the 2003 Borrowing. The Administrative Agent shall promptly notify the 2003 Lender of the applicable interest rate under Section 2.05 of the Credit Agreement (as modified by Section 1.3(b)(iii) of this Amendment). The 2003 Lender shall, before 11:00 A.M. (New York City time) on the 2003 Borrowing Date, make available for the account of its Lending Office to the Administrative Agent at the Administrative Agent's Account, in same day funds, the 2003 Borrowing. After the Administrative Agent's receipt of such funds and upon fulfillment of the applicable conditions set forth in Section 2 of this Amendment, the Administrative Agent will make such funds available to the Borrower by crediting the account of the Borrower, in immediately available funds.</w:t>
      </w:r>
    </w:p>
    <w:p>
      <w:pPr>
        <w:spacing w:after="0" w:line="177" w:lineRule="exact"/>
        <w:rPr>
          <w:rFonts w:ascii="Courier New" w:cs="Courier New" w:eastAsia="Courier New" w:hAnsi="Courier New"/>
          <w:sz w:val="15"/>
          <w:szCs w:val="15"/>
          <w:color w:val="auto"/>
        </w:rPr>
      </w:pPr>
    </w:p>
    <w:p>
      <w:pPr>
        <w:jc w:val="both"/>
        <w:ind w:right="3239" w:firstLine="447"/>
        <w:spacing w:after="0" w:line="254" w:lineRule="auto"/>
        <w:tabs>
          <w:tab w:leader="none" w:pos="787" w:val="left"/>
        </w:tabs>
        <w:numPr>
          <w:ilvl w:val="1"/>
          <w:numId w:val="2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the Administrative Agent shall have received notice from the 2003 Lender prior to the 2003 Borrowing Date that the 2003 Lender will not make available to the Administrative Agent the 2003 Borrowing, the Administrative Agent may assume that the 2003 Lender has made the 2003 Borrowing available to the Administrative Agent on the 2003 Borrowing Date in accordance with clause</w:t>
      </w:r>
    </w:p>
    <w:p>
      <w:pPr>
        <w:spacing w:after="0" w:line="1" w:lineRule="exact"/>
        <w:rPr>
          <w:rFonts w:ascii="Courier New" w:cs="Courier New" w:eastAsia="Courier New" w:hAnsi="Courier New"/>
          <w:sz w:val="14"/>
          <w:szCs w:val="14"/>
          <w:color w:val="auto"/>
        </w:rPr>
      </w:pPr>
    </w:p>
    <w:p>
      <w:pPr>
        <w:jc w:val="both"/>
        <w:ind w:right="3239" w:firstLine="10"/>
        <w:spacing w:after="0" w:line="255" w:lineRule="auto"/>
        <w:tabs>
          <w:tab w:leader="none" w:pos="350" w:val="left"/>
        </w:tabs>
        <w:numPr>
          <w:ilvl w:val="0"/>
          <w:numId w:val="2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this Section 1.2 and the Administrative Agent may, in reliance upon such assumption, make available to the Borrower requesting the 2003 Borrowing on such date a corresponding amount. If and to the extent that the 2003 Lender shall not have so made the 2003 Borrowing available to the Administrative Agent, the 2003 Lender and the Borrower severally agree to repay to the Administrative Agent forthwith on demand such corresponding amount together with interest thereon,</w:t>
      </w:r>
    </w:p>
    <w:p>
      <w:pPr>
        <w:sectPr>
          <w:pgSz w:w="11900" w:h="16838" w:orient="portrait"/>
          <w:cols w:equalWidth="0" w:num="1">
            <w:col w:w="10239"/>
          </w:cols>
          <w:pgMar w:left="220" w:top="135" w:right="1440" w:bottom="0" w:gutter="0" w:footer="0" w:header="0"/>
        </w:sectPr>
      </w:pPr>
    </w:p>
    <w:bookmarkStart w:id="285" w:name="page286"/>
    <w:bookmarkEnd w:id="285"/>
    <w:p>
      <w:pPr>
        <w:jc w:val="both"/>
        <w:ind w:right="3239"/>
        <w:spacing w:after="0" w:line="236" w:lineRule="auto"/>
        <w:rPr>
          <w:sz w:val="20"/>
          <w:szCs w:val="20"/>
          <w:color w:val="auto"/>
        </w:rPr>
      </w:pPr>
      <w:r>
        <w:rPr>
          <w:rFonts w:ascii="Courier New" w:cs="Courier New" w:eastAsia="Courier New" w:hAnsi="Courier New"/>
          <w:sz w:val="15"/>
          <w:szCs w:val="15"/>
          <w:color w:val="auto"/>
        </w:rPr>
        <w:t>for each day from the date such amount is made available to the Borrower until the date such amount is repaid to the Administrative Agent, at (i) in the case of the Borrower, the interest rate applicable at such time under Section 2.05 of the Credit Agreement (as modified by Section 1.3(b)(iii) of this Amendment) to the 2003 Borrowing and (ii) in the case of the 2003 Lender, the Federal Funds Rate. If the 2003 Lender shall repay to the Administrative Agent such corresponding amount, such amount so repaid shall constitute the 2003 Lender's Advance for purposes of this Amendment.</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1.3 Incorporation of Terms and Provisions by Reference.</w:t>
      </w:r>
    </w:p>
    <w:p>
      <w:pPr>
        <w:spacing w:after="0" w:line="173" w:lineRule="exact"/>
        <w:rPr>
          <w:sz w:val="20"/>
          <w:szCs w:val="20"/>
          <w:color w:val="auto"/>
        </w:rPr>
      </w:pPr>
    </w:p>
    <w:p>
      <w:pPr>
        <w:jc w:val="both"/>
        <w:ind w:right="3239" w:firstLine="447"/>
        <w:spacing w:after="0" w:line="254" w:lineRule="auto"/>
        <w:tabs>
          <w:tab w:leader="none" w:pos="787" w:val="left"/>
        </w:tabs>
        <w:numPr>
          <w:ilvl w:val="1"/>
          <w:numId w:val="2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and after the effective date of this Amendment, the terms (i) "Advances" in the Credit Agreement shall be deemed to include the 2003 Advance,</w:t>
      </w:r>
    </w:p>
    <w:p>
      <w:pPr>
        <w:jc w:val="both"/>
        <w:ind w:right="3239" w:firstLine="10"/>
        <w:spacing w:after="0" w:line="237" w:lineRule="auto"/>
        <w:tabs>
          <w:tab w:leader="none" w:pos="525" w:val="left"/>
        </w:tabs>
        <w:numPr>
          <w:ilvl w:val="0"/>
          <w:numId w:val="2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"Borrowing Date" in the Credit Agreement shall be deemed to include the 2003 Borrowing Date, (iii) "Lenders" in the Credit Agreement shall be deemed to include the 2003 Lender, (iv) "Notice of Borrowing" in the Credit Agreement shall be deemed to include the 2003 Notice of Borrowing and (v) "Notes" in the Credit Agreement shall be deemed to include the 2003 Note (as defined below) and the parties hereto agree that each provision of the Credit Agreement and each other Loan Document is hereby amended as such and applicable in their entirety to the 2003 Lender and the 2003 Advance, mutatis mutandis, as if the 2003 Lender were party to the Credit Agreement and the 2003 Advance were initially borrowed under the Credit Agreement (except as otherwise specified in this Amendment, including, without limitation, the modifications set forth in Section 1.3(b) of this Amendment).</w:t>
      </w:r>
    </w:p>
    <w:p>
      <w:pPr>
        <w:spacing w:after="0" w:line="166" w:lineRule="exact"/>
        <w:rPr>
          <w:rFonts w:ascii="Courier New" w:cs="Courier New" w:eastAsia="Courier New" w:hAnsi="Courier New"/>
          <w:sz w:val="15"/>
          <w:szCs w:val="15"/>
          <w:color w:val="auto"/>
        </w:rPr>
      </w:pPr>
    </w:p>
    <w:p>
      <w:pPr>
        <w:ind w:left="800" w:hanging="353"/>
        <w:spacing w:after="0"/>
        <w:tabs>
          <w:tab w:leader="none" w:pos="800" w:val="left"/>
        </w:tabs>
        <w:numPr>
          <w:ilvl w:val="1"/>
          <w:numId w:val="2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foregoing, the parties agree that:</w:t>
      </w:r>
    </w:p>
    <w:p>
      <w:pPr>
        <w:spacing w:after="0" w:line="173" w:lineRule="exact"/>
        <w:rPr>
          <w:sz w:val="20"/>
          <w:szCs w:val="20"/>
          <w:color w:val="auto"/>
        </w:rPr>
      </w:pPr>
    </w:p>
    <w:p>
      <w:pPr>
        <w:jc w:val="both"/>
        <w:ind w:right="3239" w:firstLine="447"/>
        <w:spacing w:after="0" w:line="254" w:lineRule="auto"/>
        <w:tabs>
          <w:tab w:leader="none" w:pos="787" w:val="left"/>
        </w:tabs>
        <w:numPr>
          <w:ilvl w:val="1"/>
          <w:numId w:val="2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Borrower's obligation to pay the principal of, and interest on, the 2003 Advance made by the 2003 Lender shall be evidenced by a promissory note duly executed and delivered by the Borrower, with blanks appropriately completed in conformity herewith, substantially in the form of Exhibit A hereto (the "2003 Note"). The 2003 Note issued to the 2003 Lender on the 2003 Borrowing Date shall</w:t>
      </w:r>
    </w:p>
    <w:p>
      <w:pPr>
        <w:spacing w:after="0" w:line="1" w:lineRule="exact"/>
        <w:rPr>
          <w:rFonts w:ascii="Courier New" w:cs="Courier New" w:eastAsia="Courier New" w:hAnsi="Courier New"/>
          <w:sz w:val="14"/>
          <w:szCs w:val="14"/>
          <w:color w:val="auto"/>
        </w:rPr>
      </w:pPr>
    </w:p>
    <w:p>
      <w:pPr>
        <w:jc w:val="both"/>
        <w:ind w:right="3239" w:firstLine="10"/>
        <w:spacing w:after="0" w:line="258" w:lineRule="auto"/>
        <w:tabs>
          <w:tab w:leader="none" w:pos="350" w:val="left"/>
        </w:tabs>
        <w:numPr>
          <w:ilvl w:val="0"/>
          <w:numId w:val="2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 executed by the Borrower and "avalado" by each of the Guarantors, (2) qualify as a pagare under Mexican law, (3) be payable to the order of the 2003 Lender and be dated as of the 2003 Borrowing Date, (4) be in a stated principal</w:t>
      </w:r>
    </w:p>
    <w:p>
      <w:pPr>
        <w:spacing w:after="0" w:line="200" w:lineRule="exact"/>
        <w:rPr>
          <w:sz w:val="20"/>
          <w:szCs w:val="20"/>
          <w:color w:val="auto"/>
        </w:rPr>
      </w:pPr>
    </w:p>
    <w:p>
      <w:pPr>
        <w:spacing w:after="0" w:line="29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141" w:right="1440" w:bottom="1440" w:gutter="0" w:footer="0" w:header="0"/>
        </w:sectPr>
      </w:pPr>
    </w:p>
    <w:bookmarkStart w:id="286" w:name="page287"/>
    <w:bookmarkEnd w:id="286"/>
    <w:p>
      <w:pPr>
        <w:jc w:val="both"/>
        <w:ind w:right="3239"/>
        <w:spacing w:after="0" w:line="236" w:lineRule="auto"/>
        <w:rPr>
          <w:sz w:val="20"/>
          <w:szCs w:val="20"/>
          <w:color w:val="auto"/>
        </w:rPr>
      </w:pPr>
      <w:r>
        <w:rPr>
          <w:rFonts w:ascii="Courier New" w:cs="Courier New" w:eastAsia="Courier New" w:hAnsi="Courier New"/>
          <w:sz w:val="15"/>
          <w:szCs w:val="15"/>
          <w:color w:val="auto"/>
        </w:rPr>
        <w:t>amount equal to the 2003 Advance of the 2003 Lender made on such date, (5) provide for repayment of principal as provided in Section 2.04(b) of the Credit Agreement, and (6) bear interest as provided in Section 2.05 of the Credit Agreement (as modified by Section 1.3(b)(iii) of this Amendment). The 2003 Lender agrees that, unless the principal of, or interest on, the 2003 Advance shall have become due and payable (whether by acceleration or otherwise) pursuant to this Amendment, it shall not (i) make demand for payment with respect to its 2003 Note prior to its stated maturity or (ii) assign, convey, negotiate or trade the 2003 Note except as permitted pursuant to Section 9.07 of the Credit Agreement.</w:t>
      </w:r>
    </w:p>
    <w:p>
      <w:pPr>
        <w:spacing w:after="0" w:line="179" w:lineRule="exact"/>
        <w:rPr>
          <w:sz w:val="20"/>
          <w:szCs w:val="20"/>
          <w:color w:val="auto"/>
        </w:rPr>
      </w:pPr>
    </w:p>
    <w:p>
      <w:pPr>
        <w:jc w:val="both"/>
        <w:ind w:right="3239" w:firstLine="447"/>
        <w:spacing w:after="0" w:line="236" w:lineRule="auto"/>
        <w:tabs>
          <w:tab w:leader="none" w:pos="875" w:val="left"/>
        </w:tabs>
        <w:numPr>
          <w:ilvl w:val="0"/>
          <w:numId w:val="2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shall repay to the Administrative Agent for the account of the 2003 Lender, and there shall become due and payable on each of the dates listed below, an aggregate principal amount of the 2003 Advance equal to the percentage set forth opposite such date of the initial aggregate principal amount of the 2003 Advance made on the 2003 Borrowing Date:</w:t>
      </w:r>
    </w:p>
    <w:p>
      <w:pPr>
        <w:spacing w:after="0" w:line="200" w:lineRule="exact"/>
        <w:rPr>
          <w:sz w:val="20"/>
          <w:szCs w:val="20"/>
          <w:color w:val="auto"/>
        </w:rPr>
      </w:pPr>
    </w:p>
    <w:p>
      <w:pPr>
        <w:spacing w:after="0" w:line="304"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3580" w:type="dxa"/>
            <w:vAlign w:val="bottom"/>
          </w:tcPr>
          <w:p>
            <w:pPr>
              <w:spacing w:after="0"/>
              <w:rPr>
                <w:sz w:val="14"/>
                <w:szCs w:val="14"/>
                <w:color w:val="auto"/>
              </w:rPr>
            </w:pPr>
          </w:p>
        </w:tc>
        <w:tc>
          <w:tcPr>
            <w:tcW w:w="3760" w:type="dxa"/>
            <w:vAlign w:val="bottom"/>
          </w:tcPr>
          <w:p>
            <w:pPr>
              <w:jc w:val="center"/>
              <w:ind w:left="2027"/>
              <w:spacing w:after="0"/>
              <w:rPr>
                <w:sz w:val="20"/>
                <w:szCs w:val="20"/>
                <w:color w:val="auto"/>
              </w:rPr>
            </w:pPr>
            <w:r>
              <w:rPr>
                <w:rFonts w:ascii="Courier New" w:cs="Courier New" w:eastAsia="Courier New" w:hAnsi="Courier New"/>
                <w:sz w:val="15"/>
                <w:szCs w:val="15"/>
                <w:color w:val="auto"/>
                <w:w w:val="96"/>
              </w:rPr>
              <w:t>Amount of</w:t>
            </w:r>
          </w:p>
        </w:tc>
      </w:tr>
      <w:tr>
        <w:trPr>
          <w:trHeight w:val="168"/>
        </w:trPr>
        <w:tc>
          <w:tcPr>
            <w:tcW w:w="3580" w:type="dxa"/>
            <w:vAlign w:val="bottom"/>
          </w:tcPr>
          <w:p>
            <w:pPr>
              <w:spacing w:after="0" w:line="168" w:lineRule="exact"/>
              <w:rPr>
                <w:sz w:val="20"/>
                <w:szCs w:val="20"/>
                <w:color w:val="auto"/>
              </w:rPr>
            </w:pPr>
            <w:r>
              <w:rPr>
                <w:rFonts w:ascii="Courier New" w:cs="Courier New" w:eastAsia="Courier New" w:hAnsi="Courier New"/>
                <w:sz w:val="15"/>
                <w:szCs w:val="15"/>
                <w:color w:val="auto"/>
              </w:rPr>
              <w:t>Repayment Date</w:t>
            </w:r>
          </w:p>
        </w:tc>
        <w:tc>
          <w:tcPr>
            <w:tcW w:w="3760" w:type="dxa"/>
            <w:vAlign w:val="bottom"/>
          </w:tcPr>
          <w:p>
            <w:pPr>
              <w:jc w:val="center"/>
              <w:ind w:left="2027"/>
              <w:spacing w:after="0" w:line="168" w:lineRule="exact"/>
              <w:rPr>
                <w:sz w:val="20"/>
                <w:szCs w:val="20"/>
                <w:color w:val="auto"/>
              </w:rPr>
            </w:pPr>
            <w:r>
              <w:rPr>
                <w:rFonts w:ascii="Courier New" w:cs="Courier New" w:eastAsia="Courier New" w:hAnsi="Courier New"/>
                <w:sz w:val="15"/>
                <w:szCs w:val="15"/>
                <w:color w:val="auto"/>
                <w:w w:val="97"/>
              </w:rPr>
              <w:t>Scheduled Repayment</w:t>
            </w:r>
          </w:p>
        </w:tc>
      </w:tr>
      <w:tr>
        <w:trPr>
          <w:trHeight w:val="168"/>
        </w:trPr>
        <w:tc>
          <w:tcPr>
            <w:tcW w:w="35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3760" w:type="dxa"/>
            <w:vAlign w:val="bottom"/>
          </w:tcPr>
          <w:p>
            <w:pPr>
              <w:jc w:val="center"/>
              <w:ind w:left="202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505"/>
        </w:trPr>
        <w:tc>
          <w:tcPr>
            <w:tcW w:w="3580" w:type="dxa"/>
            <w:vAlign w:val="bottom"/>
          </w:tcPr>
          <w:p>
            <w:pPr>
              <w:spacing w:after="0"/>
              <w:rPr>
                <w:sz w:val="20"/>
                <w:szCs w:val="20"/>
                <w:color w:val="auto"/>
              </w:rPr>
            </w:pPr>
            <w:r>
              <w:rPr>
                <w:rFonts w:ascii="Courier New" w:cs="Courier New" w:eastAsia="Courier New" w:hAnsi="Courier New"/>
                <w:sz w:val="15"/>
                <w:szCs w:val="15"/>
                <w:color w:val="auto"/>
              </w:rPr>
              <w:t>December 23, 2003</w:t>
            </w:r>
          </w:p>
        </w:tc>
        <w:tc>
          <w:tcPr>
            <w:tcW w:w="3760" w:type="dxa"/>
            <w:vAlign w:val="bottom"/>
          </w:tcPr>
          <w:p>
            <w:pPr>
              <w:jc w:val="center"/>
              <w:ind w:left="2027"/>
              <w:spacing w:after="0"/>
              <w:rPr>
                <w:sz w:val="20"/>
                <w:szCs w:val="20"/>
                <w:color w:val="auto"/>
              </w:rPr>
            </w:pPr>
            <w:r>
              <w:rPr>
                <w:rFonts w:ascii="Courier New" w:cs="Courier New" w:eastAsia="Courier New" w:hAnsi="Courier New"/>
                <w:sz w:val="15"/>
                <w:szCs w:val="15"/>
                <w:color w:val="auto"/>
                <w:w w:val="96"/>
              </w:rPr>
              <w:t>10%</w:t>
            </w:r>
          </w:p>
        </w:tc>
      </w:tr>
      <w:tr>
        <w:trPr>
          <w:trHeight w:val="168"/>
        </w:trPr>
        <w:tc>
          <w:tcPr>
            <w:tcW w:w="3580" w:type="dxa"/>
            <w:vAlign w:val="bottom"/>
          </w:tcPr>
          <w:p>
            <w:pPr>
              <w:spacing w:after="0" w:line="168" w:lineRule="exact"/>
              <w:rPr>
                <w:sz w:val="20"/>
                <w:szCs w:val="20"/>
                <w:color w:val="auto"/>
              </w:rPr>
            </w:pPr>
            <w:r>
              <w:rPr>
                <w:rFonts w:ascii="Courier New" w:cs="Courier New" w:eastAsia="Courier New" w:hAnsi="Courier New"/>
                <w:sz w:val="15"/>
                <w:szCs w:val="15"/>
                <w:color w:val="auto"/>
              </w:rPr>
              <w:t>June 23, 2004</w:t>
            </w:r>
          </w:p>
        </w:tc>
        <w:tc>
          <w:tcPr>
            <w:tcW w:w="3760" w:type="dxa"/>
            <w:vAlign w:val="bottom"/>
          </w:tcPr>
          <w:p>
            <w:pPr>
              <w:jc w:val="center"/>
              <w:ind w:left="2027"/>
              <w:spacing w:after="0" w:line="168" w:lineRule="exact"/>
              <w:rPr>
                <w:sz w:val="20"/>
                <w:szCs w:val="20"/>
                <w:color w:val="auto"/>
              </w:rPr>
            </w:pPr>
            <w:r>
              <w:rPr>
                <w:rFonts w:ascii="Courier New" w:cs="Courier New" w:eastAsia="Courier New" w:hAnsi="Courier New"/>
                <w:sz w:val="15"/>
                <w:szCs w:val="15"/>
                <w:color w:val="auto"/>
                <w:w w:val="96"/>
              </w:rPr>
              <w:t>20%</w:t>
            </w:r>
          </w:p>
        </w:tc>
      </w:tr>
      <w:tr>
        <w:trPr>
          <w:trHeight w:val="168"/>
        </w:trPr>
        <w:tc>
          <w:tcPr>
            <w:tcW w:w="358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23, 2004</w:t>
            </w:r>
          </w:p>
        </w:tc>
        <w:tc>
          <w:tcPr>
            <w:tcW w:w="3760" w:type="dxa"/>
            <w:vAlign w:val="bottom"/>
          </w:tcPr>
          <w:p>
            <w:pPr>
              <w:jc w:val="center"/>
              <w:ind w:left="2027"/>
              <w:spacing w:after="0" w:line="168" w:lineRule="exact"/>
              <w:rPr>
                <w:sz w:val="20"/>
                <w:szCs w:val="20"/>
                <w:color w:val="auto"/>
              </w:rPr>
            </w:pPr>
            <w:r>
              <w:rPr>
                <w:rFonts w:ascii="Courier New" w:cs="Courier New" w:eastAsia="Courier New" w:hAnsi="Courier New"/>
                <w:sz w:val="15"/>
                <w:szCs w:val="15"/>
                <w:color w:val="auto"/>
                <w:w w:val="96"/>
              </w:rPr>
              <w:t>20%</w:t>
            </w:r>
          </w:p>
        </w:tc>
      </w:tr>
      <w:tr>
        <w:trPr>
          <w:trHeight w:val="168"/>
        </w:trPr>
        <w:tc>
          <w:tcPr>
            <w:tcW w:w="3580" w:type="dxa"/>
            <w:vAlign w:val="bottom"/>
          </w:tcPr>
          <w:p>
            <w:pPr>
              <w:spacing w:after="0" w:line="168" w:lineRule="exact"/>
              <w:rPr>
                <w:sz w:val="20"/>
                <w:szCs w:val="20"/>
                <w:color w:val="auto"/>
              </w:rPr>
            </w:pPr>
            <w:r>
              <w:rPr>
                <w:rFonts w:ascii="Courier New" w:cs="Courier New" w:eastAsia="Courier New" w:hAnsi="Courier New"/>
                <w:sz w:val="15"/>
                <w:szCs w:val="15"/>
                <w:color w:val="auto"/>
              </w:rPr>
              <w:t>June 23, 2005</w:t>
            </w:r>
          </w:p>
        </w:tc>
        <w:tc>
          <w:tcPr>
            <w:tcW w:w="3760" w:type="dxa"/>
            <w:vAlign w:val="bottom"/>
          </w:tcPr>
          <w:p>
            <w:pPr>
              <w:jc w:val="center"/>
              <w:ind w:left="2027"/>
              <w:spacing w:after="0" w:line="168" w:lineRule="exact"/>
              <w:rPr>
                <w:sz w:val="20"/>
                <w:szCs w:val="20"/>
                <w:color w:val="auto"/>
              </w:rPr>
            </w:pPr>
            <w:r>
              <w:rPr>
                <w:rFonts w:ascii="Courier New" w:cs="Courier New" w:eastAsia="Courier New" w:hAnsi="Courier New"/>
                <w:sz w:val="15"/>
                <w:szCs w:val="15"/>
                <w:color w:val="auto"/>
                <w:w w:val="96"/>
              </w:rPr>
              <w:t>25%</w:t>
            </w:r>
          </w:p>
        </w:tc>
      </w:tr>
      <w:tr>
        <w:trPr>
          <w:trHeight w:val="168"/>
        </w:trPr>
        <w:tc>
          <w:tcPr>
            <w:tcW w:w="358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23, 2005</w:t>
            </w:r>
          </w:p>
        </w:tc>
        <w:tc>
          <w:tcPr>
            <w:tcW w:w="3760" w:type="dxa"/>
            <w:vAlign w:val="bottom"/>
          </w:tcPr>
          <w:p>
            <w:pPr>
              <w:jc w:val="center"/>
              <w:ind w:left="2027"/>
              <w:spacing w:after="0" w:line="168" w:lineRule="exact"/>
              <w:rPr>
                <w:sz w:val="20"/>
                <w:szCs w:val="20"/>
                <w:color w:val="auto"/>
              </w:rPr>
            </w:pPr>
            <w:r>
              <w:rPr>
                <w:rFonts w:ascii="Courier New" w:cs="Courier New" w:eastAsia="Courier New" w:hAnsi="Courier New"/>
                <w:sz w:val="15"/>
                <w:szCs w:val="15"/>
                <w:color w:val="auto"/>
                <w:w w:val="96"/>
              </w:rPr>
              <w:t>25%</w:t>
            </w:r>
          </w:p>
        </w:tc>
      </w:tr>
    </w:tbl>
    <w:p>
      <w:pPr>
        <w:spacing w:after="0" w:line="335" w:lineRule="exact"/>
        <w:rPr>
          <w:sz w:val="20"/>
          <w:szCs w:val="20"/>
          <w:color w:val="auto"/>
        </w:rPr>
      </w:pPr>
    </w:p>
    <w:p>
      <w:pPr>
        <w:ind w:left="980" w:hanging="533"/>
        <w:spacing w:after="0"/>
        <w:tabs>
          <w:tab w:leader="none" w:pos="980" w:val="left"/>
        </w:tabs>
        <w:numPr>
          <w:ilvl w:val="1"/>
          <w:numId w:val="2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duration of the Interest  Periods for the 2003 Advance  shall be</w:t>
      </w:r>
    </w:p>
    <w:p>
      <w:pPr>
        <w:spacing w:after="0" w:line="4" w:lineRule="exact"/>
        <w:rPr>
          <w:rFonts w:ascii="Courier New" w:cs="Courier New" w:eastAsia="Courier New" w:hAnsi="Courier New"/>
          <w:sz w:val="15"/>
          <w:szCs w:val="15"/>
          <w:color w:val="auto"/>
        </w:rPr>
      </w:pPr>
    </w:p>
    <w:p>
      <w:pPr>
        <w:jc w:val="both"/>
        <w:ind w:right="3239" w:firstLine="10"/>
        <w:spacing w:after="0" w:line="235" w:lineRule="auto"/>
        <w:tabs>
          <w:tab w:leader="none" w:pos="437" w:val="left"/>
        </w:tabs>
        <w:numPr>
          <w:ilvl w:val="0"/>
          <w:numId w:val="2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initially, the period commencing on the 2003 Borrowing Date and ending on (but excluding) April 24, 2003, and (B) thereafter, the same period as that of the Interest Period selected by the Borrower for the 2002 Advances, pursuant to the Credit Agreement.</w:t>
      </w:r>
    </w:p>
    <w:p>
      <w:pPr>
        <w:spacing w:after="0" w:line="175" w:lineRule="exact"/>
        <w:rPr>
          <w:sz w:val="20"/>
          <w:szCs w:val="20"/>
          <w:color w:val="auto"/>
        </w:rPr>
      </w:pPr>
    </w:p>
    <w:p>
      <w:pPr>
        <w:jc w:val="both"/>
        <w:ind w:right="3239" w:firstLine="437"/>
        <w:spacing w:after="0" w:line="256" w:lineRule="auto"/>
        <w:rPr>
          <w:sz w:val="20"/>
          <w:szCs w:val="20"/>
          <w:color w:val="auto"/>
        </w:rPr>
      </w:pPr>
      <w:r>
        <w:rPr>
          <w:rFonts w:ascii="Courier New" w:cs="Courier New" w:eastAsia="Courier New" w:hAnsi="Courier New"/>
          <w:sz w:val="14"/>
          <w:szCs w:val="14"/>
          <w:color w:val="auto"/>
        </w:rPr>
        <w:t>1.4 Use of Proceeds. Notwithstanding Section 2.13 of the Credit Agreement, the proceeds of the 2003 Advance shall be available (and the Borrower agrees that it shall use such proceeds) to refinance existing Debt of the Borrower and to pay transaction fees and expenses incurred in connection with this Amendment.</w:t>
      </w:r>
    </w:p>
    <w:p>
      <w:pPr>
        <w:spacing w:after="0" w:line="16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Section 2. Conditions Precedent to the 2003 Borrowing. The obligation of the 2003 Lender to make its 2003 Advance is subject to satisfaction or waiver of the conditions precedent set forth below on or before the 2003 Borrowing Date (each document received by the Administrative Agent and described below shall be dated the 2003 Borrowing Date, unless otherwise specified, and in form and substance reasonably satisfactory to the 2003 Lender).</w:t>
      </w:r>
    </w:p>
    <w:p>
      <w:pPr>
        <w:spacing w:after="0" w:line="175" w:lineRule="exact"/>
        <w:rPr>
          <w:sz w:val="20"/>
          <w:szCs w:val="20"/>
          <w:color w:val="auto"/>
        </w:rPr>
      </w:pPr>
    </w:p>
    <w:p>
      <w:pPr>
        <w:jc w:val="both"/>
        <w:ind w:right="3239" w:firstLine="447"/>
        <w:spacing w:after="0" w:line="235" w:lineRule="auto"/>
        <w:tabs>
          <w:tab w:leader="none" w:pos="787" w:val="left"/>
        </w:tabs>
        <w:numPr>
          <w:ilvl w:val="0"/>
          <w:numId w:val="2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Administrative Agent shall have received a 2003 Notice of Borrowing with respect to the 2003 Advance meeting the requirements of Section 1.2(a) of this Amendment.</w:t>
      </w:r>
    </w:p>
    <w:p>
      <w:pPr>
        <w:spacing w:after="0" w:line="173" w:lineRule="exact"/>
        <w:rPr>
          <w:rFonts w:ascii="Courier New" w:cs="Courier New" w:eastAsia="Courier New" w:hAnsi="Courier New"/>
          <w:sz w:val="15"/>
          <w:szCs w:val="15"/>
          <w:color w:val="auto"/>
        </w:rPr>
      </w:pPr>
    </w:p>
    <w:p>
      <w:pPr>
        <w:jc w:val="both"/>
        <w:ind w:right="3239" w:firstLine="447"/>
        <w:spacing w:after="0" w:line="235" w:lineRule="auto"/>
        <w:tabs>
          <w:tab w:leader="none" w:pos="787" w:val="left"/>
        </w:tabs>
        <w:numPr>
          <w:ilvl w:val="0"/>
          <w:numId w:val="2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Administrative Agent shall have received the duly executed 2003 Note for the account of the 2003 Lender meeting the requirements of Section 1.3(b)(i) of this Amendment and each of the Guarantors shall have placed its guaranty ("aval") upon the 2003 Note.</w:t>
      </w:r>
    </w:p>
    <w:p>
      <w:pPr>
        <w:spacing w:after="0" w:line="175" w:lineRule="exact"/>
        <w:rPr>
          <w:rFonts w:ascii="Courier New" w:cs="Courier New" w:eastAsia="Courier New" w:hAnsi="Courier New"/>
          <w:sz w:val="15"/>
          <w:szCs w:val="15"/>
          <w:color w:val="auto"/>
        </w:rPr>
      </w:pPr>
    </w:p>
    <w:p>
      <w:pPr>
        <w:jc w:val="both"/>
        <w:ind w:right="3239" w:firstLine="447"/>
        <w:spacing w:after="0" w:line="255" w:lineRule="auto"/>
        <w:tabs>
          <w:tab w:leader="none" w:pos="787" w:val="left"/>
        </w:tabs>
        <w:numPr>
          <w:ilvl w:val="0"/>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Administrative Agent shall have received (i) a certificate of each of the Credit Parties, substantially in the form of Exhibit C to the Credit Agreement, signed by a Responsible Officer of such Credit Party and (ii) a certificate of the Secretary or any Assistant Secretary of such Credit Party, substantially in the form of Exhibit D to the Credit Agreement and stating that there has been no change to its constitutional documents since the date the 2002 Advances were made, together with certified copies of (A) the resolutions of the Board of Directors of such Credit Party approving such Credit Party's execution, delivery, and performance of this Amendment and the transactions contemplated hereby and (B) all documents evidencing other necessary corporate action and consents or approvals of any Governmental Authority, if any, with respect to this Amendment and the transactions contemplated hereby.</w:t>
      </w:r>
    </w:p>
    <w:p>
      <w:pPr>
        <w:spacing w:after="0" w:line="164" w:lineRule="exact"/>
        <w:rPr>
          <w:rFonts w:ascii="Courier New" w:cs="Courier New" w:eastAsia="Courier New" w:hAnsi="Courier New"/>
          <w:sz w:val="14"/>
          <w:szCs w:val="14"/>
          <w:color w:val="auto"/>
        </w:rPr>
      </w:pPr>
    </w:p>
    <w:p>
      <w:pPr>
        <w:jc w:val="both"/>
        <w:ind w:right="3239" w:firstLine="447"/>
        <w:spacing w:after="0" w:line="258" w:lineRule="auto"/>
        <w:tabs>
          <w:tab w:leader="none" w:pos="787" w:val="left"/>
        </w:tabs>
        <w:numPr>
          <w:ilvl w:val="0"/>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Administrative Agent shall have received (i) an opinion of Cleary, Gottlieb, Steen &amp; Hamilton, special New York counsel for the Credit Parties, substantially in the form of Exhibit E-1 to the Credit Agreement and as to such</w:t>
      </w:r>
    </w:p>
    <w:p>
      <w:pPr>
        <w:spacing w:after="0" w:line="32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24" w:right="1440" w:bottom="1440" w:gutter="0" w:footer="0" w:header="0"/>
        </w:sectPr>
      </w:pPr>
    </w:p>
    <w:bookmarkStart w:id="287" w:name="page288"/>
    <w:bookmarkEnd w:id="287"/>
    <w:p>
      <w:pPr>
        <w:jc w:val="both"/>
        <w:ind w:right="3239"/>
        <w:spacing w:after="0" w:line="256" w:lineRule="auto"/>
        <w:rPr>
          <w:sz w:val="20"/>
          <w:szCs w:val="20"/>
          <w:color w:val="auto"/>
        </w:rPr>
      </w:pPr>
      <w:r>
        <w:rPr>
          <w:rFonts w:ascii="Courier New" w:cs="Courier New" w:eastAsia="Courier New" w:hAnsi="Courier New"/>
          <w:sz w:val="14"/>
          <w:szCs w:val="14"/>
          <w:color w:val="auto"/>
        </w:rPr>
        <w:t>other matters as the 2003 Lender through the Administrative Agent may reasonably request and (ii) an opinion of White &amp; Case LLP, special New York counsel for the 2003 Lender and the Administrative Agent, in form reasonable to the Administrative Agent, regarding this Amendment and as to such other matters as the 2003 Lender through the Administrative Agent may reasonably request.</w:t>
      </w:r>
    </w:p>
    <w:p>
      <w:pPr>
        <w:spacing w:after="0" w:line="163" w:lineRule="exact"/>
        <w:rPr>
          <w:sz w:val="20"/>
          <w:szCs w:val="20"/>
          <w:color w:val="auto"/>
        </w:rPr>
      </w:pPr>
    </w:p>
    <w:p>
      <w:pPr>
        <w:jc w:val="both"/>
        <w:ind w:right="3239" w:firstLine="447"/>
        <w:spacing w:after="0" w:line="235" w:lineRule="auto"/>
        <w:tabs>
          <w:tab w:leader="none" w:pos="787" w:val="left"/>
        </w:tabs>
        <w:numPr>
          <w:ilvl w:val="1"/>
          <w:numId w:val="2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Administrative Agent shall have received an opinion of David A. Gonzalez Vessi, Mexican counsel to the Credit Parties, substantially in the form of Exhibit E-2 to the Credit Agreement and as to such other matters as the 2003 Lender through the Administrative Agent may reasonably request.</w:t>
      </w:r>
    </w:p>
    <w:p>
      <w:pPr>
        <w:spacing w:after="0" w:line="175" w:lineRule="exact"/>
        <w:rPr>
          <w:rFonts w:ascii="Courier New" w:cs="Courier New" w:eastAsia="Courier New" w:hAnsi="Courier New"/>
          <w:sz w:val="15"/>
          <w:szCs w:val="15"/>
          <w:color w:val="auto"/>
        </w:rPr>
      </w:pPr>
    </w:p>
    <w:p>
      <w:pPr>
        <w:jc w:val="both"/>
        <w:ind w:right="3239" w:firstLine="447"/>
        <w:spacing w:after="0" w:line="236" w:lineRule="auto"/>
        <w:tabs>
          <w:tab w:leader="none" w:pos="787" w:val="left"/>
        </w:tabs>
        <w:numPr>
          <w:ilvl w:val="1"/>
          <w:numId w:val="2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the 2003 Borrowing Date (and after giving effect thereto) (i) there shall exist no Default or Event of Default and (ii) all representations and warranties contained in Article IV of the Credit Agreement (except for those under Sections 4.05, 4.15 and 4.16 thereof) shall be true and correct in all material respects as though made on and as of the 2003 Borrowing Date.</w:t>
      </w:r>
    </w:p>
    <w:p>
      <w:pPr>
        <w:spacing w:after="0" w:line="173" w:lineRule="exact"/>
        <w:rPr>
          <w:rFonts w:ascii="Courier New" w:cs="Courier New" w:eastAsia="Courier New" w:hAnsi="Courier New"/>
          <w:sz w:val="15"/>
          <w:szCs w:val="15"/>
          <w:color w:val="auto"/>
        </w:rPr>
      </w:pPr>
    </w:p>
    <w:p>
      <w:pPr>
        <w:jc w:val="both"/>
        <w:ind w:right="3239" w:firstLine="447"/>
        <w:spacing w:after="0" w:line="235" w:lineRule="auto"/>
        <w:tabs>
          <w:tab w:leader="none" w:pos="787" w:val="left"/>
        </w:tabs>
        <w:numPr>
          <w:ilvl w:val="1"/>
          <w:numId w:val="2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shall have paid all accrued fees and invoiced expenses of the Administrative Agent and reimbursed the Administrative Agent for all reasonable out-of-pocket expenses incurred in accordance with Section 9.04(a)(i) of the Credit Agreement.</w:t>
      </w:r>
    </w:p>
    <w:p>
      <w:pPr>
        <w:spacing w:after="0" w:line="175" w:lineRule="exact"/>
        <w:rPr>
          <w:rFonts w:ascii="Courier New" w:cs="Courier New" w:eastAsia="Courier New" w:hAnsi="Courier New"/>
          <w:sz w:val="15"/>
          <w:szCs w:val="15"/>
          <w:color w:val="auto"/>
        </w:rPr>
      </w:pPr>
    </w:p>
    <w:p>
      <w:pPr>
        <w:jc w:val="both"/>
        <w:ind w:right="3239" w:firstLine="447"/>
        <w:spacing w:after="0" w:line="256" w:lineRule="auto"/>
        <w:tabs>
          <w:tab w:leader="none" w:pos="787" w:val="left"/>
        </w:tabs>
        <w:numPr>
          <w:ilvl w:val="1"/>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Borrower and the Subordinated Creditor shall have executed and delivered to the Administrative Agent an amendment to the Subordination Agreement substantially in the form of Exhibit B hereto, providing for the treatment of the 2003 Advance in the same manner as the 2002 Advances.</w:t>
      </w:r>
    </w:p>
    <w:p>
      <w:pPr>
        <w:spacing w:after="0" w:line="164" w:lineRule="exact"/>
        <w:rPr>
          <w:rFonts w:ascii="Courier New" w:cs="Courier New" w:eastAsia="Courier New" w:hAnsi="Courier New"/>
          <w:sz w:val="14"/>
          <w:szCs w:val="14"/>
          <w:color w:val="auto"/>
        </w:rPr>
      </w:pPr>
    </w:p>
    <w:p>
      <w:pPr>
        <w:jc w:val="both"/>
        <w:ind w:right="3239" w:firstLine="447"/>
        <w:spacing w:after="0" w:line="235" w:lineRule="auto"/>
        <w:tabs>
          <w:tab w:leader="none" w:pos="787" w:val="left"/>
        </w:tabs>
        <w:numPr>
          <w:ilvl w:val="1"/>
          <w:numId w:val="2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shall not have occurred any material adverse change in any country in which any Credit Party or any of its respective Subsidiaries operate, or in the international loan syndication or financial or capital market conditions generally from those in effect on the date hereof.</w:t>
      </w:r>
    </w:p>
    <w:p>
      <w:pPr>
        <w:spacing w:after="0" w:line="175" w:lineRule="exact"/>
        <w:rPr>
          <w:rFonts w:ascii="Courier New" w:cs="Courier New" w:eastAsia="Courier New" w:hAnsi="Courier New"/>
          <w:sz w:val="15"/>
          <w:szCs w:val="15"/>
          <w:color w:val="auto"/>
        </w:rPr>
      </w:pPr>
    </w:p>
    <w:p>
      <w:pPr>
        <w:jc w:val="both"/>
        <w:ind w:right="3239" w:firstLine="447"/>
        <w:spacing w:after="0" w:line="235" w:lineRule="auto"/>
        <w:tabs>
          <w:tab w:leader="none" w:pos="787" w:val="left"/>
        </w:tabs>
        <w:numPr>
          <w:ilvl w:val="1"/>
          <w:numId w:val="2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Since December 31, 2002, there shall not have occurred any material adverse change in the condition (financial or otherwise), operations, assets, liabilities or prospects of the Borrower or the Borrower and its Subsidiaries taken as a whole.</w:t>
      </w:r>
    </w:p>
    <w:p>
      <w:pPr>
        <w:spacing w:after="0" w:line="175" w:lineRule="exact"/>
        <w:rPr>
          <w:rFonts w:ascii="Courier New" w:cs="Courier New" w:eastAsia="Courier New" w:hAnsi="Courier New"/>
          <w:sz w:val="15"/>
          <w:szCs w:val="15"/>
          <w:color w:val="auto"/>
        </w:rPr>
      </w:pPr>
    </w:p>
    <w:p>
      <w:pPr>
        <w:jc w:val="both"/>
        <w:ind w:right="3239" w:firstLine="447"/>
        <w:spacing w:after="0" w:line="254" w:lineRule="auto"/>
        <w:tabs>
          <w:tab w:leader="none" w:pos="787" w:val="left"/>
        </w:tabs>
        <w:numPr>
          <w:ilvl w:val="1"/>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litigation, action, suit, investigation, claim or proceeding by any Governmental Authority or any Person shall be pending or threatened with respect to (i) this Amendment, (ii) the Credit Agreement or any other Loan Document,</w:t>
      </w:r>
    </w:p>
    <w:p>
      <w:pPr>
        <w:spacing w:after="0" w:line="1" w:lineRule="exact"/>
        <w:rPr>
          <w:rFonts w:ascii="Courier New" w:cs="Courier New" w:eastAsia="Courier New" w:hAnsi="Courier New"/>
          <w:sz w:val="14"/>
          <w:szCs w:val="14"/>
          <w:color w:val="auto"/>
        </w:rPr>
      </w:pPr>
    </w:p>
    <w:p>
      <w:pPr>
        <w:jc w:val="both"/>
        <w:ind w:right="3239" w:firstLine="10"/>
        <w:spacing w:after="0" w:line="235" w:lineRule="auto"/>
        <w:tabs>
          <w:tab w:leader="none" w:pos="525" w:val="left"/>
        </w:tabs>
        <w:numPr>
          <w:ilvl w:val="0"/>
          <w:numId w:val="2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transactions contemplated hereby or thereby or (iv) any agreement to which any Credit Party or any of its respective Subsidiaries is a party which could reasonably be expected to have a Material Adverse Effect.</w:t>
      </w:r>
    </w:p>
    <w:p>
      <w:pPr>
        <w:spacing w:after="0" w:line="173" w:lineRule="exact"/>
        <w:rPr>
          <w:rFonts w:ascii="Courier New" w:cs="Courier New" w:eastAsia="Courier New" w:hAnsi="Courier New"/>
          <w:sz w:val="15"/>
          <w:szCs w:val="15"/>
          <w:color w:val="auto"/>
        </w:rPr>
      </w:pPr>
    </w:p>
    <w:p>
      <w:pPr>
        <w:jc w:val="both"/>
        <w:ind w:right="3239" w:firstLine="447"/>
        <w:spacing w:after="0" w:line="235" w:lineRule="auto"/>
        <w:tabs>
          <w:tab w:leader="none" w:pos="875" w:val="left"/>
        </w:tabs>
        <w:numPr>
          <w:ilvl w:val="1"/>
          <w:numId w:val="2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Governmental Approvals required in connection with (i) the execution, delivery and performance of this Amendment and (ii) the legality, validity, binding effect and enforceability of this Amendment and the 2003 Note shall have been obtained.</w:t>
      </w:r>
    </w:p>
    <w:p>
      <w:pPr>
        <w:spacing w:after="0" w:line="175" w:lineRule="exact"/>
        <w:rPr>
          <w:rFonts w:ascii="Courier New" w:cs="Courier New" w:eastAsia="Courier New" w:hAnsi="Courier New"/>
          <w:sz w:val="15"/>
          <w:szCs w:val="15"/>
          <w:color w:val="auto"/>
        </w:rPr>
      </w:pPr>
    </w:p>
    <w:p>
      <w:pPr>
        <w:jc w:val="both"/>
        <w:ind w:right="3239" w:firstLine="447"/>
        <w:spacing w:after="0" w:line="235" w:lineRule="auto"/>
        <w:tabs>
          <w:tab w:leader="none" w:pos="787" w:val="left"/>
        </w:tabs>
        <w:numPr>
          <w:ilvl w:val="1"/>
          <w:numId w:val="2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Administrative Agent shall have received such other certificates, documents and opinions of counsel as the 2003 Lender through the Administrative Agent may reasonably request.</w:t>
      </w:r>
    </w:p>
    <w:p>
      <w:pPr>
        <w:spacing w:after="0" w:line="173" w:lineRule="exact"/>
        <w:rPr>
          <w:rFonts w:ascii="Courier New" w:cs="Courier New" w:eastAsia="Courier New" w:hAnsi="Courier New"/>
          <w:sz w:val="15"/>
          <w:szCs w:val="15"/>
          <w:color w:val="auto"/>
        </w:rPr>
      </w:pPr>
    </w:p>
    <w:p>
      <w:pPr>
        <w:jc w:val="both"/>
        <w:ind w:right="3239" w:firstLine="447"/>
        <w:spacing w:after="0" w:line="235" w:lineRule="auto"/>
        <w:tabs>
          <w:tab w:leader="none" w:pos="787" w:val="left"/>
        </w:tabs>
        <w:numPr>
          <w:ilvl w:val="1"/>
          <w:numId w:val="2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2003 Note, certificates, legal opinions and other documents and papers referred to in this Section 2, unless otherwise specified, shall be delivered to the Administrative Agent for the account of the 2003 Lender.</w:t>
      </w:r>
    </w:p>
    <w:p>
      <w:pPr>
        <w:spacing w:after="0" w:line="173" w:lineRule="exact"/>
        <w:rPr>
          <w:rFonts w:ascii="Courier New" w:cs="Courier New" w:eastAsia="Courier New" w:hAnsi="Courier New"/>
          <w:sz w:val="15"/>
          <w:szCs w:val="15"/>
          <w:color w:val="auto"/>
        </w:rPr>
      </w:pPr>
    </w:p>
    <w:p>
      <w:pPr>
        <w:jc w:val="both"/>
        <w:ind w:right="3239" w:firstLine="447"/>
        <w:spacing w:after="0" w:line="235" w:lineRule="auto"/>
        <w:tabs>
          <w:tab w:leader="none" w:pos="787" w:val="left"/>
        </w:tabs>
        <w:numPr>
          <w:ilvl w:val="1"/>
          <w:numId w:val="2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Section 9.01 of the Credit Agreement, with respect to any waiver of any condition set forth in this Section 2, Required Lenders shall be calculated solely with respect to the 2003 Advance.</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3. Miscellaneous.</w:t>
      </w:r>
    </w:p>
    <w:p>
      <w:pPr>
        <w:spacing w:after="0" w:line="173" w:lineRule="exact"/>
        <w:rPr>
          <w:sz w:val="20"/>
          <w:szCs w:val="20"/>
          <w:color w:val="auto"/>
        </w:rPr>
      </w:pPr>
    </w:p>
    <w:p>
      <w:pPr>
        <w:jc w:val="both"/>
        <w:ind w:right="3239" w:firstLine="437"/>
        <w:spacing w:after="0" w:line="256" w:lineRule="auto"/>
        <w:rPr>
          <w:sz w:val="20"/>
          <w:szCs w:val="20"/>
          <w:color w:val="auto"/>
        </w:rPr>
      </w:pPr>
      <w:r>
        <w:rPr>
          <w:rFonts w:ascii="Courier New" w:cs="Courier New" w:eastAsia="Courier New" w:hAnsi="Courier New"/>
          <w:sz w:val="14"/>
          <w:szCs w:val="14"/>
          <w:color w:val="auto"/>
        </w:rPr>
        <w:t>3.1 Execution and Effectiveness of this Amendment. Upon execution, this Amendment shall be construed as a first amendment to the Credit Agreement, and, as provided in the Credit Agreement, this Amendment forms a part thereof. This Amendment shall be effective as of the date hereof upon the execution and delivery of this Amendment by the Borrower, the Guarantors, the Administrative</w:t>
      </w:r>
    </w:p>
    <w:p>
      <w:pPr>
        <w:spacing w:after="0" w:line="3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24" w:right="1440" w:bottom="1440" w:gutter="0" w:footer="0" w:header="0"/>
        </w:sectPr>
      </w:pPr>
    </w:p>
    <w:bookmarkStart w:id="288" w:name="page289"/>
    <w:bookmarkEnd w:id="288"/>
    <w:p>
      <w:pPr>
        <w:jc w:val="both"/>
        <w:ind w:right="3239"/>
        <w:spacing w:after="0" w:line="234" w:lineRule="auto"/>
        <w:rPr>
          <w:sz w:val="20"/>
          <w:szCs w:val="20"/>
          <w:color w:val="auto"/>
        </w:rPr>
      </w:pPr>
      <w:r>
        <w:rPr>
          <w:rFonts w:ascii="Courier New" w:cs="Courier New" w:eastAsia="Courier New" w:hAnsi="Courier New"/>
          <w:sz w:val="15"/>
          <w:szCs w:val="15"/>
          <w:color w:val="auto"/>
        </w:rPr>
        <w:t>Agent, the Required Lenders determined with respect to the 2002 Advances, and the 2003 Lender.</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3.2 Representations and Warranties. The Borrower hereby represents and warrants to the 2003 Lender that (a) all consents, approvals and authorizations necessary for such party's execution, delivery and performance of this Amendment have been obtained or will be obtained as of the 2003 Borrowing Date, (b) this Amendment and the 2003 Note have been, or will be as of the 2003 Borrowing Date, duly executed and delivered by the Borrower and the Guarantors and constitute a legal, valid and binding obligation of the Borrower and the Guarantors, enforceable against the Borrower and the Guarantors in accordance with their respective terms, (c) each of the representations and warranties set forth in Article IV of the Credit Agreement are true and correct in all material respects on and as of the date hereof and on and as of the 2003 Borrowing Date, as though made on and as of the date hereof and the 2003 Borrowing Date (except for those under Sections 4.05, 4.15 and 4.16 thereof) and (d) no Default or Event of Default exists or would result from the disbursement of the 2003 Advance.</w:t>
      </w:r>
    </w:p>
    <w:p>
      <w:pPr>
        <w:spacing w:after="0" w:line="16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2003 Lender represents and warrants to the Borrower that on and as of the date hereof the 2003 Lender is a Mexican development banking institution (institucion de banca de desarrollo). The Borrower shall not be required to pay additional amounts or indemnify the 2003 Lender under paragraphs (a) or (b) of Section 2.10 of the Credit Agreement for any Taxes to the extent that such taxes would not have been imposed but for the untruth on the date hereof of the foregoing representation.</w:t>
      </w:r>
    </w:p>
    <w:p>
      <w:pPr>
        <w:spacing w:after="0" w:line="176"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3.3 Waiver. This Amendment is made in amendment and modification of, but not extinguishment of, the obligations set forth in the Credit Agreement and the other Loan Documents and, except as specifically modified pursuant to the terms of this Amendment, the terms and conditions of the Credit Agreement and the other Loan Documents remain in full force and effect. Except as specifically set forth herein, nothing herein shall limit in any way the rights and remedies of the Lenders or the Administrative Agent under the Credit Agreement and the other Loan Documents. The execution, delivery and performance by the Lenders, the Administrative Agent and the other parties hereto of this Amendment shall not constitute a waiver, forbearance or other indulgence with respect to any Default or Event of Default now existing or hereafter arising.</w:t>
      </w:r>
    </w:p>
    <w:p>
      <w:pPr>
        <w:spacing w:after="0" w:line="165"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3.4 Counterparts. This Amendment may be executed in any number of counterparts and by the different parties hereto on separate counterparts, each of which when so executed and delivered shall be an original, but all of which shall together constitute one and the same instrument.</w:t>
      </w:r>
    </w:p>
    <w:p>
      <w:pPr>
        <w:spacing w:after="0" w:line="175"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3.5 Severability. Any provision of this Amendment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provisions in any other jurisdiction.</w:t>
      </w:r>
    </w:p>
    <w:p>
      <w:pPr>
        <w:spacing w:after="0" w:line="166"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3.6 Governing Law. This Amendment shall be governed by, and construed in accordance with, the laws of the State of New York.</w:t>
      </w:r>
    </w:p>
    <w:p>
      <w:pPr>
        <w:spacing w:after="0" w:line="173"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3.7 Headings. Headings herein are for convenience only and shall not be relied upon in interpreting or enforcing this Amendment.</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24" w:right="1440" w:bottom="1440" w:gutter="0" w:footer="0" w:header="0"/>
        </w:sectPr>
      </w:pPr>
    </w:p>
    <w:bookmarkStart w:id="289" w:name="page290"/>
    <w:bookmarkEnd w:id="289"/>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IN WITNESS WHEREOF, the parties hereto have caused their duly authorized officers to execute and deliver this Amendment to the Credit Agreement as of the date first above written.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Address:</w:t>
      </w:r>
    </w:p>
    <w:p>
      <w:pPr>
        <w:sectPr>
          <w:pgSz w:w="11900" w:h="16838" w:orient="portrait"/>
          <w:cols w:equalWidth="0" w:num="1">
            <w:col w:w="10239"/>
          </w:cols>
          <w:pgMar w:left="220" w:top="960" w:right="1440" w:bottom="1440" w:gutter="0" w:footer="0" w:header="0"/>
        </w:sectPr>
      </w:pPr>
    </w:p>
    <w:p>
      <w:pPr>
        <w:spacing w:after="0" w:line="5" w:lineRule="exact"/>
        <w:rPr>
          <w:sz w:val="20"/>
          <w:szCs w:val="20"/>
          <w:color w:val="auto"/>
        </w:rPr>
      </w:pPr>
    </w:p>
    <w:p>
      <w:pPr>
        <w:ind w:right="400"/>
        <w:spacing w:after="0" w:line="234" w:lineRule="auto"/>
        <w:rPr>
          <w:sz w:val="20"/>
          <w:szCs w:val="20"/>
          <w:color w:val="auto"/>
        </w:rPr>
      </w:pPr>
      <w:r>
        <w:rPr>
          <w:rFonts w:ascii="Courier New" w:cs="Courier New" w:eastAsia="Courier New" w:hAnsi="Courier New"/>
          <w:sz w:val="15"/>
          <w:szCs w:val="15"/>
          <w:color w:val="auto"/>
        </w:rPr>
        <w:t>General Anaya 601 Poniente, Colonia Bella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FEMSA EMPAQUES, S.A. DE C.V.,</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Borrower</w:t>
      </w:r>
    </w:p>
    <w:p>
      <w:pPr>
        <w:spacing w:after="0" w:line="1" w:lineRule="exact"/>
        <w:rPr>
          <w:sz w:val="20"/>
          <w:szCs w:val="20"/>
          <w:color w:val="auto"/>
        </w:rPr>
      </w:pPr>
    </w:p>
    <w:p>
      <w:pPr>
        <w:sectPr>
          <w:pgSz w:w="11900" w:h="16838" w:orient="portrait"/>
          <w:cols w:equalWidth="0" w:num="2">
            <w:col w:w="2780" w:space="720"/>
            <w:col w:w="6739"/>
          </w:cols>
          <w:pgMar w:left="220" w:top="960" w:right="1440" w:bottom="1440" w:gutter="0" w:footer="0" w:header="0"/>
          <w:type w:val="continuous"/>
        </w:sectPr>
      </w:pPr>
    </w:p>
    <w:p>
      <w:pPr>
        <w:spacing w:after="0" w:line="237" w:lineRule="auto"/>
        <w:rPr>
          <w:sz w:val="20"/>
          <w:szCs w:val="20"/>
          <w:color w:val="auto"/>
        </w:rPr>
      </w:pPr>
      <w:r>
        <w:rPr>
          <w:rFonts w:ascii="Courier New" w:cs="Courier New" w:eastAsia="Courier New" w:hAnsi="Courier New"/>
          <w:sz w:val="15"/>
          <w:szCs w:val="15"/>
          <w:color w:val="auto"/>
        </w:rPr>
        <w:t>Vista 1er Piso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Monterrey, N.L. Mexico,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C.P. 64410</w:t>
      </w:r>
    </w:p>
    <w:p>
      <w:pPr>
        <w:spacing w:after="0" w:line="237" w:lineRule="auto"/>
        <w:rPr>
          <w:sz w:val="20"/>
          <w:szCs w:val="20"/>
          <w:color w:val="auto"/>
        </w:rPr>
      </w:pPr>
      <w:r>
        <w:rPr>
          <w:rFonts w:ascii="Courier New" w:cs="Courier New" w:eastAsia="Courier New" w:hAnsi="Courier New"/>
          <w:sz w:val="15"/>
          <w:szCs w:val="15"/>
          <w:color w:val="auto"/>
        </w:rPr>
        <w:t>Attention:</w:t>
      </w:r>
    </w:p>
    <w:p>
      <w:pPr>
        <w:sectPr>
          <w:pgSz w:w="11900" w:h="16838" w:orient="portrait"/>
          <w:cols w:equalWidth="0" w:num="1">
            <w:col w:w="10239"/>
          </w:cols>
          <w:pgMar w:left="220" w:top="960" w:right="1440" w:bottom="1440" w:gutter="0" w:footer="0" w:header="0"/>
          <w:type w:val="continuous"/>
        </w:sectPr>
      </w:pPr>
    </w:p>
    <w:p>
      <w:pPr>
        <w:spacing w:after="0" w:line="5" w:lineRule="exact"/>
        <w:rPr>
          <w:sz w:val="20"/>
          <w:szCs w:val="20"/>
          <w:color w:val="auto"/>
        </w:rPr>
      </w:pPr>
    </w:p>
    <w:p>
      <w:pPr>
        <w:spacing w:after="0" w:line="254" w:lineRule="auto"/>
        <w:rPr>
          <w:sz w:val="20"/>
          <w:szCs w:val="20"/>
          <w:color w:val="auto"/>
        </w:rPr>
      </w:pPr>
      <w:r>
        <w:rPr>
          <w:rFonts w:ascii="Courier New" w:cs="Courier New" w:eastAsia="Courier New" w:hAnsi="Courier New"/>
          <w:sz w:val="14"/>
          <w:szCs w:val="14"/>
          <w:color w:val="auto"/>
        </w:rPr>
        <w:t>Arturo Guerrero/Elvia Villarreal Telephone: 011-52-818-328-6606 / 011-52-818-328-6635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By: ______________________________</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Name:</w:t>
      </w:r>
    </w:p>
    <w:p>
      <w:pPr>
        <w:ind w:left="180"/>
        <w:spacing w:after="0" w:line="237" w:lineRule="auto"/>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sectPr>
          <w:pgSz w:w="11900" w:h="16838" w:orient="portrait"/>
          <w:cols w:equalWidth="0" w:num="2">
            <w:col w:w="2800" w:space="700"/>
            <w:col w:w="6739"/>
          </w:cols>
          <w:pgMar w:left="220" w:top="960" w:right="1440" w:bottom="1440" w:gutter="0" w:footer="0" w:header="0"/>
          <w:type w:val="continuous"/>
        </w:sectPr>
      </w:pPr>
    </w:p>
    <w:p>
      <w:pPr>
        <w:spacing w:after="0"/>
        <w:tabs>
          <w:tab w:leader="none" w:pos="1040" w:val="left"/>
        </w:tabs>
        <w:rPr>
          <w:sz w:val="20"/>
          <w:szCs w:val="20"/>
          <w:color w:val="auto"/>
        </w:rPr>
      </w:pPr>
      <w:r>
        <w:rPr>
          <w:rFonts w:ascii="Courier New" w:cs="Courier New" w:eastAsia="Courier New" w:hAnsi="Courier New"/>
          <w:sz w:val="15"/>
          <w:szCs w:val="15"/>
          <w:color w:val="auto"/>
        </w:rPr>
        <w:t>Facsimile:</w:t>
      </w:r>
      <w:r>
        <w:rPr>
          <w:sz w:val="20"/>
          <w:szCs w:val="20"/>
          <w:color w:val="auto"/>
        </w:rPr>
        <w:tab/>
      </w:r>
      <w:r>
        <w:rPr>
          <w:rFonts w:ascii="Courier New" w:cs="Courier New" w:eastAsia="Courier New" w:hAnsi="Courier New"/>
          <w:sz w:val="14"/>
          <w:szCs w:val="14"/>
          <w:color w:val="auto"/>
        </w:rPr>
        <w:t>011-52-818-328-6893</w:t>
      </w:r>
    </w:p>
    <w:p>
      <w:pPr>
        <w:spacing w:after="0" w:line="173"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By: ______________________________</w:t>
      </w:r>
    </w:p>
    <w:p>
      <w:pPr>
        <w:spacing w:after="0" w:line="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Name:</w:t>
      </w:r>
    </w:p>
    <w:p>
      <w:pPr>
        <w:ind w:left="3680"/>
        <w:spacing w:after="0" w:line="237" w:lineRule="auto"/>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10239"/>
          </w:cols>
          <w:pgMar w:left="220" w:top="96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S-1</w:t>
      </w:r>
    </w:p>
    <w:p>
      <w:pPr>
        <w:sectPr>
          <w:pgSz w:w="11900" w:h="16838" w:orient="portrait"/>
          <w:cols w:equalWidth="0" w:num="1">
            <w:col w:w="10239"/>
          </w:cols>
          <w:pgMar w:left="220" w:top="960" w:right="1440" w:bottom="1440" w:gutter="0" w:footer="0" w:header="0"/>
          <w:type w:val="continuous"/>
        </w:sectPr>
      </w:pPr>
    </w:p>
    <w:bookmarkStart w:id="290" w:name="page291"/>
    <w:bookmarkEnd w:id="290"/>
    <w:p>
      <w:pPr>
        <w:spacing w:after="0" w:line="235" w:lineRule="auto"/>
        <w:rPr>
          <w:sz w:val="20"/>
          <w:szCs w:val="20"/>
          <w:color w:val="auto"/>
        </w:rPr>
      </w:pPr>
      <w:r>
        <w:rPr>
          <w:rFonts w:ascii="Courier New" w:cs="Courier New" w:eastAsia="Courier New" w:hAnsi="Courier New"/>
          <w:sz w:val="15"/>
          <w:szCs w:val="15"/>
          <w:color w:val="auto"/>
        </w:rPr>
        <w:t>General Anaya 601 Poniente, Colonia Bella Vista 1er Piso Monterrey, N.L. Mexico,</w:t>
      </w:r>
    </w:p>
    <w:p>
      <w:pPr>
        <w:spacing w:after="0" w:line="238" w:lineRule="auto"/>
        <w:rPr>
          <w:sz w:val="20"/>
          <w:szCs w:val="20"/>
          <w:color w:val="auto"/>
        </w:rPr>
      </w:pPr>
      <w:r>
        <w:rPr>
          <w:rFonts w:ascii="Courier New" w:cs="Courier New" w:eastAsia="Courier New" w:hAnsi="Courier New"/>
          <w:sz w:val="15"/>
          <w:szCs w:val="15"/>
          <w:color w:val="auto"/>
        </w:rPr>
        <w:t>C.P. 64410</w:t>
      </w:r>
    </w:p>
    <w:p>
      <w:pPr>
        <w:spacing w:after="0" w:line="238" w:lineRule="auto"/>
        <w:rPr>
          <w:sz w:val="20"/>
          <w:szCs w:val="20"/>
          <w:color w:val="auto"/>
        </w:rPr>
      </w:pPr>
      <w:r>
        <w:rPr>
          <w:rFonts w:ascii="Courier New" w:cs="Courier New" w:eastAsia="Courier New" w:hAnsi="Courier New"/>
          <w:sz w:val="15"/>
          <w:szCs w:val="15"/>
          <w:color w:val="auto"/>
        </w:rPr>
        <w:t>Attention:</w:t>
      </w:r>
    </w:p>
    <w:p>
      <w:pPr>
        <w:spacing w:after="0" w:line="5" w:lineRule="exact"/>
        <w:rPr>
          <w:sz w:val="20"/>
          <w:szCs w:val="20"/>
          <w:color w:val="auto"/>
        </w:rPr>
      </w:pPr>
    </w:p>
    <w:p>
      <w:pPr>
        <w:ind w:right="280"/>
        <w:spacing w:after="0" w:line="254" w:lineRule="auto"/>
        <w:rPr>
          <w:sz w:val="20"/>
          <w:szCs w:val="20"/>
          <w:color w:val="auto"/>
        </w:rPr>
      </w:pPr>
      <w:r>
        <w:rPr>
          <w:rFonts w:ascii="Courier New" w:cs="Courier New" w:eastAsia="Courier New" w:hAnsi="Courier New"/>
          <w:sz w:val="14"/>
          <w:szCs w:val="14"/>
          <w:color w:val="auto"/>
        </w:rPr>
        <w:t>Arturo Guerrero/Elvia Villarreal Telephone: 011-52-818-328-6606</w:t>
      </w:r>
    </w:p>
    <w:p>
      <w:pPr>
        <w:spacing w:after="0" w:line="1" w:lineRule="exact"/>
        <w:rPr>
          <w:sz w:val="20"/>
          <w:szCs w:val="20"/>
          <w:color w:val="auto"/>
        </w:rPr>
      </w:pPr>
    </w:p>
    <w:p>
      <w:pPr>
        <w:ind w:right="360" w:firstLine="10"/>
        <w:spacing w:after="0" w:line="234" w:lineRule="auto"/>
        <w:tabs>
          <w:tab w:leader="none" w:pos="175" w:val="left"/>
        </w:tabs>
        <w:numPr>
          <w:ilvl w:val="0"/>
          <w:numId w:val="2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011-52-818-328-6635 Facsimile: 011-52-818-328-6893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100"/>
        <w:spacing w:after="0" w:line="236" w:lineRule="auto"/>
        <w:rPr>
          <w:sz w:val="20"/>
          <w:szCs w:val="20"/>
          <w:color w:val="auto"/>
        </w:rPr>
      </w:pPr>
      <w:r>
        <w:rPr>
          <w:rFonts w:ascii="Courier New" w:cs="Courier New" w:eastAsia="Courier New" w:hAnsi="Courier New"/>
          <w:sz w:val="15"/>
          <w:szCs w:val="15"/>
          <w:color w:val="auto"/>
        </w:rPr>
        <w:t>General Anaya 601 Poniente, Colonia Bella Vista 1er Piso Monterrey, N.L. Mexico, C.P. 64410 Attention: Arturo Guerrero /Elvia Villarreal</w:t>
      </w:r>
    </w:p>
    <w:p>
      <w:pPr>
        <w:spacing w:after="0"/>
        <w:rPr>
          <w:sz w:val="20"/>
          <w:szCs w:val="20"/>
          <w:color w:val="auto"/>
        </w:rPr>
      </w:pPr>
      <w:r>
        <w:rPr>
          <w:rFonts w:ascii="Courier New" w:cs="Courier New" w:eastAsia="Courier New" w:hAnsi="Courier New"/>
          <w:sz w:val="15"/>
          <w:szCs w:val="15"/>
          <w:color w:val="auto"/>
        </w:rPr>
        <w:t>Telephone: 011-52-818-328-6606</w:t>
      </w:r>
    </w:p>
    <w:p>
      <w:pPr>
        <w:spacing w:after="0" w:line="4" w:lineRule="exact"/>
        <w:rPr>
          <w:sz w:val="20"/>
          <w:szCs w:val="20"/>
          <w:color w:val="auto"/>
        </w:rPr>
      </w:pPr>
    </w:p>
    <w:p>
      <w:pPr>
        <w:ind w:right="360" w:firstLine="10"/>
        <w:spacing w:after="0" w:line="234" w:lineRule="auto"/>
        <w:tabs>
          <w:tab w:leader="none" w:pos="175" w:val="left"/>
        </w:tabs>
        <w:numPr>
          <w:ilvl w:val="0"/>
          <w:numId w:val="2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011-52-818-328-6635 Facsimile: 011-52-818-328-6893</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FABRICAS MONTERREY, S.A. DE C.V.,</w:t>
      </w:r>
    </w:p>
    <w:p>
      <w:pPr>
        <w:spacing w:after="0" w:line="16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as Guarantor</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By: ______________________________</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Name:</w:t>
      </w:r>
    </w:p>
    <w:p>
      <w:pPr>
        <w:ind w:left="260"/>
        <w:spacing w:after="0" w:line="237" w:lineRule="auto"/>
        <w:rPr>
          <w:sz w:val="20"/>
          <w:szCs w:val="20"/>
          <w:color w:val="auto"/>
        </w:rPr>
      </w:pPr>
      <w:r>
        <w:rPr>
          <w:rFonts w:ascii="Courier New" w:cs="Courier New" w:eastAsia="Courier New" w:hAnsi="Courier New"/>
          <w:sz w:val="15"/>
          <w:szCs w:val="15"/>
          <w:color w:val="auto"/>
        </w:rPr>
        <w:t>Title:</w:t>
      </w:r>
    </w:p>
    <w:p>
      <w:pPr>
        <w:spacing w:after="0" w:line="342"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By: ______________________________</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Name:</w:t>
      </w:r>
    </w:p>
    <w:p>
      <w:pPr>
        <w:ind w:left="260"/>
        <w:spacing w:after="0" w:line="237" w:lineRule="auto"/>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SILICES DE VERACRUZ, S.A. DE C.V.,</w:t>
      </w:r>
    </w:p>
    <w:p>
      <w:pPr>
        <w:spacing w:after="0" w:line="3"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as Guarantor</w:t>
      </w:r>
    </w:p>
    <w:p>
      <w:pPr>
        <w:spacing w:after="0" w:line="200" w:lineRule="exact"/>
        <w:rPr>
          <w:sz w:val="20"/>
          <w:szCs w:val="20"/>
          <w:color w:val="auto"/>
        </w:rPr>
      </w:pPr>
    </w:p>
    <w:p>
      <w:pPr>
        <w:spacing w:after="0" w:line="309"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By: ______________________________</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Name:</w:t>
      </w:r>
    </w:p>
    <w:p>
      <w:pPr>
        <w:ind w:left="360"/>
        <w:spacing w:after="0" w:line="237" w:lineRule="auto"/>
        <w:rPr>
          <w:sz w:val="20"/>
          <w:szCs w:val="20"/>
          <w:color w:val="auto"/>
        </w:rPr>
      </w:pPr>
      <w:r>
        <w:rPr>
          <w:rFonts w:ascii="Courier New" w:cs="Courier New" w:eastAsia="Courier New" w:hAnsi="Courier New"/>
          <w:sz w:val="15"/>
          <w:szCs w:val="15"/>
          <w:color w:val="auto"/>
        </w:rPr>
        <w:t>Title:</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______________________________</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Name:</w:t>
      </w:r>
    </w:p>
    <w:p>
      <w:pPr>
        <w:ind w:left="180"/>
        <w:spacing w:after="0" w:line="237" w:lineRule="auto"/>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ectPr>
          <w:pgSz w:w="11900" w:h="16838" w:orient="portrait"/>
          <w:cols w:equalWidth="0" w:num="2">
            <w:col w:w="3080" w:space="340"/>
            <w:col w:w="6819"/>
          </w:cols>
          <w:pgMar w:left="220" w:top="624" w:right="1440" w:bottom="1440" w:gutter="0" w:footer="0" w:header="0"/>
        </w:sectPr>
      </w:pPr>
    </w:p>
    <w:p>
      <w:pPr>
        <w:spacing w:after="0" w:line="310"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S-2</w:t>
      </w:r>
    </w:p>
    <w:p>
      <w:pPr>
        <w:sectPr>
          <w:pgSz w:w="11900" w:h="16838" w:orient="portrait"/>
          <w:cols w:equalWidth="0" w:num="1">
            <w:col w:w="10239"/>
          </w:cols>
          <w:pgMar w:left="220" w:top="624" w:right="1440" w:bottom="1440" w:gutter="0" w:footer="0" w:header="0"/>
          <w:type w:val="continuous"/>
        </w:sectPr>
      </w:pPr>
    </w:p>
    <w:bookmarkStart w:id="291" w:name="page292"/>
    <w:bookmarkEnd w:id="291"/>
    <w:p>
      <w:pPr>
        <w:spacing w:after="0" w:line="339" w:lineRule="auto"/>
        <w:rPr>
          <w:sz w:val="20"/>
          <w:szCs w:val="20"/>
          <w:color w:val="auto"/>
        </w:rPr>
      </w:pPr>
      <w:r>
        <w:rPr>
          <w:rFonts w:ascii="Courier New" w:cs="Courier New" w:eastAsia="Courier New" w:hAnsi="Courier New"/>
          <w:sz w:val="14"/>
          <w:szCs w:val="14"/>
          <w:color w:val="auto"/>
        </w:rPr>
        <w:t>Montes Urales #620, 3er Piso Colonia Lomas de Chapultepec Mexico D.F. 11000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BBVA BANCOMER, S.A., INSTITUCION DE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BANCA MULTIPLE,</w:t>
      </w:r>
    </w:p>
    <w:p>
      <w:pPr>
        <w:spacing w:after="0" w:line="237" w:lineRule="auto"/>
        <w:rPr>
          <w:sz w:val="20"/>
          <w:szCs w:val="20"/>
          <w:color w:val="auto"/>
        </w:rPr>
      </w:pPr>
      <w:r>
        <w:rPr>
          <w:rFonts w:ascii="Courier New" w:cs="Courier New" w:eastAsia="Courier New" w:hAnsi="Courier New"/>
          <w:sz w:val="15"/>
          <w:szCs w:val="15"/>
          <w:color w:val="auto"/>
        </w:rPr>
        <w:t>GRUPO FINANCIERO BBVA BANCOMER,</w:t>
      </w:r>
    </w:p>
    <w:p>
      <w:pPr>
        <w:ind w:left="180"/>
        <w:spacing w:after="0" w:line="238" w:lineRule="auto"/>
        <w:rPr>
          <w:sz w:val="20"/>
          <w:szCs w:val="20"/>
          <w:color w:val="auto"/>
        </w:rPr>
      </w:pPr>
      <w:r>
        <w:rPr>
          <w:rFonts w:ascii="Courier New" w:cs="Courier New" w:eastAsia="Courier New" w:hAnsi="Courier New"/>
          <w:sz w:val="15"/>
          <w:szCs w:val="15"/>
          <w:color w:val="auto"/>
        </w:rPr>
        <w:t>as Administrative Agent</w:t>
      </w:r>
    </w:p>
    <w:p>
      <w:pPr>
        <w:spacing w:after="0" w:line="5" w:lineRule="exact"/>
        <w:rPr>
          <w:sz w:val="20"/>
          <w:szCs w:val="20"/>
          <w:color w:val="auto"/>
        </w:rPr>
      </w:pPr>
    </w:p>
    <w:p>
      <w:pPr>
        <w:sectPr>
          <w:pgSz w:w="11900" w:h="16838" w:orient="portrait"/>
          <w:cols w:equalWidth="0" w:num="2">
            <w:col w:w="2460" w:space="700"/>
            <w:col w:w="7079"/>
          </w:cols>
          <w:pgMar w:left="220" w:top="624" w:right="1440" w:bottom="1440" w:gutter="0" w:footer="0" w:header="0"/>
        </w:sectPr>
      </w:pPr>
    </w:p>
    <w:p>
      <w:pPr>
        <w:spacing w:after="0" w:line="231" w:lineRule="auto"/>
        <w:rPr>
          <w:sz w:val="20"/>
          <w:szCs w:val="20"/>
          <w:color w:val="auto"/>
        </w:rPr>
      </w:pPr>
      <w:r>
        <w:rPr>
          <w:rFonts w:ascii="Courier New" w:cs="Courier New" w:eastAsia="Courier New" w:hAnsi="Courier New"/>
          <w:sz w:val="15"/>
          <w:szCs w:val="15"/>
          <w:color w:val="auto"/>
        </w:rPr>
        <w:t>Attention: Concepcion Zuniga</w:t>
      </w:r>
    </w:p>
    <w:p>
      <w:pPr>
        <w:spacing w:after="0"/>
        <w:tabs>
          <w:tab w:leader="none" w:pos="1040" w:val="left"/>
        </w:tabs>
        <w:rPr>
          <w:sz w:val="20"/>
          <w:szCs w:val="20"/>
          <w:color w:val="auto"/>
        </w:rPr>
      </w:pPr>
      <w:r>
        <w:rPr>
          <w:rFonts w:ascii="Courier New" w:cs="Courier New" w:eastAsia="Courier New" w:hAnsi="Courier New"/>
          <w:sz w:val="15"/>
          <w:szCs w:val="15"/>
          <w:color w:val="auto"/>
        </w:rPr>
        <w:t>Telephone:</w:t>
      </w:r>
      <w:r>
        <w:rPr>
          <w:sz w:val="20"/>
          <w:szCs w:val="20"/>
          <w:color w:val="auto"/>
        </w:rPr>
        <w:tab/>
      </w:r>
      <w:r>
        <w:rPr>
          <w:rFonts w:ascii="Courier New" w:cs="Courier New" w:eastAsia="Courier New" w:hAnsi="Courier New"/>
          <w:sz w:val="14"/>
          <w:szCs w:val="14"/>
          <w:color w:val="auto"/>
        </w:rPr>
        <w:t>011-52-555-201-2063</w:t>
      </w:r>
    </w:p>
    <w:p>
      <w:pPr>
        <w:sectPr>
          <w:pgSz w:w="11900" w:h="16838" w:orient="portrait"/>
          <w:cols w:equalWidth="0" w:num="1">
            <w:col w:w="10239"/>
          </w:cols>
          <w:pgMar w:left="220" w:top="624" w:right="1440" w:bottom="1440" w:gutter="0" w:footer="0" w:header="0"/>
          <w:type w:val="continuous"/>
        </w:sectPr>
      </w:pPr>
    </w:p>
    <w:p>
      <w:pPr>
        <w:spacing w:after="0"/>
        <w:tabs>
          <w:tab w:leader="none" w:pos="1040" w:val="left"/>
        </w:tabs>
        <w:rPr>
          <w:sz w:val="20"/>
          <w:szCs w:val="20"/>
          <w:color w:val="auto"/>
        </w:rPr>
      </w:pPr>
      <w:r>
        <w:rPr>
          <w:rFonts w:ascii="Courier New" w:cs="Courier New" w:eastAsia="Courier New" w:hAnsi="Courier New"/>
          <w:sz w:val="15"/>
          <w:szCs w:val="15"/>
          <w:color w:val="auto"/>
        </w:rPr>
        <w:t>Facsimile:</w:t>
      </w:r>
      <w:r>
        <w:rPr>
          <w:sz w:val="20"/>
          <w:szCs w:val="20"/>
          <w:color w:val="auto"/>
        </w:rPr>
        <w:tab/>
      </w:r>
      <w:r>
        <w:rPr>
          <w:rFonts w:ascii="Courier New" w:cs="Courier New" w:eastAsia="Courier New" w:hAnsi="Courier New"/>
          <w:sz w:val="14"/>
          <w:szCs w:val="14"/>
          <w:color w:val="auto"/>
        </w:rPr>
        <w:t>011-52-555-201-2054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By: ______________________________</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Name:</w:t>
      </w:r>
    </w:p>
    <w:p>
      <w:pPr>
        <w:ind w:left="180"/>
        <w:spacing w:after="0" w:line="237" w:lineRule="auto"/>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ectPr>
          <w:pgSz w:w="11900" w:h="16838" w:orient="portrait"/>
          <w:cols w:equalWidth="0" w:num="2">
            <w:col w:w="2720" w:space="440"/>
            <w:col w:w="7079"/>
          </w:cols>
          <w:pgMar w:left="220" w:top="624" w:right="1440" w:bottom="1440" w:gutter="0" w:footer="0" w:header="0"/>
          <w:type w:val="continuous"/>
        </w:sectPr>
      </w:pPr>
    </w:p>
    <w:p>
      <w:pPr>
        <w:spacing w:after="0" w:line="142"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By: ______________________________</w:t>
      </w:r>
    </w:p>
    <w:p>
      <w:pPr>
        <w:spacing w:after="0" w:line="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Name:</w:t>
      </w:r>
    </w:p>
    <w:p>
      <w:pPr>
        <w:ind w:left="334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S-3</w:t>
      </w:r>
    </w:p>
    <w:p>
      <w:pPr>
        <w:sectPr>
          <w:pgSz w:w="11900" w:h="16838" w:orient="portrait"/>
          <w:cols w:equalWidth="0" w:num="1">
            <w:col w:w="10239"/>
          </w:cols>
          <w:pgMar w:left="220" w:top="624" w:right="1440" w:bottom="1440" w:gutter="0" w:footer="0" w:header="0"/>
          <w:type w:val="continuous"/>
        </w:sectPr>
      </w:pPr>
    </w:p>
    <w:bookmarkStart w:id="292" w:name="page293"/>
    <w:bookmarkEnd w:id="292"/>
    <w:p>
      <w:pPr>
        <w:ind w:left="2980"/>
        <w:spacing w:after="0"/>
        <w:rPr>
          <w:sz w:val="20"/>
          <w:szCs w:val="20"/>
          <w:color w:val="auto"/>
        </w:rPr>
      </w:pPr>
      <w:r>
        <w:rPr>
          <w:rFonts w:ascii="Courier New" w:cs="Courier New" w:eastAsia="Courier New" w:hAnsi="Courier New"/>
          <w:sz w:val="14"/>
          <w:szCs w:val="14"/>
          <w:color w:val="auto"/>
        </w:rPr>
        <w:t>2002 LENDERS</w:t>
      </w:r>
    </w:p>
    <w:p>
      <w:pPr>
        <w:sectPr>
          <w:pgSz w:w="11900" w:h="16838" w:orient="portrait"/>
          <w:cols w:equalWidth="0" w:num="1">
            <w:col w:w="10239"/>
          </w:cols>
          <w:pgMar w:left="220" w:top="624" w:right="1440" w:bottom="1440" w:gutter="0" w:footer="0" w:header="0"/>
        </w:sectPr>
      </w:pPr>
    </w:p>
    <w:p>
      <w:pPr>
        <w:spacing w:after="0" w:line="346" w:lineRule="exact"/>
        <w:rPr>
          <w:sz w:val="20"/>
          <w:szCs w:val="20"/>
          <w:color w:val="auto"/>
        </w:rPr>
      </w:pPr>
    </w:p>
    <w:p>
      <w:pPr>
        <w:jc w:val="both"/>
        <w:spacing w:after="0" w:line="339" w:lineRule="auto"/>
        <w:rPr>
          <w:sz w:val="20"/>
          <w:szCs w:val="20"/>
          <w:color w:val="auto"/>
        </w:rPr>
      </w:pPr>
      <w:r>
        <w:rPr>
          <w:rFonts w:ascii="Courier New" w:cs="Courier New" w:eastAsia="Courier New" w:hAnsi="Courier New"/>
          <w:sz w:val="14"/>
          <w:szCs w:val="14"/>
          <w:color w:val="auto"/>
        </w:rPr>
        <w:t>Montes Urales #620, 3er Piso Colonia Lomas de Chapultepec Mexico D.F. 11000</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BBVA BANCOMER, S.A., INSTITUCION DE BANCA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MULTIPLE,</w:t>
      </w:r>
    </w:p>
    <w:p>
      <w:pPr>
        <w:spacing w:after="0" w:line="237" w:lineRule="auto"/>
        <w:rPr>
          <w:sz w:val="20"/>
          <w:szCs w:val="20"/>
          <w:color w:val="auto"/>
        </w:rPr>
      </w:pPr>
      <w:r>
        <w:rPr>
          <w:rFonts w:ascii="Courier New" w:cs="Courier New" w:eastAsia="Courier New" w:hAnsi="Courier New"/>
          <w:sz w:val="15"/>
          <w:szCs w:val="15"/>
          <w:color w:val="auto"/>
        </w:rPr>
        <w:t>GRUPO FINANCIERO BBVA BANCOMER,</w:t>
      </w:r>
    </w:p>
    <w:p>
      <w:pPr>
        <w:ind w:left="180"/>
        <w:spacing w:after="0" w:line="238" w:lineRule="auto"/>
        <w:rPr>
          <w:sz w:val="20"/>
          <w:szCs w:val="20"/>
          <w:color w:val="auto"/>
        </w:rPr>
      </w:pPr>
      <w:r>
        <w:rPr>
          <w:rFonts w:ascii="Courier New" w:cs="Courier New" w:eastAsia="Courier New" w:hAnsi="Courier New"/>
          <w:sz w:val="15"/>
          <w:szCs w:val="15"/>
          <w:color w:val="auto"/>
        </w:rPr>
        <w:t>as 2002 Lender</w:t>
      </w:r>
    </w:p>
    <w:p>
      <w:pPr>
        <w:spacing w:after="0" w:line="5" w:lineRule="exact"/>
        <w:rPr>
          <w:sz w:val="20"/>
          <w:szCs w:val="20"/>
          <w:color w:val="auto"/>
        </w:rPr>
      </w:pPr>
    </w:p>
    <w:p>
      <w:pPr>
        <w:sectPr>
          <w:pgSz w:w="11900" w:h="16838" w:orient="portrait"/>
          <w:cols w:equalWidth="0" w:num="2">
            <w:col w:w="2460" w:space="520"/>
            <w:col w:w="7259"/>
          </w:cols>
          <w:pgMar w:left="220" w:top="624" w:right="1440" w:bottom="1440" w:gutter="0" w:footer="0" w:header="0"/>
          <w:type w:val="continuous"/>
        </w:sectPr>
      </w:pPr>
    </w:p>
    <w:p>
      <w:pPr>
        <w:spacing w:after="0" w:line="231" w:lineRule="auto"/>
        <w:rPr>
          <w:sz w:val="20"/>
          <w:szCs w:val="20"/>
          <w:color w:val="auto"/>
        </w:rPr>
      </w:pPr>
      <w:r>
        <w:rPr>
          <w:rFonts w:ascii="Courier New" w:cs="Courier New" w:eastAsia="Courier New" w:hAnsi="Courier New"/>
          <w:sz w:val="15"/>
          <w:szCs w:val="15"/>
          <w:color w:val="auto"/>
        </w:rPr>
        <w:t>Attention: Concepcion Zuniga</w:t>
      </w:r>
    </w:p>
    <w:p>
      <w:pPr>
        <w:spacing w:after="0"/>
        <w:tabs>
          <w:tab w:leader="none" w:pos="1040" w:val="left"/>
        </w:tabs>
        <w:rPr>
          <w:sz w:val="20"/>
          <w:szCs w:val="20"/>
          <w:color w:val="auto"/>
        </w:rPr>
      </w:pPr>
      <w:r>
        <w:rPr>
          <w:rFonts w:ascii="Courier New" w:cs="Courier New" w:eastAsia="Courier New" w:hAnsi="Courier New"/>
          <w:sz w:val="15"/>
          <w:szCs w:val="15"/>
          <w:color w:val="auto"/>
        </w:rPr>
        <w:t>Telephone:</w:t>
      </w:r>
      <w:r>
        <w:rPr>
          <w:sz w:val="20"/>
          <w:szCs w:val="20"/>
          <w:color w:val="auto"/>
        </w:rPr>
        <w:tab/>
      </w:r>
      <w:r>
        <w:rPr>
          <w:rFonts w:ascii="Courier New" w:cs="Courier New" w:eastAsia="Courier New" w:hAnsi="Courier New"/>
          <w:sz w:val="14"/>
          <w:szCs w:val="14"/>
          <w:color w:val="auto"/>
        </w:rPr>
        <w:t>011-52-555-201-2063</w:t>
      </w:r>
    </w:p>
    <w:p>
      <w:pPr>
        <w:sectPr>
          <w:pgSz w:w="11900" w:h="16838" w:orient="portrait"/>
          <w:cols w:equalWidth="0" w:num="1">
            <w:col w:w="10239"/>
          </w:cols>
          <w:pgMar w:left="220" w:top="624" w:right="1440" w:bottom="1440" w:gutter="0" w:footer="0" w:header="0"/>
          <w:type w:val="continuous"/>
        </w:sectPr>
      </w:pPr>
    </w:p>
    <w:p>
      <w:pPr>
        <w:spacing w:after="0"/>
        <w:tabs>
          <w:tab w:leader="none" w:pos="1040" w:val="left"/>
        </w:tabs>
        <w:rPr>
          <w:sz w:val="20"/>
          <w:szCs w:val="20"/>
          <w:color w:val="auto"/>
        </w:rPr>
      </w:pPr>
      <w:r>
        <w:rPr>
          <w:rFonts w:ascii="Courier New" w:cs="Courier New" w:eastAsia="Courier New" w:hAnsi="Courier New"/>
          <w:sz w:val="15"/>
          <w:szCs w:val="15"/>
          <w:color w:val="auto"/>
        </w:rPr>
        <w:t>Facsimile:</w:t>
      </w:r>
      <w:r>
        <w:rPr>
          <w:sz w:val="20"/>
          <w:szCs w:val="20"/>
          <w:color w:val="auto"/>
        </w:rPr>
        <w:tab/>
      </w:r>
      <w:r>
        <w:rPr>
          <w:rFonts w:ascii="Courier New" w:cs="Courier New" w:eastAsia="Courier New" w:hAnsi="Courier New"/>
          <w:sz w:val="14"/>
          <w:szCs w:val="14"/>
          <w:color w:val="auto"/>
        </w:rPr>
        <w:t>011-52-555-201-2054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By: ______________________________</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Name:</w:t>
      </w:r>
    </w:p>
    <w:p>
      <w:pPr>
        <w:ind w:left="180"/>
        <w:spacing w:after="0" w:line="237" w:lineRule="auto"/>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ectPr>
          <w:pgSz w:w="11900" w:h="16838" w:orient="portrait"/>
          <w:cols w:equalWidth="0" w:num="2">
            <w:col w:w="2720" w:space="260"/>
            <w:col w:w="7259"/>
          </w:cols>
          <w:pgMar w:left="220" w:top="624" w:right="1440" w:bottom="1440" w:gutter="0" w:footer="0" w:header="0"/>
          <w:type w:val="continuous"/>
        </w:sectPr>
      </w:pPr>
    </w:p>
    <w:p>
      <w:pPr>
        <w:spacing w:after="0" w:line="142"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By: ______________________________</w:t>
      </w:r>
    </w:p>
    <w:p>
      <w:pPr>
        <w:spacing w:after="0" w:line="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Name:</w:t>
      </w:r>
    </w:p>
    <w:p>
      <w:pPr>
        <w:ind w:left="3160"/>
        <w:spacing w:after="0" w:line="237" w:lineRule="auto"/>
        <w:rPr>
          <w:sz w:val="20"/>
          <w:szCs w:val="20"/>
          <w:color w:val="auto"/>
        </w:rPr>
      </w:pPr>
      <w:r>
        <w:rPr>
          <w:rFonts w:ascii="Courier New" w:cs="Courier New" w:eastAsia="Courier New" w:hAnsi="Courier New"/>
          <w:sz w:val="15"/>
          <w:szCs w:val="15"/>
          <w:color w:val="auto"/>
        </w:rPr>
        <w:t>Title:</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S-4</w:t>
      </w:r>
    </w:p>
    <w:p>
      <w:pPr>
        <w:sectPr>
          <w:pgSz w:w="11900" w:h="16838" w:orient="portrait"/>
          <w:cols w:equalWidth="0" w:num="1">
            <w:col w:w="10239"/>
          </w:cols>
          <w:pgMar w:left="220" w:top="624" w:right="1440" w:bottom="1440" w:gutter="0" w:footer="0" w:header="0"/>
          <w:type w:val="continuous"/>
        </w:sectPr>
      </w:pPr>
    </w:p>
    <w:bookmarkStart w:id="293" w:name="page294"/>
    <w:bookmarkEnd w:id="293"/>
    <w:p>
      <w:pPr>
        <w:ind w:right="680"/>
        <w:spacing w:after="0" w:line="254" w:lineRule="auto"/>
        <w:rPr>
          <w:sz w:val="20"/>
          <w:szCs w:val="20"/>
          <w:color w:val="auto"/>
        </w:rPr>
      </w:pPr>
      <w:r>
        <w:rPr>
          <w:rFonts w:ascii="Courier New" w:cs="Courier New" w:eastAsia="Courier New" w:hAnsi="Courier New"/>
          <w:sz w:val="14"/>
          <w:szCs w:val="14"/>
          <w:color w:val="auto"/>
        </w:rPr>
        <w:t>100 Rustcraft Road Dedham, Massachusetts</w:t>
      </w:r>
    </w:p>
    <w:p>
      <w:pPr>
        <w:spacing w:after="0" w:line="20" w:lineRule="exact"/>
        <w:rPr>
          <w:sz w:val="20"/>
          <w:szCs w:val="20"/>
          <w:color w:val="auto"/>
        </w:rPr>
      </w:pPr>
      <w:r>
        <w:rPr>
          <w:sz w:val="20"/>
          <w:szCs w:val="20"/>
          <w:color w:val="auto"/>
        </w:rPr>
        <w:br w:type="column"/>
      </w:r>
    </w:p>
    <w:p>
      <w:pPr>
        <w:jc w:val="center"/>
        <w:ind w:right="5599"/>
        <w:spacing w:after="0"/>
        <w:rPr>
          <w:sz w:val="20"/>
          <w:szCs w:val="20"/>
          <w:color w:val="auto"/>
        </w:rPr>
      </w:pPr>
      <w:r>
        <w:rPr>
          <w:rFonts w:ascii="Courier New" w:cs="Courier New" w:eastAsia="Courier New" w:hAnsi="Courier New"/>
          <w:sz w:val="14"/>
          <w:szCs w:val="14"/>
          <w:color w:val="auto"/>
        </w:rPr>
        <w:t>BANKBOSTON N.A.,</w:t>
      </w:r>
    </w:p>
    <w:p>
      <w:pPr>
        <w:spacing w:after="0" w:line="3" w:lineRule="exact"/>
        <w:rPr>
          <w:sz w:val="20"/>
          <w:szCs w:val="20"/>
          <w:color w:val="auto"/>
        </w:rPr>
      </w:pPr>
    </w:p>
    <w:p>
      <w:pPr>
        <w:jc w:val="center"/>
        <w:ind w:right="5599"/>
        <w:spacing w:after="0"/>
        <w:rPr>
          <w:sz w:val="20"/>
          <w:szCs w:val="20"/>
          <w:color w:val="auto"/>
        </w:rPr>
      </w:pPr>
      <w:r>
        <w:rPr>
          <w:rFonts w:ascii="Courier New" w:cs="Courier New" w:eastAsia="Courier New" w:hAnsi="Courier New"/>
          <w:sz w:val="15"/>
          <w:szCs w:val="15"/>
          <w:color w:val="auto"/>
        </w:rPr>
        <w:t>as 2002 Lender</w:t>
      </w:r>
    </w:p>
    <w:p>
      <w:pPr>
        <w:spacing w:after="0" w:line="5" w:lineRule="exact"/>
        <w:rPr>
          <w:sz w:val="20"/>
          <w:szCs w:val="20"/>
          <w:color w:val="auto"/>
        </w:rPr>
      </w:pPr>
    </w:p>
    <w:p>
      <w:pPr>
        <w:sectPr>
          <w:pgSz w:w="11900" w:h="16838" w:orient="portrait"/>
          <w:cols w:equalWidth="0" w:num="2">
            <w:col w:w="2520" w:space="720"/>
            <w:col w:w="6999"/>
          </w:cols>
          <w:pgMar w:left="220" w:top="623" w:right="1440" w:bottom="1440" w:gutter="0" w:footer="0" w:header="0"/>
        </w:sectPr>
      </w:pPr>
    </w:p>
    <w:p>
      <w:pPr>
        <w:spacing w:after="0" w:line="231" w:lineRule="auto"/>
        <w:rPr>
          <w:sz w:val="20"/>
          <w:szCs w:val="20"/>
          <w:color w:val="auto"/>
        </w:rPr>
      </w:pPr>
      <w:r>
        <w:rPr>
          <w:rFonts w:ascii="Courier New" w:cs="Courier New" w:eastAsia="Courier New" w:hAnsi="Courier New"/>
          <w:sz w:val="15"/>
          <w:szCs w:val="15"/>
          <w:color w:val="auto"/>
        </w:rPr>
        <w:t>United States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 Pamela Carpenter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/Jorge Garcia</w:t>
      </w:r>
    </w:p>
    <w:p>
      <w:pPr>
        <w:sectPr>
          <w:pgSz w:w="11900" w:h="16838" w:orient="portrait"/>
          <w:cols w:equalWidth="0" w:num="1">
            <w:col w:w="10239"/>
          </w:cols>
          <w:pgMar w:left="220" w:top="623"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Telephone: (781) 467-2271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By: ______________________________</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Name:</w:t>
      </w:r>
    </w:p>
    <w:p>
      <w:pPr>
        <w:ind w:left="180"/>
        <w:spacing w:after="0" w:line="237" w:lineRule="auto"/>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ectPr>
          <w:pgSz w:w="11900" w:h="16838" w:orient="portrait"/>
          <w:cols w:equalWidth="0" w:num="2">
            <w:col w:w="2520" w:space="720"/>
            <w:col w:w="6999"/>
          </w:cols>
          <w:pgMar w:left="220" w:top="623" w:right="1440" w:bottom="1440" w:gutter="0" w:footer="0" w:header="0"/>
          <w:type w:val="continuous"/>
        </w:sectPr>
      </w:pPr>
    </w:p>
    <w:p>
      <w:pPr>
        <w:spacing w:after="0" w:line="142"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By: ______________________________</w:t>
      </w:r>
    </w:p>
    <w:p>
      <w:pPr>
        <w:spacing w:after="0" w:line="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Name:</w:t>
      </w:r>
    </w:p>
    <w:p>
      <w:pPr>
        <w:ind w:left="3420"/>
        <w:spacing w:after="0" w:line="237" w:lineRule="auto"/>
        <w:rPr>
          <w:sz w:val="20"/>
          <w:szCs w:val="20"/>
          <w:color w:val="auto"/>
        </w:rPr>
      </w:pPr>
      <w:r>
        <w:rPr>
          <w:rFonts w:ascii="Courier New" w:cs="Courier New" w:eastAsia="Courier New" w:hAnsi="Courier New"/>
          <w:sz w:val="15"/>
          <w:szCs w:val="15"/>
          <w:color w:val="auto"/>
        </w:rPr>
        <w:t>Title:</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S-5</w:t>
      </w:r>
    </w:p>
    <w:p>
      <w:pPr>
        <w:sectPr>
          <w:pgSz w:w="11900" w:h="16838" w:orient="portrait"/>
          <w:cols w:equalWidth="0" w:num="1">
            <w:col w:w="10239"/>
          </w:cols>
          <w:pgMar w:left="220" w:top="623" w:right="1440" w:bottom="1440" w:gutter="0" w:footer="0" w:header="0"/>
          <w:type w:val="continuous"/>
        </w:sectPr>
      </w:pPr>
    </w:p>
    <w:bookmarkStart w:id="294" w:name="page295"/>
    <w:bookmarkEnd w:id="294"/>
    <w:p>
      <w:pPr>
        <w:ind w:right="240"/>
        <w:spacing w:after="0" w:line="254" w:lineRule="auto"/>
        <w:rPr>
          <w:sz w:val="20"/>
          <w:szCs w:val="20"/>
          <w:color w:val="auto"/>
        </w:rPr>
      </w:pPr>
      <w:r>
        <w:rPr>
          <w:rFonts w:ascii="Courier New" w:cs="Courier New" w:eastAsia="Courier New" w:hAnsi="Courier New"/>
          <w:sz w:val="14"/>
          <w:szCs w:val="14"/>
          <w:color w:val="auto"/>
        </w:rPr>
        <w:t>151 O'Connor Street Ottawa, Ontario, Canada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EXPORT DEVELOPMENT CANADA,</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as 2002 Lender</w:t>
      </w:r>
    </w:p>
    <w:p>
      <w:pPr>
        <w:spacing w:after="0" w:line="5" w:lineRule="exact"/>
        <w:rPr>
          <w:sz w:val="20"/>
          <w:szCs w:val="20"/>
          <w:color w:val="auto"/>
        </w:rPr>
      </w:pPr>
    </w:p>
    <w:p>
      <w:pPr>
        <w:sectPr>
          <w:pgSz w:w="11900" w:h="16838" w:orient="portrait"/>
          <w:cols w:equalWidth="0" w:num="2">
            <w:col w:w="2260" w:space="720"/>
            <w:col w:w="7259"/>
          </w:cols>
          <w:pgMar w:left="220" w:top="623" w:right="1440" w:bottom="1440" w:gutter="0" w:footer="0" w:header="0"/>
        </w:sectPr>
      </w:pPr>
    </w:p>
    <w:p>
      <w:pPr>
        <w:spacing w:after="0"/>
        <w:rPr>
          <w:sz w:val="20"/>
          <w:szCs w:val="20"/>
          <w:color w:val="auto"/>
        </w:rPr>
      </w:pPr>
      <w:r>
        <w:rPr>
          <w:rFonts w:ascii="Courier New" w:cs="Courier New" w:eastAsia="Courier New" w:hAnsi="Courier New"/>
          <w:sz w:val="14"/>
          <w:szCs w:val="14"/>
          <w:color w:val="auto"/>
        </w:rPr>
        <w:t>Attention: Denis L'Heureux</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/Diana MacGibbon</w:t>
      </w:r>
    </w:p>
    <w:p>
      <w:pPr>
        <w:spacing w:after="0" w:line="237" w:lineRule="auto"/>
        <w:rPr>
          <w:sz w:val="20"/>
          <w:szCs w:val="20"/>
          <w:color w:val="auto"/>
        </w:rPr>
      </w:pPr>
      <w:r>
        <w:rPr>
          <w:rFonts w:ascii="Courier New" w:cs="Courier New" w:eastAsia="Courier New" w:hAnsi="Courier New"/>
          <w:sz w:val="15"/>
          <w:szCs w:val="15"/>
          <w:color w:val="auto"/>
        </w:rPr>
        <w:t>Telephone: (613) 597 8809</w:t>
      </w:r>
    </w:p>
    <w:p>
      <w:pPr>
        <w:sectPr>
          <w:pgSz w:w="11900" w:h="16838" w:orient="portrait"/>
          <w:cols w:equalWidth="0" w:num="1">
            <w:col w:w="10239"/>
          </w:cols>
          <w:pgMar w:left="220" w:top="623"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Facsimile: (613) 597 8503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By: ______________________________</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Name:</w:t>
      </w:r>
    </w:p>
    <w:p>
      <w:pPr>
        <w:ind w:left="180"/>
        <w:spacing w:after="0" w:line="237" w:lineRule="auto"/>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ectPr>
          <w:pgSz w:w="11900" w:h="16838" w:orient="portrait"/>
          <w:cols w:equalWidth="0" w:num="2">
            <w:col w:w="2260" w:space="720"/>
            <w:col w:w="7259"/>
          </w:cols>
          <w:pgMar w:left="220" w:top="623" w:right="1440" w:bottom="1440" w:gutter="0" w:footer="0" w:header="0"/>
          <w:type w:val="continuous"/>
        </w:sectPr>
      </w:pPr>
    </w:p>
    <w:p>
      <w:pPr>
        <w:spacing w:after="0" w:line="142"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By: ______________________________</w:t>
      </w:r>
    </w:p>
    <w:p>
      <w:pPr>
        <w:spacing w:after="0" w:line="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Name:</w:t>
      </w:r>
    </w:p>
    <w:p>
      <w:pPr>
        <w:ind w:left="316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S-6</w:t>
      </w:r>
    </w:p>
    <w:p>
      <w:pPr>
        <w:sectPr>
          <w:pgSz w:w="11900" w:h="16838" w:orient="portrait"/>
          <w:cols w:equalWidth="0" w:num="1">
            <w:col w:w="10239"/>
          </w:cols>
          <w:pgMar w:left="220" w:top="623" w:right="1440" w:bottom="1440" w:gutter="0" w:footer="0" w:header="0"/>
          <w:type w:val="continuous"/>
        </w:sectPr>
      </w:pPr>
    </w:p>
    <w:bookmarkStart w:id="295" w:name="page296"/>
    <w:bookmarkEnd w:id="295"/>
    <w:p>
      <w:pPr>
        <w:ind w:left="3080"/>
        <w:spacing w:after="0"/>
        <w:rPr>
          <w:sz w:val="20"/>
          <w:szCs w:val="20"/>
          <w:color w:val="auto"/>
        </w:rPr>
      </w:pPr>
      <w:r>
        <w:rPr>
          <w:rFonts w:ascii="Courier New" w:cs="Courier New" w:eastAsia="Courier New" w:hAnsi="Courier New"/>
          <w:sz w:val="14"/>
          <w:szCs w:val="14"/>
          <w:color w:val="auto"/>
        </w:rPr>
        <w:t>2003 LENDER</w:t>
      </w:r>
    </w:p>
    <w:p>
      <w:pPr>
        <w:sectPr>
          <w:pgSz w:w="11900" w:h="16838" w:orient="portrait"/>
          <w:cols w:equalWidth="0" w:num="1">
            <w:col w:w="10239"/>
          </w:cols>
          <w:pgMar w:left="220" w:top="623" w:right="1440" w:bottom="1440" w:gutter="0" w:footer="0" w:header="0"/>
        </w:sectPr>
      </w:pPr>
    </w:p>
    <w:p>
      <w:pPr>
        <w:spacing w:after="0" w:line="346" w:lineRule="exact"/>
        <w:rPr>
          <w:sz w:val="20"/>
          <w:szCs w:val="20"/>
          <w:color w:val="auto"/>
        </w:rPr>
      </w:pPr>
    </w:p>
    <w:p>
      <w:pPr>
        <w:ind w:right="140"/>
        <w:spacing w:after="0" w:line="339" w:lineRule="auto"/>
        <w:rPr>
          <w:sz w:val="20"/>
          <w:szCs w:val="20"/>
          <w:color w:val="auto"/>
        </w:rPr>
      </w:pPr>
      <w:r>
        <w:rPr>
          <w:rFonts w:ascii="Courier New" w:cs="Courier New" w:eastAsia="Courier New" w:hAnsi="Courier New"/>
          <w:sz w:val="14"/>
          <w:szCs w:val="14"/>
          <w:color w:val="auto"/>
        </w:rPr>
        <w:t>Camino A Santa Teresa No. 1679 Col. Jardines Del Pedregal, Mexico, D.F. C.P. 01900</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BANCO NACIONAL DE COMERCIO EXTERIOR,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S.N.C. (Acting</w:t>
      </w:r>
    </w:p>
    <w:p>
      <w:pPr>
        <w:spacing w:after="0" w:line="237" w:lineRule="auto"/>
        <w:rPr>
          <w:sz w:val="20"/>
          <w:szCs w:val="20"/>
          <w:color w:val="auto"/>
        </w:rPr>
      </w:pPr>
      <w:r>
        <w:rPr>
          <w:rFonts w:ascii="Courier New" w:cs="Courier New" w:eastAsia="Courier New" w:hAnsi="Courier New"/>
          <w:sz w:val="15"/>
          <w:szCs w:val="15"/>
          <w:color w:val="auto"/>
        </w:rPr>
        <w:t>through its Grand Cayman Branch),</w:t>
      </w:r>
    </w:p>
    <w:p>
      <w:pPr>
        <w:ind w:left="180"/>
        <w:spacing w:after="0" w:line="238" w:lineRule="auto"/>
        <w:rPr>
          <w:sz w:val="20"/>
          <w:szCs w:val="20"/>
          <w:color w:val="auto"/>
        </w:rPr>
      </w:pPr>
      <w:r>
        <w:rPr>
          <w:rFonts w:ascii="Courier New" w:cs="Courier New" w:eastAsia="Courier New" w:hAnsi="Courier New"/>
          <w:sz w:val="15"/>
          <w:szCs w:val="15"/>
          <w:color w:val="auto"/>
        </w:rPr>
        <w:t>as 2003 Lender</w:t>
      </w:r>
    </w:p>
    <w:p>
      <w:pPr>
        <w:spacing w:after="0" w:line="5" w:lineRule="exact"/>
        <w:rPr>
          <w:sz w:val="20"/>
          <w:szCs w:val="20"/>
          <w:color w:val="auto"/>
        </w:rPr>
      </w:pPr>
    </w:p>
    <w:p>
      <w:pPr>
        <w:sectPr>
          <w:pgSz w:w="11900" w:h="16838" w:orient="portrait"/>
          <w:cols w:equalWidth="0" w:num="2">
            <w:col w:w="2780" w:space="720"/>
            <w:col w:w="6739"/>
          </w:cols>
          <w:pgMar w:left="220" w:top="62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Attention: Lic. Leonel Vasquez Gomez</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Lic. Lorena Moreno Quintanilla</w:t>
      </w:r>
    </w:p>
    <w:p>
      <w:pPr>
        <w:sectPr>
          <w:pgSz w:w="11900" w:h="16838" w:orient="portrait"/>
          <w:cols w:equalWidth="0" w:num="1">
            <w:col w:w="10239"/>
          </w:cols>
          <w:pgMar w:left="220" w:top="623"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Telephone: (011) 5281-8369-2121 / 2112</w:t>
      </w:r>
    </w:p>
    <w:p>
      <w:pPr>
        <w:spacing w:after="0" w:line="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Fax:</w:t>
      </w:r>
      <w:r>
        <w:rPr>
          <w:sz w:val="20"/>
          <w:szCs w:val="20"/>
          <w:color w:val="auto"/>
        </w:rPr>
        <w:tab/>
      </w:r>
      <w:r>
        <w:rPr>
          <w:rFonts w:ascii="Courier New" w:cs="Courier New" w:eastAsia="Courier New" w:hAnsi="Courier New"/>
          <w:sz w:val="15"/>
          <w:szCs w:val="15"/>
          <w:color w:val="auto"/>
        </w:rPr>
        <w:t>(011) 5281-8369-2155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By: ______________________________</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Name:</w:t>
      </w:r>
    </w:p>
    <w:p>
      <w:pPr>
        <w:ind w:left="180"/>
        <w:spacing w:after="0" w:line="237" w:lineRule="auto"/>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ectPr>
          <w:pgSz w:w="11900" w:h="16838" w:orient="portrait"/>
          <w:cols w:equalWidth="0" w:num="2">
            <w:col w:w="3340" w:space="160"/>
            <w:col w:w="6739"/>
          </w:cols>
          <w:pgMar w:left="220" w:top="623" w:right="1440" w:bottom="1440" w:gutter="0" w:footer="0" w:header="0"/>
          <w:type w:val="continuous"/>
        </w:sectPr>
      </w:pPr>
    </w:p>
    <w:p>
      <w:pPr>
        <w:spacing w:after="0" w:line="142"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By: ______________________________</w:t>
      </w:r>
    </w:p>
    <w:p>
      <w:pPr>
        <w:spacing w:after="0" w:line="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Name:</w:t>
      </w:r>
    </w:p>
    <w:p>
      <w:pPr>
        <w:ind w:left="36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S-7</w:t>
      </w:r>
    </w:p>
    <w:p>
      <w:pPr>
        <w:sectPr>
          <w:pgSz w:w="11900" w:h="16838" w:orient="portrait"/>
          <w:cols w:equalWidth="0" w:num="1">
            <w:col w:w="10239"/>
          </w:cols>
          <w:pgMar w:left="220" w:top="623" w:right="1440" w:bottom="1440" w:gutter="0" w:footer="0" w:header="0"/>
          <w:type w:val="continuous"/>
        </w:sectPr>
      </w:pPr>
    </w:p>
    <w:bookmarkStart w:id="296" w:name="page297"/>
    <w:bookmarkEnd w:id="296"/>
    <w:p>
      <w:pPr>
        <w:ind w:left="6400"/>
        <w:spacing w:after="0"/>
        <w:rPr>
          <w:sz w:val="20"/>
          <w:szCs w:val="20"/>
          <w:color w:val="auto"/>
        </w:rPr>
      </w:pPr>
      <w:r>
        <w:rPr>
          <w:rFonts w:ascii="Courier New" w:cs="Courier New" w:eastAsia="Courier New" w:hAnsi="Courier New"/>
          <w:sz w:val="14"/>
          <w:szCs w:val="14"/>
          <w:color w:val="auto"/>
        </w:rPr>
        <w:t>Annex I</w:t>
      </w:r>
    </w:p>
    <w:p>
      <w:pPr>
        <w:spacing w:after="0" w:line="171"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COMMITMENT</w:t>
      </w:r>
    </w:p>
    <w:p>
      <w:pPr>
        <w:sectPr>
          <w:pgSz w:w="11900" w:h="16838" w:orient="portrait"/>
          <w:cols w:equalWidth="0" w:num="1">
            <w:col w:w="10239"/>
          </w:cols>
          <w:pgMar w:left="220" w:top="1128" w:right="1440" w:bottom="144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2003 Lender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Advance Amount</w:t>
      </w:r>
    </w:p>
    <w:p>
      <w:pPr>
        <w:spacing w:after="0" w:line="200" w:lineRule="exact"/>
        <w:rPr>
          <w:sz w:val="20"/>
          <w:szCs w:val="20"/>
          <w:color w:val="auto"/>
        </w:rPr>
      </w:pPr>
    </w:p>
    <w:p>
      <w:pPr>
        <w:sectPr>
          <w:pgSz w:w="11900" w:h="16838" w:orient="portrait"/>
          <w:cols w:equalWidth="0" w:num="2">
            <w:col w:w="7860" w:space="720"/>
            <w:col w:w="1659"/>
          </w:cols>
          <w:pgMar w:left="220" w:top="1128" w:right="1440" w:bottom="1440" w:gutter="0" w:footer="0" w:header="0"/>
          <w:type w:val="continuous"/>
        </w:sectPr>
      </w:pPr>
    </w:p>
    <w:p>
      <w:pPr>
        <w:spacing w:after="0" w:line="146" w:lineRule="exact"/>
        <w:rPr>
          <w:sz w:val="20"/>
          <w:szCs w:val="20"/>
          <w:color w:val="auto"/>
        </w:rPr>
      </w:pPr>
    </w:p>
    <w:p>
      <w:pPr>
        <w:ind w:right="2000"/>
        <w:spacing w:after="0" w:line="234" w:lineRule="auto"/>
        <w:rPr>
          <w:sz w:val="20"/>
          <w:szCs w:val="20"/>
          <w:color w:val="auto"/>
        </w:rPr>
      </w:pPr>
      <w:r>
        <w:rPr>
          <w:rFonts w:ascii="Courier New" w:cs="Courier New" w:eastAsia="Courier New" w:hAnsi="Courier New"/>
          <w:sz w:val="15"/>
          <w:szCs w:val="15"/>
          <w:color w:val="auto"/>
        </w:rPr>
        <w:t>Banco Nacional de Comercio Exterior, S.N.C. (Acting through its Grand Cayman Branch)</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$30,000,000</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8040" w:space="720"/>
            <w:col w:w="1479"/>
          </w:cols>
          <w:pgMar w:left="220" w:top="1128" w:right="1440" w:bottom="1440" w:gutter="0" w:footer="0" w:header="0"/>
          <w:type w:val="continuous"/>
        </w:sectPr>
      </w:pPr>
    </w:p>
    <w:p>
      <w:pPr>
        <w:ind w:left="3080"/>
        <w:spacing w:after="0"/>
        <w:rPr>
          <w:sz w:val="20"/>
          <w:szCs w:val="20"/>
          <w:color w:val="auto"/>
        </w:rPr>
      </w:pPr>
      <w:r>
        <w:rPr>
          <w:rFonts w:ascii="Courier New" w:cs="Courier New" w:eastAsia="Courier New" w:hAnsi="Courier New"/>
          <w:sz w:val="14"/>
          <w:szCs w:val="14"/>
          <w:color w:val="auto"/>
        </w:rPr>
        <w:t>Annex I-1</w:t>
      </w:r>
    </w:p>
    <w:p>
      <w:pPr>
        <w:sectPr>
          <w:pgSz w:w="11900" w:h="16838" w:orient="portrait"/>
          <w:cols w:equalWidth="0" w:num="1">
            <w:col w:w="10239"/>
          </w:cols>
          <w:pgMar w:left="220" w:top="1128" w:right="1440" w:bottom="1440" w:gutter="0" w:footer="0" w:header="0"/>
          <w:type w:val="continuous"/>
        </w:sectPr>
      </w:pPr>
    </w:p>
    <w:bookmarkStart w:id="297" w:name="page298"/>
    <w:bookmarkEnd w:id="297"/>
    <w:p>
      <w:pPr>
        <w:ind w:left="6040"/>
        <w:spacing w:after="0"/>
        <w:rPr>
          <w:sz w:val="20"/>
          <w:szCs w:val="20"/>
          <w:color w:val="auto"/>
        </w:rPr>
      </w:pPr>
      <w:r>
        <w:rPr>
          <w:rFonts w:ascii="Courier New" w:cs="Courier New" w:eastAsia="Courier New" w:hAnsi="Courier New"/>
          <w:sz w:val="15"/>
          <w:szCs w:val="15"/>
          <w:color w:val="auto"/>
        </w:rPr>
        <w:t>Exhibit 8.1</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Significant Subsidiaries</w:t>
      </w:r>
    </w:p>
    <w:p>
      <w:pPr>
        <w:spacing w:after="0" w:line="200" w:lineRule="exact"/>
        <w:rPr>
          <w:sz w:val="20"/>
          <w:szCs w:val="20"/>
          <w:color w:val="auto"/>
        </w:rPr>
      </w:pPr>
    </w:p>
    <w:p>
      <w:pPr>
        <w:spacing w:after="0" w:line="30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The following table sets forth our significant subsidiaries as of the date of this Annual Report.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360" w:type="dxa"/>
            <w:vAlign w:val="bottom"/>
          </w:tcPr>
          <w:p>
            <w:pPr>
              <w:spacing w:after="0"/>
              <w:rPr>
                <w:sz w:val="14"/>
                <w:szCs w:val="14"/>
                <w:color w:val="auto"/>
              </w:rPr>
            </w:pPr>
          </w:p>
        </w:tc>
        <w:tc>
          <w:tcPr>
            <w:tcW w:w="1440" w:type="dxa"/>
            <w:vAlign w:val="bottom"/>
          </w:tcPr>
          <w:p>
            <w:pPr>
              <w:spacing w:after="0"/>
              <w:rPr>
                <w:sz w:val="20"/>
                <w:szCs w:val="20"/>
                <w:color w:val="auto"/>
              </w:rPr>
            </w:pPr>
            <w:r>
              <w:rPr>
                <w:rFonts w:ascii="Courier New" w:cs="Courier New" w:eastAsia="Courier New" w:hAnsi="Courier New"/>
                <w:sz w:val="15"/>
                <w:szCs w:val="15"/>
                <w:color w:val="auto"/>
              </w:rPr>
              <w:t>Jurisdiction of</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Percentage</w:t>
            </w:r>
          </w:p>
        </w:tc>
      </w:tr>
      <w:tr>
        <w:trPr>
          <w:trHeight w:val="168"/>
        </w:trPr>
        <w:tc>
          <w:tcPr>
            <w:tcW w:w="7360" w:type="dxa"/>
            <w:vAlign w:val="bottom"/>
          </w:tcPr>
          <w:p>
            <w:pPr>
              <w:spacing w:after="0" w:line="168" w:lineRule="exact"/>
              <w:rPr>
                <w:sz w:val="20"/>
                <w:szCs w:val="20"/>
                <w:color w:val="auto"/>
              </w:rPr>
            </w:pPr>
            <w:r>
              <w:rPr>
                <w:rFonts w:ascii="Courier New" w:cs="Courier New" w:eastAsia="Courier New" w:hAnsi="Courier New"/>
                <w:sz w:val="15"/>
                <w:szCs w:val="15"/>
                <w:color w:val="auto"/>
              </w:rPr>
              <w:t>Name of Company</w:t>
            </w:r>
          </w:p>
        </w:tc>
        <w:tc>
          <w:tcPr>
            <w:tcW w:w="1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Establishment</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Owned</w:t>
            </w:r>
          </w:p>
        </w:tc>
      </w:tr>
      <w:tr>
        <w:trPr>
          <w:trHeight w:val="168"/>
        </w:trPr>
        <w:tc>
          <w:tcPr>
            <w:tcW w:w="73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9"/>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360" w:type="dxa"/>
            <w:vAlign w:val="bottom"/>
          </w:tcPr>
          <w:p>
            <w:pPr>
              <w:spacing w:after="0"/>
              <w:rPr>
                <w:sz w:val="20"/>
                <w:szCs w:val="20"/>
                <w:color w:val="auto"/>
              </w:rPr>
            </w:pPr>
            <w:r>
              <w:rPr>
                <w:rFonts w:ascii="Courier New" w:cs="Courier New" w:eastAsia="Courier New" w:hAnsi="Courier New"/>
                <w:sz w:val="15"/>
                <w:szCs w:val="15"/>
                <w:color w:val="auto"/>
              </w:rPr>
              <w:t>CIBSA</w:t>
            </w:r>
          </w:p>
        </w:tc>
        <w:tc>
          <w:tcPr>
            <w:tcW w:w="1440" w:type="dxa"/>
            <w:vAlign w:val="bottom"/>
          </w:tcPr>
          <w:p>
            <w:pPr>
              <w:ind w:left="180"/>
              <w:spacing w:after="0"/>
              <w:rPr>
                <w:sz w:val="20"/>
                <w:szCs w:val="20"/>
                <w:color w:val="auto"/>
              </w:rPr>
            </w:pPr>
            <w:r>
              <w:rPr>
                <w:rFonts w:ascii="Courier New" w:cs="Courier New" w:eastAsia="Courier New" w:hAnsi="Courier New"/>
                <w:sz w:val="15"/>
                <w:szCs w:val="15"/>
                <w:color w:val="auto"/>
              </w:rPr>
              <w:t>Mexico</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99.99</w:t>
            </w:r>
          </w:p>
        </w:tc>
      </w:tr>
      <w:tr>
        <w:trPr>
          <w:trHeight w:val="336"/>
        </w:trPr>
        <w:tc>
          <w:tcPr>
            <w:tcW w:w="7360" w:type="dxa"/>
            <w:vAlign w:val="bottom"/>
          </w:tcPr>
          <w:p>
            <w:pPr>
              <w:ind w:left="440"/>
              <w:spacing w:after="0"/>
              <w:rPr>
                <w:sz w:val="20"/>
                <w:szCs w:val="20"/>
                <w:color w:val="auto"/>
              </w:rPr>
            </w:pPr>
            <w:r>
              <w:rPr>
                <w:rFonts w:ascii="Courier New" w:cs="Courier New" w:eastAsia="Courier New" w:hAnsi="Courier New"/>
                <w:sz w:val="15"/>
                <w:szCs w:val="15"/>
                <w:color w:val="auto"/>
              </w:rPr>
              <w:t>Coca-Cola FEMSA</w:t>
            </w:r>
          </w:p>
        </w:tc>
        <w:tc>
          <w:tcPr>
            <w:tcW w:w="1440" w:type="dxa"/>
            <w:vAlign w:val="bottom"/>
          </w:tcPr>
          <w:p>
            <w:pPr>
              <w:ind w:left="180"/>
              <w:spacing w:after="0"/>
              <w:rPr>
                <w:sz w:val="20"/>
                <w:szCs w:val="20"/>
                <w:color w:val="auto"/>
              </w:rPr>
            </w:pPr>
            <w:r>
              <w:rPr>
                <w:rFonts w:ascii="Courier New" w:cs="Courier New" w:eastAsia="Courier New" w:hAnsi="Courier New"/>
                <w:sz w:val="15"/>
                <w:szCs w:val="15"/>
                <w:color w:val="auto"/>
              </w:rPr>
              <w:t>Mexico</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45.70(1)</w:t>
            </w:r>
          </w:p>
        </w:tc>
      </w:tr>
      <w:tr>
        <w:trPr>
          <w:trHeight w:val="168"/>
        </w:trPr>
        <w:tc>
          <w:tcPr>
            <w:tcW w:w="736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w w:val="97"/>
              </w:rPr>
              <w:t>Propimex, S.A. de C.V..................................................</w:t>
            </w:r>
          </w:p>
        </w:tc>
        <w:tc>
          <w:tcPr>
            <w:tcW w:w="14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Mexico</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45.70</w:t>
            </w:r>
          </w:p>
        </w:tc>
      </w:tr>
      <w:tr>
        <w:trPr>
          <w:trHeight w:val="168"/>
        </w:trPr>
        <w:tc>
          <w:tcPr>
            <w:tcW w:w="736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w w:val="97"/>
              </w:rPr>
              <w:t>Inmuebles del Golfo, S.A. de C.V.......................................</w:t>
            </w:r>
          </w:p>
        </w:tc>
        <w:tc>
          <w:tcPr>
            <w:tcW w:w="14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Mexico</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45.70</w:t>
            </w:r>
          </w:p>
        </w:tc>
      </w:tr>
      <w:tr>
        <w:trPr>
          <w:trHeight w:val="168"/>
        </w:trPr>
        <w:tc>
          <w:tcPr>
            <w:tcW w:w="736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w w:val="97"/>
              </w:rPr>
              <w:t>Refrescos y Aguas Minerales, S.A. de C.V...............................</w:t>
            </w:r>
          </w:p>
        </w:tc>
        <w:tc>
          <w:tcPr>
            <w:tcW w:w="14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Mexico</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45.70</w:t>
            </w:r>
          </w:p>
        </w:tc>
      </w:tr>
      <w:tr>
        <w:trPr>
          <w:trHeight w:val="168"/>
        </w:trPr>
        <w:tc>
          <w:tcPr>
            <w:tcW w:w="736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w w:val="97"/>
              </w:rPr>
              <w:t>Coca-Cola FEMSA de Buenos Aires, S.A...................................</w:t>
            </w:r>
          </w:p>
        </w:tc>
        <w:tc>
          <w:tcPr>
            <w:tcW w:w="14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Argentina</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45.70</w:t>
            </w:r>
          </w:p>
        </w:tc>
      </w:tr>
      <w:tr>
        <w:trPr>
          <w:trHeight w:val="168"/>
        </w:trPr>
        <w:tc>
          <w:tcPr>
            <w:tcW w:w="736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w w:val="97"/>
              </w:rPr>
              <w:t>Corporacion Interamericana de Bebidas, S.A. de C.V. (Panamco)..........</w:t>
            </w:r>
          </w:p>
        </w:tc>
        <w:tc>
          <w:tcPr>
            <w:tcW w:w="14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Mexico</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45.70(2)</w:t>
            </w:r>
          </w:p>
        </w:tc>
      </w:tr>
      <w:tr>
        <w:trPr>
          <w:trHeight w:val="336"/>
        </w:trPr>
        <w:tc>
          <w:tcPr>
            <w:tcW w:w="7360" w:type="dxa"/>
            <w:vAlign w:val="bottom"/>
          </w:tcPr>
          <w:p>
            <w:pPr>
              <w:spacing w:after="0"/>
              <w:rPr>
                <w:sz w:val="20"/>
                <w:szCs w:val="20"/>
                <w:color w:val="auto"/>
              </w:rPr>
            </w:pPr>
            <w:r>
              <w:rPr>
                <w:rFonts w:ascii="Courier New" w:cs="Courier New" w:eastAsia="Courier New" w:hAnsi="Courier New"/>
                <w:sz w:val="15"/>
                <w:szCs w:val="15"/>
                <w:color w:val="auto"/>
              </w:rPr>
              <w:t>Emprex</w:t>
            </w:r>
          </w:p>
        </w:tc>
        <w:tc>
          <w:tcPr>
            <w:tcW w:w="1440" w:type="dxa"/>
            <w:vAlign w:val="bottom"/>
          </w:tcPr>
          <w:p>
            <w:pPr>
              <w:ind w:left="180"/>
              <w:spacing w:after="0"/>
              <w:rPr>
                <w:sz w:val="20"/>
                <w:szCs w:val="20"/>
                <w:color w:val="auto"/>
              </w:rPr>
            </w:pPr>
            <w:r>
              <w:rPr>
                <w:rFonts w:ascii="Courier New" w:cs="Courier New" w:eastAsia="Courier New" w:hAnsi="Courier New"/>
                <w:sz w:val="15"/>
                <w:szCs w:val="15"/>
                <w:color w:val="auto"/>
              </w:rPr>
              <w:t>Mexico</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99.99</w:t>
            </w:r>
          </w:p>
        </w:tc>
      </w:tr>
      <w:tr>
        <w:trPr>
          <w:trHeight w:val="336"/>
        </w:trPr>
        <w:tc>
          <w:tcPr>
            <w:tcW w:w="7360" w:type="dxa"/>
            <w:vAlign w:val="bottom"/>
          </w:tcPr>
          <w:p>
            <w:pPr>
              <w:ind w:left="440"/>
              <w:spacing w:after="0"/>
              <w:rPr>
                <w:sz w:val="20"/>
                <w:szCs w:val="20"/>
                <w:color w:val="auto"/>
              </w:rPr>
            </w:pPr>
            <w:r>
              <w:rPr>
                <w:rFonts w:ascii="Courier New" w:cs="Courier New" w:eastAsia="Courier New" w:hAnsi="Courier New"/>
                <w:sz w:val="15"/>
                <w:szCs w:val="15"/>
                <w:color w:val="auto"/>
              </w:rPr>
              <w:t>FEMSA Cerveza</w:t>
            </w:r>
          </w:p>
        </w:tc>
        <w:tc>
          <w:tcPr>
            <w:tcW w:w="1440" w:type="dxa"/>
            <w:vAlign w:val="bottom"/>
          </w:tcPr>
          <w:p>
            <w:pPr>
              <w:ind w:left="180"/>
              <w:spacing w:after="0"/>
              <w:rPr>
                <w:sz w:val="20"/>
                <w:szCs w:val="20"/>
                <w:color w:val="auto"/>
              </w:rPr>
            </w:pPr>
            <w:r>
              <w:rPr>
                <w:rFonts w:ascii="Courier New" w:cs="Courier New" w:eastAsia="Courier New" w:hAnsi="Courier New"/>
                <w:sz w:val="15"/>
                <w:szCs w:val="15"/>
                <w:color w:val="auto"/>
              </w:rPr>
              <w:t>Mexico</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70.00</w:t>
            </w:r>
          </w:p>
        </w:tc>
      </w:tr>
      <w:tr>
        <w:trPr>
          <w:trHeight w:val="168"/>
        </w:trPr>
        <w:tc>
          <w:tcPr>
            <w:tcW w:w="736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w w:val="97"/>
              </w:rPr>
              <w:t>Cerveceria Cuauhtemoc Moctezuma, S.A. de C.V...........................</w:t>
            </w:r>
          </w:p>
        </w:tc>
        <w:tc>
          <w:tcPr>
            <w:tcW w:w="14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Mexico</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70.00</w:t>
            </w:r>
          </w:p>
        </w:tc>
      </w:tr>
      <w:tr>
        <w:trPr>
          <w:trHeight w:val="168"/>
        </w:trPr>
        <w:tc>
          <w:tcPr>
            <w:tcW w:w="736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w w:val="97"/>
              </w:rPr>
              <w:t>Cervezas Cuauhtemoc Moctezuma, S.A. de C.V. ...........................</w:t>
            </w:r>
          </w:p>
        </w:tc>
        <w:tc>
          <w:tcPr>
            <w:tcW w:w="14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Mexico</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70.00</w:t>
            </w:r>
          </w:p>
        </w:tc>
      </w:tr>
      <w:tr>
        <w:trPr>
          <w:trHeight w:val="336"/>
        </w:trPr>
        <w:tc>
          <w:tcPr>
            <w:tcW w:w="7360" w:type="dxa"/>
            <w:vAlign w:val="bottom"/>
          </w:tcPr>
          <w:p>
            <w:pPr>
              <w:ind w:left="440"/>
              <w:spacing w:after="0"/>
              <w:rPr>
                <w:sz w:val="20"/>
                <w:szCs w:val="20"/>
                <w:color w:val="auto"/>
              </w:rPr>
            </w:pPr>
            <w:r>
              <w:rPr>
                <w:rFonts w:ascii="Courier New" w:cs="Courier New" w:eastAsia="Courier New" w:hAnsi="Courier New"/>
                <w:sz w:val="15"/>
                <w:szCs w:val="15"/>
                <w:color w:val="auto"/>
              </w:rPr>
              <w:t>FEMSA Comercio</w:t>
            </w:r>
          </w:p>
        </w:tc>
        <w:tc>
          <w:tcPr>
            <w:tcW w:w="1440" w:type="dxa"/>
            <w:vAlign w:val="bottom"/>
          </w:tcPr>
          <w:p>
            <w:pPr>
              <w:ind w:left="180"/>
              <w:spacing w:after="0"/>
              <w:rPr>
                <w:sz w:val="20"/>
                <w:szCs w:val="20"/>
                <w:color w:val="auto"/>
              </w:rPr>
            </w:pPr>
            <w:r>
              <w:rPr>
                <w:rFonts w:ascii="Courier New" w:cs="Courier New" w:eastAsia="Courier New" w:hAnsi="Courier New"/>
                <w:sz w:val="15"/>
                <w:szCs w:val="15"/>
                <w:color w:val="auto"/>
              </w:rPr>
              <w:t>Mexico</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100.00</w:t>
            </w:r>
          </w:p>
        </w:tc>
      </w:tr>
      <w:tr>
        <w:trPr>
          <w:trHeight w:val="168"/>
        </w:trPr>
        <w:tc>
          <w:tcPr>
            <w:tcW w:w="736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w w:val="97"/>
              </w:rPr>
              <w:t>Cadena Comercial Oxxo, S.A. de C.V.....................................</w:t>
            </w:r>
          </w:p>
        </w:tc>
        <w:tc>
          <w:tcPr>
            <w:tcW w:w="14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Mexico</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100.00</w:t>
            </w:r>
          </w:p>
        </w:tc>
      </w:tr>
      <w:tr>
        <w:trPr>
          <w:trHeight w:val="168"/>
        </w:trPr>
        <w:tc>
          <w:tcPr>
            <w:tcW w:w="736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w w:val="97"/>
              </w:rPr>
              <w:t>Impulsora de Mercados de Mexico, S.A. de C.V...........................</w:t>
            </w:r>
          </w:p>
        </w:tc>
        <w:tc>
          <w:tcPr>
            <w:tcW w:w="14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Mexico</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100.00</w:t>
            </w:r>
          </w:p>
        </w:tc>
      </w:tr>
      <w:tr>
        <w:trPr>
          <w:trHeight w:val="336"/>
        </w:trPr>
        <w:tc>
          <w:tcPr>
            <w:tcW w:w="7360" w:type="dxa"/>
            <w:vAlign w:val="bottom"/>
          </w:tcPr>
          <w:p>
            <w:pPr>
              <w:ind w:left="440"/>
              <w:spacing w:after="0"/>
              <w:rPr>
                <w:sz w:val="20"/>
                <w:szCs w:val="20"/>
                <w:color w:val="auto"/>
              </w:rPr>
            </w:pPr>
            <w:r>
              <w:rPr>
                <w:rFonts w:ascii="Courier New" w:cs="Courier New" w:eastAsia="Courier New" w:hAnsi="Courier New"/>
                <w:sz w:val="15"/>
                <w:szCs w:val="15"/>
                <w:color w:val="auto"/>
              </w:rPr>
              <w:t>FEMSA Empaques</w:t>
            </w:r>
          </w:p>
        </w:tc>
        <w:tc>
          <w:tcPr>
            <w:tcW w:w="1440" w:type="dxa"/>
            <w:vAlign w:val="bottom"/>
          </w:tcPr>
          <w:p>
            <w:pPr>
              <w:ind w:left="180"/>
              <w:spacing w:after="0"/>
              <w:rPr>
                <w:sz w:val="20"/>
                <w:szCs w:val="20"/>
                <w:color w:val="auto"/>
              </w:rPr>
            </w:pPr>
            <w:r>
              <w:rPr>
                <w:rFonts w:ascii="Courier New" w:cs="Courier New" w:eastAsia="Courier New" w:hAnsi="Courier New"/>
                <w:sz w:val="15"/>
                <w:szCs w:val="15"/>
                <w:color w:val="auto"/>
              </w:rPr>
              <w:t>Mexico</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100.00</w:t>
            </w:r>
          </w:p>
        </w:tc>
      </w:tr>
      <w:tr>
        <w:trPr>
          <w:trHeight w:val="168"/>
        </w:trPr>
        <w:tc>
          <w:tcPr>
            <w:tcW w:w="736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w w:val="97"/>
              </w:rPr>
              <w:t>Fabricas  Monterrey, S.A. de C.V.......................................</w:t>
            </w:r>
          </w:p>
        </w:tc>
        <w:tc>
          <w:tcPr>
            <w:tcW w:w="14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Mexico</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100.00</w:t>
            </w:r>
          </w:p>
        </w:tc>
      </w:tr>
      <w:tr>
        <w:trPr>
          <w:trHeight w:val="168"/>
        </w:trPr>
        <w:tc>
          <w:tcPr>
            <w:tcW w:w="736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w w:val="97"/>
              </w:rPr>
              <w:t>Grafo Regia, S.A. de C.V...............................................</w:t>
            </w:r>
          </w:p>
        </w:tc>
        <w:tc>
          <w:tcPr>
            <w:tcW w:w="14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Mexico</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100.00</w:t>
            </w:r>
          </w:p>
        </w:tc>
      </w:tr>
      <w:tr>
        <w:trPr>
          <w:trHeight w:val="168"/>
        </w:trPr>
        <w:tc>
          <w:tcPr>
            <w:tcW w:w="736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w w:val="97"/>
              </w:rPr>
              <w:t>Silices de Veracruz, S.A. de C.V.......................................</w:t>
            </w:r>
          </w:p>
        </w:tc>
        <w:tc>
          <w:tcPr>
            <w:tcW w:w="14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Mexico</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100.00</w:t>
            </w:r>
          </w:p>
        </w:tc>
      </w:tr>
      <w:tr>
        <w:trPr>
          <w:trHeight w:val="168"/>
        </w:trPr>
        <w:tc>
          <w:tcPr>
            <w:tcW w:w="736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w w:val="97"/>
              </w:rPr>
              <w:t>Vendo de Mexico, S.A. de C.V...........................................</w:t>
            </w:r>
          </w:p>
        </w:tc>
        <w:tc>
          <w:tcPr>
            <w:tcW w:w="14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Mexico</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100.00</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w:t>
      </w:r>
    </w:p>
    <w:p>
      <w:pPr>
        <w:ind w:left="800" w:hanging="790"/>
        <w:spacing w:after="0" w:line="237" w:lineRule="auto"/>
        <w:tabs>
          <w:tab w:leader="none" w:pos="800" w:val="left"/>
        </w:tabs>
        <w:numPr>
          <w:ilvl w:val="0"/>
          <w:numId w:val="2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FEMSA owns 53.60% of the capital stock with full voting rights.</w:t>
      </w:r>
    </w:p>
    <w:p>
      <w:pPr>
        <w:ind w:left="800" w:hanging="790"/>
        <w:spacing w:after="0" w:line="237" w:lineRule="auto"/>
        <w:tabs>
          <w:tab w:leader="none" w:pos="800" w:val="left"/>
        </w:tabs>
        <w:numPr>
          <w:ilvl w:val="0"/>
          <w:numId w:val="2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entity was acquired on May 6, 2003.</w:t>
      </w:r>
    </w:p>
    <w:p>
      <w:pPr>
        <w:sectPr>
          <w:pgSz w:w="11900" w:h="16838" w:orient="portrait"/>
          <w:cols w:equalWidth="0" w:num="1">
            <w:col w:w="10239"/>
          </w:cols>
          <w:pgMar w:left="220" w:top="135" w:right="1440" w:bottom="1440" w:gutter="0" w:footer="0" w:header="0"/>
        </w:sectPr>
      </w:pPr>
    </w:p>
    <w:bookmarkStart w:id="298" w:name="page299"/>
    <w:bookmarkEnd w:id="298"/>
    <w:p>
      <w:pPr>
        <w:jc w:val="right"/>
        <w:ind w:right="3239"/>
        <w:spacing w:after="0"/>
        <w:rPr>
          <w:sz w:val="20"/>
          <w:szCs w:val="20"/>
          <w:color w:val="auto"/>
        </w:rPr>
      </w:pPr>
      <w:r>
        <w:rPr>
          <w:rFonts w:ascii="Courier New" w:cs="Courier New" w:eastAsia="Courier New" w:hAnsi="Courier New"/>
          <w:sz w:val="15"/>
          <w:szCs w:val="15"/>
          <w:color w:val="auto"/>
        </w:rPr>
        <w:t>Exhibit 12.1</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Certification</w:t>
      </w:r>
    </w:p>
    <w:p>
      <w:pPr>
        <w:spacing w:after="0" w:line="173" w:lineRule="exact"/>
        <w:rPr>
          <w:sz w:val="20"/>
          <w:szCs w:val="20"/>
          <w:color w:val="auto"/>
        </w:rPr>
      </w:pPr>
    </w:p>
    <w:p>
      <w:pPr>
        <w:jc w:val="center"/>
        <w:ind w:left="240" w:right="340"/>
        <w:spacing w:after="0" w:line="235" w:lineRule="auto"/>
        <w:rPr>
          <w:sz w:val="20"/>
          <w:szCs w:val="20"/>
          <w:color w:val="auto"/>
        </w:rPr>
      </w:pPr>
      <w:r>
        <w:rPr>
          <w:rFonts w:ascii="Courier New" w:cs="Courier New" w:eastAsia="Courier New" w:hAnsi="Courier New"/>
          <w:sz w:val="15"/>
          <w:szCs w:val="15"/>
          <w:color w:val="auto"/>
        </w:rPr>
        <w:t>Pursuant to Section 906 of the Sarbanes-Oxley Act of 2002 (Subsections (a) and (b) of Section 1350, Chapter 63 of Title 18, United States Code)</w:t>
      </w:r>
    </w:p>
    <w:p>
      <w:pPr>
        <w:spacing w:after="0" w:line="174"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Pursuant to section 906 of the Sarbanes-Oxley Act of 2002 (subsections (a) and (b) of section 1350, chapter 63 of title 18, United States Code), each of the undersigned officers of Fomento Economico Mexicano, S.A. d e C.V. (the "Company"), does hereby certify, to such officer's knowledge, that:</w:t>
      </w:r>
    </w:p>
    <w:p>
      <w:pPr>
        <w:spacing w:after="0" w:line="175"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Annual Report on form 20-F for the year ended December 31, 2002 (the "Form 20-F") of the Company fully complies with the requirements of section 13(a) or 15(d) of the Securities Exchange Act of 1934 and information contained in the Form 20-F fairly presents, in all material respects, the financial condition and results of operations of the Company.</w:t>
      </w:r>
    </w:p>
    <w:p>
      <w:pPr>
        <w:sectPr>
          <w:pgSz w:w="11900" w:h="16838" w:orient="portrait"/>
          <w:cols w:equalWidth="0" w:num="1">
            <w:col w:w="10239"/>
          </w:cols>
          <w:pgMar w:left="220" w:top="135"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Jose Antonio Fernandez</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Jose Antonio Fernandez</w:t>
      </w:r>
    </w:p>
    <w:p>
      <w:pPr>
        <w:spacing w:after="0" w:line="237" w:lineRule="auto"/>
        <w:rPr>
          <w:sz w:val="20"/>
          <w:szCs w:val="20"/>
          <w:color w:val="auto"/>
        </w:rPr>
      </w:pPr>
      <w:r>
        <w:rPr>
          <w:rFonts w:ascii="Courier New" w:cs="Courier New" w:eastAsia="Courier New" w:hAnsi="Courier New"/>
          <w:sz w:val="15"/>
          <w:szCs w:val="15"/>
          <w:color w:val="auto"/>
        </w:rPr>
        <w:t>Chief Executive Officer</w:t>
      </w:r>
    </w:p>
    <w:p>
      <w:pPr>
        <w:spacing w:after="0" w:line="200" w:lineRule="exact"/>
        <w:rPr>
          <w:sz w:val="20"/>
          <w:szCs w:val="20"/>
          <w:color w:val="auto"/>
        </w:rPr>
      </w:pPr>
    </w:p>
    <w:p>
      <w:pPr>
        <w:sectPr>
          <w:pgSz w:w="11900" w:h="16838" w:orient="portrait"/>
          <w:cols w:equalWidth="0" w:num="2">
            <w:col w:w="1380" w:space="720"/>
            <w:col w:w="8139"/>
          </w:cols>
          <w:pgMar w:left="220" w:top="135" w:right="1440" w:bottom="1440" w:gutter="0" w:footer="0" w:header="0"/>
          <w:type w:val="continuous"/>
        </w:sectPr>
      </w:pP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Federico Reyes</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Federico Reyes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Financial Officer</w:t>
      </w:r>
    </w:p>
    <w:p>
      <w:pPr>
        <w:spacing w:after="0" w:line="200" w:lineRule="exact"/>
        <w:rPr>
          <w:sz w:val="20"/>
          <w:szCs w:val="20"/>
          <w:color w:val="auto"/>
        </w:rPr>
      </w:pPr>
    </w:p>
    <w:p>
      <w:pPr>
        <w:sectPr>
          <w:pgSz w:w="11900" w:h="16838" w:orient="portrait"/>
          <w:cols w:equalWidth="0" w:num="2">
            <w:col w:w="1380" w:space="720"/>
            <w:col w:w="8139"/>
          </w:cols>
          <w:pgMar w:left="220" w:top="135" w:right="1440" w:bottom="1440" w:gutter="0" w:footer="0" w:header="0"/>
          <w:type w:val="continuous"/>
        </w:sectPr>
      </w:pPr>
    </w:p>
    <w:p>
      <w:pPr>
        <w:spacing w:after="0" w:line="140" w:lineRule="exact"/>
        <w:rPr>
          <w:sz w:val="20"/>
          <w:szCs w:val="20"/>
          <w:color w:val="auto"/>
        </w:rPr>
      </w:pPr>
    </w:p>
    <w:p>
      <w:pPr>
        <w:spacing w:after="0"/>
        <w:tabs>
          <w:tab w:leader="none" w:pos="860" w:val="left"/>
          <w:tab w:leader="none" w:pos="2440" w:val="left"/>
          <w:tab w:leader="none" w:pos="3220" w:val="left"/>
          <w:tab w:leader="none" w:pos="4180" w:val="left"/>
        </w:tabs>
        <w:rPr>
          <w:sz w:val="20"/>
          <w:szCs w:val="20"/>
          <w:color w:val="auto"/>
        </w:rPr>
      </w:pPr>
      <w:r>
        <w:rPr>
          <w:rFonts w:ascii="Courier New" w:cs="Courier New" w:eastAsia="Courier New" w:hAnsi="Courier New"/>
          <w:sz w:val="15"/>
          <w:szCs w:val="15"/>
          <w:color w:val="auto"/>
        </w:rPr>
        <w:t>A signed</w:t>
        <w:tab/>
        <w:t>original of this</w:t>
        <w:tab/>
        <w:t>written</w:t>
        <w:tab/>
        <w:t>statement</w:t>
      </w:r>
      <w:r>
        <w:rPr>
          <w:sz w:val="20"/>
          <w:szCs w:val="20"/>
          <w:color w:val="auto"/>
        </w:rPr>
        <w:tab/>
      </w:r>
      <w:r>
        <w:rPr>
          <w:rFonts w:ascii="Courier New" w:cs="Courier New" w:eastAsia="Courier New" w:hAnsi="Courier New"/>
          <w:sz w:val="14"/>
          <w:szCs w:val="14"/>
          <w:color w:val="auto"/>
        </w:rPr>
        <w:t>required by Section 906 has</w:t>
      </w:r>
    </w:p>
    <w:p>
      <w:pPr>
        <w:sectPr>
          <w:pgSz w:w="11900" w:h="16838" w:orient="portrait"/>
          <w:cols w:equalWidth="0" w:num="1">
            <w:col w:w="10239"/>
          </w:cols>
          <w:pgMar w:left="220" w:top="135" w:right="1440" w:bottom="1440" w:gutter="0" w:footer="0" w:header="0"/>
          <w:type w:val="continuous"/>
        </w:sectPr>
      </w:pPr>
    </w:p>
    <w:p>
      <w:pPr>
        <w:spacing w:after="0" w:line="5" w:lineRule="exact"/>
        <w:rPr>
          <w:sz w:val="20"/>
          <w:szCs w:val="20"/>
          <w:color w:val="auto"/>
        </w:rPr>
      </w:pPr>
    </w:p>
    <w:p>
      <w:pPr>
        <w:ind w:right="3239"/>
        <w:spacing w:after="0" w:line="261" w:lineRule="auto"/>
        <w:rPr>
          <w:sz w:val="20"/>
          <w:szCs w:val="20"/>
          <w:color w:val="auto"/>
        </w:rPr>
      </w:pPr>
      <w:r>
        <w:rPr>
          <w:rFonts w:ascii="Courier New" w:cs="Courier New" w:eastAsia="Courier New" w:hAnsi="Courier New"/>
          <w:sz w:val="14"/>
          <w:szCs w:val="14"/>
          <w:color w:val="auto"/>
        </w:rPr>
        <w:t>been provided to the Company and will be retained by the Company and furnished to the Securities and Exchange Commission or its staff upon request.</w:t>
      </w:r>
    </w:p>
    <w:sectPr>
      <w:pgSz w:w="11900" w:h="16838" w:orient="portrait"/>
      <w:cols w:equalWidth="0" w:num="1">
        <w:col w:w="10239"/>
      </w:cols>
      <w:pgMar w:left="220" w:top="13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12167AD"/>
    <w:multiLevelType w:val="hybridMultilevel"/>
    <w:lvl w:ilvl="0">
      <w:lvlJc w:val="left"/>
      <w:lvlText w:val="(%1)"/>
      <w:numFmt w:val="decimal"/>
      <w:start w:val="1"/>
    </w:lvl>
  </w:abstractNum>
  <w:abstractNum w:abstractNumId="1">
    <w:nsid w:val="631B64D4"/>
    <w:multiLevelType w:val="hybridMultilevel"/>
    <w:lvl w:ilvl="0">
      <w:lvlJc w:val="left"/>
      <w:lvlText w:val="(%1)"/>
      <w:numFmt w:val="decimal"/>
      <w:start w:val="5"/>
    </w:lvl>
  </w:abstractNum>
  <w:abstractNum w:abstractNumId="2">
    <w:nsid w:val="78B5E776"/>
    <w:multiLevelType w:val="hybridMultilevel"/>
    <w:lvl w:ilvl="0">
      <w:lvlJc w:val="left"/>
      <w:lvlText w:val="(%1)"/>
      <w:numFmt w:val="decimal"/>
      <w:start w:val="1"/>
    </w:lvl>
  </w:abstractNum>
  <w:abstractNum w:abstractNumId="3">
    <w:nsid w:val="75486E47"/>
    <w:multiLevelType w:val="hybridMultilevel"/>
    <w:lvl w:ilvl="0">
      <w:lvlJc w:val="left"/>
      <w:lvlText w:val="-"/>
      <w:numFmt w:val="bullet"/>
      <w:start w:val="1"/>
    </w:lvl>
  </w:abstractNum>
  <w:abstractNum w:abstractNumId="4">
    <w:nsid w:val="6E534CDE"/>
    <w:multiLevelType w:val="hybridMultilevel"/>
    <w:lvl w:ilvl="0">
      <w:lvlJc w:val="left"/>
      <w:lvlText w:val="(%1)"/>
      <w:numFmt w:val="decimal"/>
      <w:start w:val="1"/>
    </w:lvl>
  </w:abstractNum>
  <w:abstractNum w:abstractNumId="5">
    <w:nsid w:val="1A0DDE32"/>
    <w:multiLevelType w:val="hybridMultilevel"/>
    <w:lvl w:ilvl="0">
      <w:lvlJc w:val="left"/>
      <w:lvlText w:val="-"/>
      <w:numFmt w:val="bullet"/>
      <w:start w:val="1"/>
    </w:lvl>
  </w:abstractNum>
  <w:abstractNum w:abstractNumId="6">
    <w:nsid w:val="65968C1C"/>
    <w:multiLevelType w:val="hybridMultilevel"/>
    <w:lvl w:ilvl="0">
      <w:lvlJc w:val="left"/>
      <w:lvlText w:val="(%1)"/>
      <w:numFmt w:val="decimal"/>
      <w:start w:val="1"/>
    </w:lvl>
  </w:abstractNum>
  <w:abstractNum w:abstractNumId="7">
    <w:nsid w:val="46263DEC"/>
    <w:multiLevelType w:val="hybridMultilevel"/>
    <w:lvl w:ilvl="0">
      <w:lvlJc w:val="left"/>
      <w:lvlText w:val="(%1)"/>
      <w:numFmt w:val="decimal"/>
      <w:start w:val="1"/>
    </w:lvl>
  </w:abstractNum>
  <w:abstractNum w:abstractNumId="8">
    <w:nsid w:val="260D8C4A"/>
    <w:multiLevelType w:val="hybridMultilevel"/>
    <w:lvl w:ilvl="0">
      <w:lvlJc w:val="left"/>
      <w:lvlText w:val="(%1)"/>
      <w:numFmt w:val="decimal"/>
      <w:start w:val="1"/>
    </w:lvl>
  </w:abstractNum>
  <w:abstractNum w:abstractNumId="9">
    <w:nsid w:val="73D4D3C4"/>
    <w:multiLevelType w:val="hybridMultilevel"/>
    <w:lvl w:ilvl="0">
      <w:lvlJc w:val="left"/>
      <w:lvlText w:val="%1."/>
      <w:numFmt w:val="decimal"/>
      <w:start w:val="1"/>
    </w:lvl>
  </w:abstractNum>
  <w:abstractNum w:abstractNumId="10">
    <w:nsid w:val="746F2E30"/>
    <w:multiLevelType w:val="hybridMultilevel"/>
    <w:lvl w:ilvl="0">
      <w:lvlJc w:val="left"/>
      <w:lvlText w:val="%1."/>
      <w:numFmt w:val="decimal"/>
      <w:start w:val="2"/>
    </w:lvl>
  </w:abstractNum>
  <w:abstractNum w:abstractNumId="11">
    <w:nsid w:val="6FDE8AF6"/>
    <w:multiLevelType w:val="hybridMultilevel"/>
    <w:lvl w:ilvl="0">
      <w:lvlJc w:val="left"/>
      <w:lvlText w:val="%1."/>
      <w:numFmt w:val="decimal"/>
      <w:start w:val="3"/>
    </w:lvl>
  </w:abstractNum>
  <w:abstractNum w:abstractNumId="12">
    <w:nsid w:val="3FC32E20"/>
    <w:multiLevelType w:val="hybridMultilevel"/>
    <w:lvl w:ilvl="0">
      <w:lvlJc w:val="left"/>
      <w:lvlText w:val="%1."/>
      <w:numFmt w:val="decimal"/>
      <w:start w:val="4"/>
    </w:lvl>
  </w:abstractNum>
  <w:abstractNum w:abstractNumId="13">
    <w:nsid w:val="49C0E823"/>
    <w:multiLevelType w:val="hybridMultilevel"/>
    <w:lvl w:ilvl="0">
      <w:lvlJc w:val="left"/>
      <w:lvlText w:val="(%1)"/>
      <w:numFmt w:val="decimal"/>
      <w:start w:val="1"/>
    </w:lvl>
  </w:abstractNum>
  <w:abstractNum w:abstractNumId="14">
    <w:nsid w:val="14D53685"/>
    <w:multiLevelType w:val="hybridMultilevel"/>
    <w:lvl w:ilvl="0">
      <w:lvlJc w:val="left"/>
      <w:lvlText w:val="(%1)"/>
      <w:numFmt w:val="decimal"/>
      <w:start w:val="1"/>
    </w:lvl>
  </w:abstractNum>
  <w:abstractNum w:abstractNumId="15">
    <w:nsid w:val="230F856C"/>
    <w:multiLevelType w:val="hybridMultilevel"/>
    <w:lvl w:ilvl="0">
      <w:lvlJc w:val="left"/>
      <w:lvlText w:val="-"/>
      <w:numFmt w:val="bullet"/>
      <w:start w:val="1"/>
    </w:lvl>
  </w:abstractNum>
  <w:abstractNum w:abstractNumId="16">
    <w:nsid w:val="6EAA85FB"/>
    <w:multiLevelType w:val="hybridMultilevel"/>
    <w:lvl w:ilvl="0">
      <w:lvlJc w:val="left"/>
      <w:lvlText w:val="-"/>
      <w:numFmt w:val="bullet"/>
      <w:start w:val="1"/>
    </w:lvl>
  </w:abstractNum>
  <w:abstractNum w:abstractNumId="17">
    <w:nsid w:val="3F06ECB2"/>
    <w:multiLevelType w:val="hybridMultilevel"/>
    <w:lvl w:ilvl="0">
      <w:lvlJc w:val="left"/>
      <w:lvlText w:val="(%1)"/>
      <w:numFmt w:val="decimal"/>
      <w:start w:val="1"/>
    </w:lvl>
  </w:abstractNum>
  <w:abstractNum w:abstractNumId="18">
    <w:nsid w:val="3B594807"/>
    <w:multiLevelType w:val="hybridMultilevel"/>
    <w:lvl w:ilvl="0">
      <w:lvlJc w:val="left"/>
      <w:lvlText w:val="-"/>
      <w:numFmt w:val="bullet"/>
      <w:start w:val="1"/>
    </w:lvl>
  </w:abstractNum>
  <w:abstractNum w:abstractNumId="19">
    <w:nsid w:val="6CAA2304"/>
    <w:multiLevelType w:val="hybridMultilevel"/>
    <w:lvl w:ilvl="0">
      <w:lvlJc w:val="left"/>
      <w:lvlText w:val="-"/>
      <w:numFmt w:val="bullet"/>
      <w:start w:val="1"/>
    </w:lvl>
  </w:abstractNum>
  <w:abstractNum w:abstractNumId="20">
    <w:nsid w:val="3F7C2FF4"/>
    <w:multiLevelType w:val="hybridMultilevel"/>
    <w:lvl w:ilvl="0">
      <w:lvlJc w:val="left"/>
      <w:lvlText w:val="(%1)"/>
      <w:numFmt w:val="decimal"/>
      <w:start w:val="1"/>
    </w:lvl>
  </w:abstractNum>
  <w:abstractNum w:abstractNumId="21">
    <w:nsid w:val="25413BEC"/>
    <w:multiLevelType w:val="hybridMultilevel"/>
    <w:lvl w:ilvl="0">
      <w:lvlJc w:val="left"/>
      <w:lvlText w:val="-"/>
      <w:numFmt w:val="bullet"/>
      <w:start w:val="1"/>
    </w:lvl>
  </w:abstractNum>
  <w:abstractNum w:abstractNumId="22">
    <w:nsid w:val="17180B0B"/>
    <w:multiLevelType w:val="hybridMultilevel"/>
    <w:lvl w:ilvl="0">
      <w:lvlJc w:val="left"/>
      <w:lvlText w:val="-"/>
      <w:numFmt w:val="bullet"/>
      <w:start w:val="1"/>
    </w:lvl>
  </w:abstractNum>
  <w:abstractNum w:abstractNumId="23">
    <w:nsid w:val="579328B9"/>
    <w:multiLevelType w:val="hybridMultilevel"/>
    <w:lvl w:ilvl="0">
      <w:lvlJc w:val="left"/>
      <w:lvlText w:val="-"/>
      <w:numFmt w:val="bullet"/>
      <w:start w:val="1"/>
    </w:lvl>
  </w:abstractNum>
  <w:abstractNum w:abstractNumId="24">
    <w:nsid w:val="5D205E20"/>
    <w:multiLevelType w:val="hybridMultilevel"/>
    <w:lvl w:ilvl="0">
      <w:lvlJc w:val="left"/>
      <w:lvlText w:val="-"/>
      <w:numFmt w:val="bullet"/>
      <w:start w:val="1"/>
    </w:lvl>
  </w:abstractNum>
  <w:abstractNum w:abstractNumId="25">
    <w:nsid w:val="11CCA8BA"/>
    <w:multiLevelType w:val="hybridMultilevel"/>
    <w:lvl w:ilvl="0">
      <w:lvlJc w:val="left"/>
      <w:lvlText w:val="-"/>
      <w:numFmt w:val="bullet"/>
      <w:start w:val="1"/>
    </w:lvl>
  </w:abstractNum>
  <w:abstractNum w:abstractNumId="26">
    <w:nsid w:val="4D32AB86"/>
    <w:multiLevelType w:val="hybridMultilevel"/>
    <w:lvl w:ilvl="0">
      <w:lvlJc w:val="left"/>
      <w:lvlText w:val="-"/>
      <w:numFmt w:val="bullet"/>
      <w:start w:val="1"/>
    </w:lvl>
  </w:abstractNum>
  <w:abstractNum w:abstractNumId="27">
    <w:nsid w:val="3F07ACC3"/>
    <w:multiLevelType w:val="hybridMultilevel"/>
    <w:lvl w:ilvl="0">
      <w:lvlJc w:val="left"/>
      <w:lvlText w:val="(%1)"/>
      <w:numFmt w:val="lowerRoman"/>
      <w:start w:val="2"/>
    </w:lvl>
  </w:abstractNum>
  <w:abstractNum w:abstractNumId="28">
    <w:nsid w:val="6B47F63E"/>
    <w:multiLevelType w:val="hybridMultilevel"/>
    <w:lvl w:ilvl="0">
      <w:lvlJc w:val="left"/>
      <w:lvlText w:val="(%1)"/>
      <w:numFmt w:val="decimal"/>
      <w:start w:val="1"/>
    </w:lvl>
  </w:abstractNum>
  <w:abstractNum w:abstractNumId="29">
    <w:nsid w:val="5CB44A05"/>
    <w:multiLevelType w:val="hybridMultilevel"/>
    <w:lvl w:ilvl="0">
      <w:lvlJc w:val="left"/>
      <w:lvlText w:val="(%1)"/>
      <w:numFmt w:val="decimal"/>
      <w:start w:val="1"/>
    </w:lvl>
  </w:abstractNum>
  <w:abstractNum w:abstractNumId="30">
    <w:nsid w:val="16CF80F1"/>
    <w:multiLevelType w:val="hybridMultilevel"/>
    <w:lvl w:ilvl="0">
      <w:lvlJc w:val="left"/>
      <w:lvlText w:val="(%1)"/>
      <w:numFmt w:val="decimal"/>
      <w:start w:val="1"/>
    </w:lvl>
  </w:abstractNum>
  <w:abstractNum w:abstractNumId="31">
    <w:nsid w:val="1C695DEC"/>
    <w:multiLevelType w:val="hybridMultilevel"/>
    <w:lvl w:ilvl="0">
      <w:lvlJc w:val="left"/>
      <w:lvlText w:val="(%1)"/>
      <w:numFmt w:val="decimal"/>
      <w:start w:val="1"/>
    </w:lvl>
  </w:abstractNum>
  <w:abstractNum w:abstractNumId="32">
    <w:nsid w:val="3FCFAED9"/>
    <w:multiLevelType w:val="hybridMultilevel"/>
    <w:lvl w:ilvl="0">
      <w:lvlJc w:val="left"/>
      <w:lvlText w:val="-"/>
      <w:numFmt w:val="bullet"/>
      <w:start w:val="1"/>
    </w:lvl>
  </w:abstractNum>
  <w:abstractNum w:abstractNumId="33">
    <w:nsid w:val="F856867"/>
    <w:multiLevelType w:val="hybridMultilevel"/>
    <w:lvl w:ilvl="0">
      <w:lvlJc w:val="left"/>
      <w:lvlText w:val="(%1)"/>
      <w:numFmt w:val="decimal"/>
      <w:start w:val="1"/>
    </w:lvl>
  </w:abstractNum>
  <w:abstractNum w:abstractNumId="34">
    <w:nsid w:val="11B1CC33"/>
    <w:multiLevelType w:val="hybridMultilevel"/>
    <w:lvl w:ilvl="0">
      <w:lvlJc w:val="left"/>
      <w:lvlText w:val="(%1)"/>
      <w:numFmt w:val="decimal"/>
      <w:start w:val="1"/>
    </w:lvl>
  </w:abstractNum>
  <w:abstractNum w:abstractNumId="35">
    <w:nsid w:val="2E22FBB7"/>
    <w:multiLevelType w:val="hybridMultilevel"/>
    <w:lvl w:ilvl="0">
      <w:lvlJc w:val="left"/>
      <w:lvlText w:val="-"/>
      <w:numFmt w:val="bullet"/>
      <w:start w:val="1"/>
    </w:lvl>
  </w:abstractNum>
  <w:abstractNum w:abstractNumId="36">
    <w:nsid w:val="29934699"/>
    <w:multiLevelType w:val="hybridMultilevel"/>
    <w:lvl w:ilvl="0">
      <w:lvlJc w:val="left"/>
      <w:lvlText w:val="(%1)"/>
      <w:numFmt w:val="decimal"/>
      <w:start w:val="1"/>
    </w:lvl>
  </w:abstractNum>
  <w:abstractNum w:abstractNumId="37">
    <w:nsid w:val="77485850"/>
    <w:multiLevelType w:val="hybridMultilevel"/>
    <w:lvl w:ilvl="0">
      <w:lvlJc w:val="left"/>
      <w:lvlText w:val="(%1)"/>
      <w:numFmt w:val="decimal"/>
      <w:start w:val="1"/>
    </w:lvl>
  </w:abstractNum>
  <w:abstractNum w:abstractNumId="38">
    <w:nsid w:val="744939A3"/>
    <w:multiLevelType w:val="hybridMultilevel"/>
    <w:lvl w:ilvl="0">
      <w:lvlJc w:val="left"/>
      <w:lvlText w:val="-"/>
      <w:numFmt w:val="bullet"/>
      <w:start w:val="1"/>
    </w:lvl>
  </w:abstractNum>
  <w:abstractNum w:abstractNumId="39">
    <w:nsid w:val="4FA0D2E3"/>
    <w:multiLevelType w:val="hybridMultilevel"/>
    <w:lvl w:ilvl="0">
      <w:lvlJc w:val="left"/>
      <w:lvlText w:val="-"/>
      <w:numFmt w:val="bullet"/>
      <w:start w:val="1"/>
    </w:lvl>
  </w:abstractNum>
  <w:abstractNum w:abstractNumId="40">
    <w:nsid w:val="6B1D2C14"/>
    <w:multiLevelType w:val="hybridMultilevel"/>
    <w:lvl w:ilvl="0">
      <w:lvlJc w:val="left"/>
      <w:lvlText w:val="-"/>
      <w:numFmt w:val="bullet"/>
      <w:start w:val="1"/>
    </w:lvl>
  </w:abstractNum>
  <w:abstractNum w:abstractNumId="41">
    <w:nsid w:val="68B867D3"/>
    <w:multiLevelType w:val="hybridMultilevel"/>
    <w:lvl w:ilvl="0">
      <w:lvlJc w:val="left"/>
      <w:lvlText w:val="-"/>
      <w:numFmt w:val="bullet"/>
      <w:start w:val="1"/>
    </w:lvl>
  </w:abstractNum>
  <w:abstractNum w:abstractNumId="42">
    <w:nsid w:val="3F7F5DD9"/>
    <w:multiLevelType w:val="hybridMultilevel"/>
    <w:lvl w:ilvl="0">
      <w:lvlJc w:val="left"/>
      <w:lvlText w:val="-"/>
      <w:numFmt w:val="bullet"/>
      <w:start w:val="1"/>
    </w:lvl>
  </w:abstractNum>
  <w:abstractNum w:abstractNumId="43">
    <w:nsid w:val="2AE05A34"/>
    <w:multiLevelType w:val="hybridMultilevel"/>
    <w:lvl w:ilvl="0">
      <w:lvlJc w:val="left"/>
      <w:lvlText w:val="-"/>
      <w:numFmt w:val="bullet"/>
      <w:start w:val="1"/>
    </w:lvl>
  </w:abstractNum>
  <w:abstractNum w:abstractNumId="44">
    <w:nsid w:val="32794FF7"/>
    <w:multiLevelType w:val="hybridMultilevel"/>
    <w:lvl w:ilvl="0">
      <w:lvlJc w:val="left"/>
      <w:lvlText w:val="-"/>
      <w:numFmt w:val="bullet"/>
      <w:start w:val="1"/>
    </w:lvl>
  </w:abstractNum>
  <w:abstractNum w:abstractNumId="45">
    <w:nsid w:val="5454945E"/>
    <w:multiLevelType w:val="hybridMultilevel"/>
    <w:lvl w:ilvl="0">
      <w:lvlJc w:val="left"/>
      <w:lvlText w:val="-"/>
      <w:numFmt w:val="bullet"/>
      <w:start w:val="1"/>
    </w:lvl>
  </w:abstractNum>
  <w:abstractNum w:abstractNumId="46">
    <w:nsid w:val="4DEFDFA0"/>
    <w:multiLevelType w:val="hybridMultilevel"/>
    <w:lvl w:ilvl="0">
      <w:lvlJc w:val="left"/>
      <w:lvlText w:val="-"/>
      <w:numFmt w:val="bullet"/>
      <w:start w:val="1"/>
    </w:lvl>
  </w:abstractNum>
  <w:abstractNum w:abstractNumId="47">
    <w:nsid w:val="2123D5F2"/>
    <w:multiLevelType w:val="hybridMultilevel"/>
    <w:lvl w:ilvl="0">
      <w:lvlJc w:val="left"/>
      <w:lvlText w:val="-"/>
      <w:numFmt w:val="bullet"/>
      <w:start w:val="1"/>
    </w:lvl>
  </w:abstractNum>
  <w:abstractNum w:abstractNumId="48">
    <w:nsid w:val="135B8110"/>
    <w:multiLevelType w:val="hybridMultilevel"/>
    <w:lvl w:ilvl="0">
      <w:lvlJc w:val="left"/>
      <w:lvlText w:val="-"/>
      <w:numFmt w:val="bullet"/>
      <w:start w:val="1"/>
    </w:lvl>
  </w:abstractNum>
  <w:abstractNum w:abstractNumId="49">
    <w:nsid w:val="94927A8"/>
    <w:multiLevelType w:val="hybridMultilevel"/>
    <w:lvl w:ilvl="0">
      <w:lvlJc w:val="left"/>
      <w:lvlText w:val="-"/>
      <w:numFmt w:val="bullet"/>
      <w:start w:val="1"/>
    </w:lvl>
  </w:abstractNum>
  <w:abstractNum w:abstractNumId="50">
    <w:nsid w:val="DCDF8F6"/>
    <w:multiLevelType w:val="hybridMultilevel"/>
    <w:lvl w:ilvl="0">
      <w:lvlJc w:val="left"/>
      <w:lvlText w:val="-"/>
      <w:numFmt w:val="bullet"/>
      <w:start w:val="1"/>
    </w:lvl>
  </w:abstractNum>
  <w:abstractNum w:abstractNumId="51">
    <w:nsid w:val="52D7B105"/>
    <w:multiLevelType w:val="hybridMultilevel"/>
    <w:lvl w:ilvl="0">
      <w:lvlJc w:val="left"/>
      <w:lvlText w:val="-"/>
      <w:numFmt w:val="bullet"/>
      <w:start w:val="1"/>
    </w:lvl>
  </w:abstractNum>
  <w:abstractNum w:abstractNumId="52">
    <w:nsid w:val="2E8A6394"/>
    <w:multiLevelType w:val="hybridMultilevel"/>
    <w:lvl w:ilvl="0">
      <w:lvlJc w:val="left"/>
      <w:lvlText w:val="-"/>
      <w:numFmt w:val="bullet"/>
      <w:start w:val="1"/>
    </w:lvl>
  </w:abstractNum>
  <w:abstractNum w:abstractNumId="53">
    <w:nsid w:val="24E60401"/>
    <w:multiLevelType w:val="hybridMultilevel"/>
    <w:lvl w:ilvl="0">
      <w:lvlJc w:val="left"/>
      <w:lvlText w:val="-"/>
      <w:numFmt w:val="bullet"/>
      <w:start w:val="1"/>
    </w:lvl>
  </w:abstractNum>
  <w:abstractNum w:abstractNumId="54">
    <w:nsid w:val="2A6AD9BE"/>
    <w:multiLevelType w:val="hybridMultilevel"/>
    <w:lvl w:ilvl="0">
      <w:lvlJc w:val="left"/>
      <w:lvlText w:val="-"/>
      <w:numFmt w:val="bullet"/>
      <w:start w:val="1"/>
    </w:lvl>
  </w:abstractNum>
  <w:abstractNum w:abstractNumId="55">
    <w:nsid w:val="BAAC1B4"/>
    <w:multiLevelType w:val="hybridMultilevel"/>
    <w:lvl w:ilvl="0">
      <w:lvlJc w:val="left"/>
      <w:lvlText w:val="-"/>
      <w:numFmt w:val="bullet"/>
      <w:start w:val="1"/>
    </w:lvl>
  </w:abstractNum>
  <w:abstractNum w:abstractNumId="56">
    <w:nsid w:val="36B2ACBC"/>
    <w:multiLevelType w:val="hybridMultilevel"/>
    <w:lvl w:ilvl="0">
      <w:lvlJc w:val="left"/>
      <w:lvlText w:val="-"/>
      <w:numFmt w:val="bullet"/>
      <w:start w:val="1"/>
    </w:lvl>
  </w:abstractNum>
  <w:abstractNum w:abstractNumId="57">
    <w:nsid w:val="779D8544"/>
    <w:multiLevelType w:val="hybridMultilevel"/>
    <w:lvl w:ilvl="0">
      <w:lvlJc w:val="left"/>
      <w:lvlText w:val="-"/>
      <w:numFmt w:val="bullet"/>
      <w:start w:val="1"/>
    </w:lvl>
  </w:abstractNum>
  <w:abstractNum w:abstractNumId="58">
    <w:nsid w:val="4AB26E78"/>
    <w:multiLevelType w:val="hybridMultilevel"/>
    <w:lvl w:ilvl="0">
      <w:lvlJc w:val="left"/>
      <w:lvlText w:val="-"/>
      <w:numFmt w:val="bullet"/>
      <w:start w:val="1"/>
    </w:lvl>
  </w:abstractNum>
  <w:abstractNum w:abstractNumId="59">
    <w:nsid w:val="21FAA2FA"/>
    <w:multiLevelType w:val="hybridMultilevel"/>
    <w:lvl w:ilvl="0">
      <w:lvlJc w:val="left"/>
      <w:lvlText w:val="-"/>
      <w:numFmt w:val="bullet"/>
      <w:start w:val="1"/>
    </w:lvl>
  </w:abstractNum>
  <w:abstractNum w:abstractNumId="60">
    <w:nsid w:val="5451CF49"/>
    <w:multiLevelType w:val="hybridMultilevel"/>
    <w:lvl w:ilvl="0">
      <w:lvlJc w:val="left"/>
      <w:lvlText w:val="-"/>
      <w:numFmt w:val="bullet"/>
      <w:start w:val="1"/>
    </w:lvl>
  </w:abstractNum>
  <w:abstractNum w:abstractNumId="61">
    <w:nsid w:val="6181EF69"/>
    <w:multiLevelType w:val="hybridMultilevel"/>
    <w:lvl w:ilvl="0">
      <w:lvlJc w:val="left"/>
      <w:lvlText w:val="-"/>
      <w:numFmt w:val="bullet"/>
      <w:start w:val="1"/>
    </w:lvl>
  </w:abstractNum>
  <w:abstractNum w:abstractNumId="62">
    <w:nsid w:val="3E6400E6"/>
    <w:multiLevelType w:val="hybridMultilevel"/>
    <w:lvl w:ilvl="0">
      <w:lvlJc w:val="left"/>
      <w:lvlText w:val="-"/>
      <w:numFmt w:val="bullet"/>
      <w:start w:val="1"/>
    </w:lvl>
  </w:abstractNum>
  <w:abstractNum w:abstractNumId="63">
    <w:nsid w:val="14217E23"/>
    <w:multiLevelType w:val="hybridMultilevel"/>
    <w:lvl w:ilvl="0">
      <w:lvlJc w:val="left"/>
      <w:lvlText w:val="-"/>
      <w:numFmt w:val="bullet"/>
      <w:start w:val="1"/>
    </w:lvl>
  </w:abstractNum>
  <w:abstractNum w:abstractNumId="64">
    <w:nsid w:val="710757D0"/>
    <w:multiLevelType w:val="hybridMultilevel"/>
    <w:lvl w:ilvl="0">
      <w:lvlJc w:val="left"/>
      <w:lvlText w:val="-"/>
      <w:numFmt w:val="bullet"/>
      <w:start w:val="1"/>
    </w:lvl>
  </w:abstractNum>
  <w:abstractNum w:abstractNumId="65">
    <w:nsid w:val="5015CD1A"/>
    <w:multiLevelType w:val="hybridMultilevel"/>
    <w:lvl w:ilvl="0">
      <w:lvlJc w:val="left"/>
      <w:lvlText w:val="-"/>
      <w:numFmt w:val="bullet"/>
      <w:start w:val="1"/>
    </w:lvl>
  </w:abstractNum>
  <w:abstractNum w:abstractNumId="66">
    <w:nsid w:val="424479DA"/>
    <w:multiLevelType w:val="hybridMultilevel"/>
    <w:lvl w:ilvl="0">
      <w:lvlJc w:val="left"/>
      <w:lvlText w:val="-"/>
      <w:numFmt w:val="bullet"/>
      <w:start w:val="1"/>
    </w:lvl>
  </w:abstractNum>
  <w:abstractNum w:abstractNumId="67">
    <w:nsid w:val="1A9A9E69"/>
    <w:multiLevelType w:val="hybridMultilevel"/>
    <w:lvl w:ilvl="0">
      <w:lvlJc w:val="left"/>
      <w:lvlText w:val="-"/>
      <w:numFmt w:val="bullet"/>
      <w:start w:val="1"/>
    </w:lvl>
  </w:abstractNum>
  <w:abstractNum w:abstractNumId="68">
    <w:nsid w:val="475E256A"/>
    <w:multiLevelType w:val="hybridMultilevel"/>
    <w:lvl w:ilvl="0">
      <w:lvlJc w:val="left"/>
      <w:lvlText w:val="-"/>
      <w:numFmt w:val="bullet"/>
      <w:start w:val="1"/>
    </w:lvl>
  </w:abstractNum>
  <w:abstractNum w:abstractNumId="69">
    <w:nsid w:val="368DB37E"/>
    <w:multiLevelType w:val="hybridMultilevel"/>
    <w:lvl w:ilvl="0">
      <w:lvlJc w:val="left"/>
      <w:lvlText w:val="(%1)"/>
      <w:numFmt w:val="decimal"/>
      <w:start w:val="1"/>
    </w:lvl>
  </w:abstractNum>
  <w:abstractNum w:abstractNumId="70">
    <w:nsid w:val="6A3B714C"/>
    <w:multiLevelType w:val="hybridMultilevel"/>
    <w:lvl w:ilvl="0">
      <w:lvlJc w:val="left"/>
      <w:lvlText w:val="--"/>
      <w:numFmt w:val="bullet"/>
      <w:start w:val="1"/>
    </w:lvl>
  </w:abstractNum>
  <w:abstractNum w:abstractNumId="71">
    <w:nsid w:val="327B517E"/>
    <w:multiLevelType w:val="hybridMultilevel"/>
    <w:lvl w:ilvl="0">
      <w:lvlJc w:val="left"/>
      <w:lvlText w:val="(%1)"/>
      <w:numFmt w:val="decimal"/>
      <w:start w:val="1"/>
    </w:lvl>
  </w:abstractNum>
  <w:abstractNum w:abstractNumId="72">
    <w:nsid w:val="1F461B51"/>
    <w:multiLevelType w:val="hybridMultilevel"/>
    <w:lvl w:ilvl="0">
      <w:lvlJc w:val="left"/>
      <w:lvlText w:val="-"/>
      <w:numFmt w:val="bullet"/>
      <w:start w:val="1"/>
    </w:lvl>
  </w:abstractNum>
  <w:abstractNum w:abstractNumId="73">
    <w:nsid w:val="29BACF25"/>
    <w:multiLevelType w:val="hybridMultilevel"/>
    <w:lvl w:ilvl="0">
      <w:lvlJc w:val="left"/>
      <w:lvlText w:val="-"/>
      <w:numFmt w:val="bullet"/>
      <w:start w:val="1"/>
    </w:lvl>
    <w:lvl w:ilvl="1">
      <w:lvlJc w:val="left"/>
      <w:lvlText w:val="-"/>
      <w:numFmt w:val="bullet"/>
      <w:start w:val="1"/>
    </w:lvl>
  </w:abstractNum>
  <w:abstractNum w:abstractNumId="74">
    <w:nsid w:val="5D5BABB3"/>
    <w:multiLevelType w:val="hybridMultilevel"/>
    <w:lvl w:ilvl="0">
      <w:lvlJc w:val="left"/>
      <w:lvlText w:val="-"/>
      <w:numFmt w:val="bullet"/>
      <w:start w:val="1"/>
    </w:lvl>
  </w:abstractNum>
  <w:abstractNum w:abstractNumId="75">
    <w:nsid w:val="51BF6B48"/>
    <w:multiLevelType w:val="hybridMultilevel"/>
    <w:lvl w:ilvl="0">
      <w:lvlJc w:val="left"/>
      <w:lvlText w:val="-"/>
      <w:numFmt w:val="bullet"/>
      <w:start w:val="1"/>
    </w:lvl>
  </w:abstractNum>
  <w:abstractNum w:abstractNumId="76">
    <w:nsid w:val="7E0F6384"/>
    <w:multiLevelType w:val="hybridMultilevel"/>
    <w:lvl w:ilvl="0">
      <w:lvlJc w:val="left"/>
      <w:lvlText w:val="-"/>
      <w:numFmt w:val="bullet"/>
      <w:start w:val="1"/>
    </w:lvl>
  </w:abstractNum>
  <w:abstractNum w:abstractNumId="77">
    <w:nsid w:val="2B4B8B53"/>
    <w:multiLevelType w:val="hybridMultilevel"/>
    <w:lvl w:ilvl="0">
      <w:lvlJc w:val="left"/>
      <w:lvlText w:val="(%1)"/>
      <w:numFmt w:val="decimal"/>
      <w:start w:val="1"/>
    </w:lvl>
  </w:abstractNum>
  <w:abstractNum w:abstractNumId="78">
    <w:nsid w:val="72E3413A"/>
    <w:multiLevelType w:val="hybridMultilevel"/>
    <w:lvl w:ilvl="0">
      <w:lvlJc w:val="left"/>
      <w:lvlText w:val="-"/>
      <w:numFmt w:val="bullet"/>
      <w:start w:val="1"/>
    </w:lvl>
  </w:abstractNum>
  <w:abstractNum w:abstractNumId="79">
    <w:nsid w:val="116AE494"/>
    <w:multiLevelType w:val="hybridMultilevel"/>
    <w:lvl w:ilvl="0">
      <w:lvlJc w:val="left"/>
      <w:lvlText w:val="-"/>
      <w:numFmt w:val="bullet"/>
      <w:start w:val="1"/>
    </w:lvl>
  </w:abstractNum>
  <w:abstractNum w:abstractNumId="80">
    <w:nsid w:val="3494B2FB"/>
    <w:multiLevelType w:val="hybridMultilevel"/>
    <w:lvl w:ilvl="0">
      <w:lvlJc w:val="left"/>
      <w:lvlText w:val="0"/>
      <w:numFmt w:val="bullet"/>
      <w:start w:val="1"/>
    </w:lvl>
  </w:abstractNum>
  <w:abstractNum w:abstractNumId="81">
    <w:nsid w:val="B13A31"/>
    <w:multiLevelType w:val="hybridMultilevel"/>
    <w:lvl w:ilvl="0">
      <w:lvlJc w:val="left"/>
      <w:lvlText w:val="0"/>
      <w:numFmt w:val="bullet"/>
      <w:start w:val="1"/>
    </w:lvl>
  </w:abstractNum>
  <w:abstractNum w:abstractNumId="82">
    <w:nsid w:val="64429599"/>
    <w:multiLevelType w:val="hybridMultilevel"/>
    <w:lvl w:ilvl="0">
      <w:lvlJc w:val="left"/>
      <w:lvlText w:val="(%1)"/>
      <w:numFmt w:val="decimal"/>
      <w:start w:val="1"/>
    </w:lvl>
  </w:abstractNum>
  <w:abstractNum w:abstractNumId="83">
    <w:nsid w:val="631F1690"/>
    <w:multiLevelType w:val="hybridMultilevel"/>
    <w:lvl w:ilvl="0">
      <w:lvlJc w:val="left"/>
      <w:lvlText w:val="(%1)"/>
      <w:numFmt w:val="decimal"/>
      <w:start w:val="1"/>
    </w:lvl>
  </w:abstractNum>
  <w:abstractNum w:abstractNumId="84">
    <w:nsid w:val="25973E32"/>
    <w:multiLevelType w:val="hybridMultilevel"/>
    <w:lvl w:ilvl="0">
      <w:lvlJc w:val="left"/>
      <w:lvlText w:val="(%1)"/>
      <w:numFmt w:val="decimal"/>
      <w:start w:val="1"/>
    </w:lvl>
  </w:abstractNum>
  <w:abstractNum w:abstractNumId="85">
    <w:nsid w:val="EAD6F57"/>
    <w:multiLevelType w:val="hybridMultilevel"/>
    <w:lvl w:ilvl="0">
      <w:lvlJc w:val="left"/>
      <w:lvlText w:val="-"/>
      <w:numFmt w:val="bullet"/>
      <w:start w:val="1"/>
    </w:lvl>
  </w:abstractNum>
  <w:abstractNum w:abstractNumId="86">
    <w:nsid w:val="6EC9D844"/>
    <w:multiLevelType w:val="hybridMultilevel"/>
    <w:lvl w:ilvl="0">
      <w:lvlJc w:val="left"/>
      <w:lvlText w:val="(%1)"/>
      <w:numFmt w:val="decimal"/>
      <w:start w:val="1"/>
    </w:lvl>
  </w:abstractNum>
  <w:abstractNum w:abstractNumId="87">
    <w:nsid w:val="5C49EAEE"/>
    <w:multiLevelType w:val="hybridMultilevel"/>
    <w:lvl w:ilvl="0">
      <w:lvlJc w:val="left"/>
      <w:lvlText w:val="(%1)"/>
      <w:numFmt w:val="decimal"/>
      <w:start w:val="1"/>
    </w:lvl>
  </w:abstractNum>
  <w:abstractNum w:abstractNumId="88">
    <w:nsid w:val="64AF49B"/>
    <w:multiLevelType w:val="hybridMultilevel"/>
    <w:lvl w:ilvl="0">
      <w:lvlJc w:val="left"/>
      <w:lvlText w:val="(%1)"/>
      <w:numFmt w:val="decimal"/>
      <w:start w:val="1"/>
    </w:lvl>
  </w:abstractNum>
  <w:abstractNum w:abstractNumId="89">
    <w:nsid w:val="397C46BC"/>
    <w:multiLevelType w:val="hybridMultilevel"/>
    <w:lvl w:ilvl="0">
      <w:lvlJc w:val="left"/>
      <w:lvlText w:val="(%1)"/>
      <w:numFmt w:val="decimal"/>
      <w:start w:val="1"/>
    </w:lvl>
  </w:abstractNum>
  <w:abstractNum w:abstractNumId="90">
    <w:nsid w:val="7E448DE9"/>
    <w:multiLevelType w:val="hybridMultilevel"/>
    <w:lvl w:ilvl="0">
      <w:lvlJc w:val="left"/>
      <w:lvlText w:val="%1."/>
      <w:numFmt w:val="decimal"/>
      <w:start w:val="6"/>
    </w:lvl>
  </w:abstractNum>
  <w:abstractNum w:abstractNumId="91">
    <w:nsid w:val="5A9CC3E5"/>
    <w:multiLevelType w:val="hybridMultilevel"/>
    <w:lvl w:ilvl="0">
      <w:lvlJc w:val="left"/>
      <w:lvlText w:val="(%1)"/>
      <w:numFmt w:val="lowerRoman"/>
      <w:start w:val="2"/>
    </w:lvl>
  </w:abstractNum>
  <w:abstractNum w:abstractNumId="92">
    <w:nsid w:val="1AFE3625"/>
    <w:multiLevelType w:val="hybridMultilevel"/>
    <w:lvl w:ilvl="0">
      <w:lvlJc w:val="left"/>
      <w:lvlText w:val="-"/>
      <w:numFmt w:val="bullet"/>
      <w:start w:val="1"/>
    </w:lvl>
  </w:abstractNum>
  <w:abstractNum w:abstractNumId="93">
    <w:nsid w:val="3CA88ECF"/>
    <w:multiLevelType w:val="hybridMultilevel"/>
    <w:lvl w:ilvl="0">
      <w:lvlJc w:val="left"/>
      <w:lvlText w:val="-"/>
      <w:numFmt w:val="bullet"/>
      <w:start w:val="1"/>
    </w:lvl>
  </w:abstractNum>
  <w:abstractNum w:abstractNumId="94">
    <w:nsid w:val="6EBE4208"/>
    <w:multiLevelType w:val="hybridMultilevel"/>
    <w:lvl w:ilvl="0">
      <w:lvlJc w:val="left"/>
      <w:lvlText w:val="(%1)"/>
      <w:numFmt w:val="decimal"/>
      <w:start w:val="1"/>
    </w:lvl>
  </w:abstractNum>
  <w:abstractNum w:abstractNumId="95">
    <w:nsid w:val="C058DF5"/>
    <w:multiLevelType w:val="hybridMultilevel"/>
    <w:lvl w:ilvl="0">
      <w:lvlJc w:val="left"/>
      <w:lvlText w:val="(%1)"/>
      <w:numFmt w:val="decimal"/>
      <w:start w:val="1"/>
    </w:lvl>
  </w:abstractNum>
  <w:abstractNum w:abstractNumId="96">
    <w:nsid w:val="CBE5BE9"/>
    <w:multiLevelType w:val="hybridMultilevel"/>
    <w:lvl w:ilvl="0">
      <w:lvlJc w:val="left"/>
      <w:lvlText w:val="(%1)"/>
      <w:numFmt w:val="lowerLetter"/>
      <w:start w:val="1"/>
    </w:lvl>
  </w:abstractNum>
  <w:abstractNum w:abstractNumId="97">
    <w:nsid w:val="3102BBE2"/>
    <w:multiLevelType w:val="hybridMultilevel"/>
    <w:lvl w:ilvl="0">
      <w:lvlJc w:val="left"/>
      <w:lvlText w:val="-"/>
      <w:numFmt w:val="bullet"/>
      <w:start w:val="1"/>
    </w:lvl>
  </w:abstractNum>
  <w:abstractNum w:abstractNumId="98">
    <w:nsid w:val="26A02C5E"/>
    <w:multiLevelType w:val="hybridMultilevel"/>
    <w:lvl w:ilvl="0">
      <w:lvlJc w:val="left"/>
      <w:lvlText w:val="-"/>
      <w:numFmt w:val="bullet"/>
      <w:start w:val="1"/>
    </w:lvl>
  </w:abstractNum>
  <w:abstractNum w:abstractNumId="99">
    <w:nsid w:val="541C8153"/>
    <w:multiLevelType w:val="hybridMultilevel"/>
    <w:lvl w:ilvl="0">
      <w:lvlJc w:val="left"/>
      <w:lvlText w:val="-"/>
      <w:numFmt w:val="bullet"/>
      <w:start w:val="1"/>
    </w:lvl>
  </w:abstractNum>
  <w:abstractNum w:abstractNumId="100">
    <w:nsid w:val="67906F60"/>
    <w:multiLevelType w:val="hybridMultilevel"/>
    <w:lvl w:ilvl="0">
      <w:lvlJc w:val="left"/>
      <w:lvlText w:val="-"/>
      <w:numFmt w:val="bullet"/>
      <w:start w:val="1"/>
    </w:lvl>
  </w:abstractNum>
  <w:abstractNum w:abstractNumId="101">
    <w:nsid w:val="10DB9DAA"/>
    <w:multiLevelType w:val="hybridMultilevel"/>
    <w:lvl w:ilvl="0">
      <w:lvlJc w:val="left"/>
      <w:lvlText w:val="-"/>
      <w:numFmt w:val="bullet"/>
      <w:start w:val="1"/>
    </w:lvl>
  </w:abstractNum>
  <w:abstractNum w:abstractNumId="102">
    <w:nsid w:val="697D2D2"/>
    <w:multiLevelType w:val="hybridMultilevel"/>
    <w:lvl w:ilvl="0">
      <w:lvlJc w:val="left"/>
      <w:lvlText w:val="-"/>
      <w:numFmt w:val="bullet"/>
      <w:start w:val="1"/>
    </w:lvl>
  </w:abstractNum>
  <w:abstractNum w:abstractNumId="103">
    <w:nsid w:val="6D68AB2"/>
    <w:multiLevelType w:val="hybridMultilevel"/>
    <w:lvl w:ilvl="0">
      <w:lvlJc w:val="left"/>
      <w:lvlText w:val="-"/>
      <w:numFmt w:val="bullet"/>
      <w:start w:val="1"/>
    </w:lvl>
  </w:abstractNum>
  <w:abstractNum w:abstractNumId="104">
    <w:nsid w:val="3A966CD0"/>
    <w:multiLevelType w:val="hybridMultilevel"/>
    <w:lvl w:ilvl="0">
      <w:lvlJc w:val="left"/>
      <w:lvlText w:val="-"/>
      <w:numFmt w:val="bullet"/>
      <w:start w:val="1"/>
    </w:lvl>
  </w:abstractNum>
  <w:abstractNum w:abstractNumId="105">
    <w:nsid w:val="63F37E85"/>
    <w:multiLevelType w:val="hybridMultilevel"/>
    <w:lvl w:ilvl="0">
      <w:lvlJc w:val="left"/>
      <w:lvlText w:val="-"/>
      <w:numFmt w:val="bullet"/>
      <w:start w:val="1"/>
    </w:lvl>
  </w:abstractNum>
  <w:abstractNum w:abstractNumId="106">
    <w:nsid w:val="5895F5FA"/>
    <w:multiLevelType w:val="hybridMultilevel"/>
    <w:lvl w:ilvl="0">
      <w:lvlJc w:val="left"/>
      <w:lvlText w:val="%1)"/>
      <w:numFmt w:val="lowerLetter"/>
      <w:start w:val="1"/>
    </w:lvl>
    <w:lvl w:ilvl="1">
      <w:lvlJc w:val="left"/>
      <w:lvlText w:val="-"/>
      <w:numFmt w:val="bullet"/>
      <w:start w:val="1"/>
    </w:lvl>
  </w:abstractNum>
  <w:abstractNum w:abstractNumId="107">
    <w:nsid w:val="38A5D054"/>
    <w:multiLevelType w:val="hybridMultilevel"/>
    <w:lvl w:ilvl="0">
      <w:lvlJc w:val="left"/>
      <w:lvlText w:val="%1)"/>
      <w:numFmt w:val="lowerLetter"/>
      <w:start w:val="2"/>
    </w:lvl>
  </w:abstractNum>
  <w:abstractNum w:abstractNumId="108">
    <w:nsid w:val="F3F09D8"/>
    <w:multiLevelType w:val="hybridMultilevel"/>
    <w:lvl w:ilvl="0">
      <w:lvlJc w:val="left"/>
      <w:lvlText w:val="%1)"/>
      <w:numFmt w:val="lowerLetter"/>
      <w:start w:val="4"/>
    </w:lvl>
  </w:abstractNum>
  <w:abstractNum w:abstractNumId="109">
    <w:nsid w:val="4B793735"/>
    <w:multiLevelType w:val="hybridMultilevel"/>
    <w:lvl w:ilvl="0">
      <w:lvlJc w:val="left"/>
      <w:lvlText w:val="%1)"/>
      <w:numFmt w:val="lowerLetter"/>
      <w:start w:val="8"/>
    </w:lvl>
  </w:abstractNum>
  <w:abstractNum w:abstractNumId="110">
    <w:nsid w:val="4A10B4E8"/>
    <w:multiLevelType w:val="hybridMultilevel"/>
    <w:lvl w:ilvl="0">
      <w:lvlJc w:val="left"/>
      <w:lvlText w:val="-"/>
      <w:numFmt w:val="bullet"/>
      <w:start w:val="1"/>
    </w:lvl>
  </w:abstractNum>
  <w:abstractNum w:abstractNumId="111">
    <w:nsid w:val="43D3BCD4"/>
    <w:multiLevelType w:val="hybridMultilevel"/>
    <w:lvl w:ilvl="0">
      <w:lvlJc w:val="left"/>
      <w:lvlText w:val="-"/>
      <w:numFmt w:val="bullet"/>
      <w:start w:val="1"/>
    </w:lvl>
  </w:abstractNum>
  <w:abstractNum w:abstractNumId="112">
    <w:nsid w:val="4C2A7166"/>
    <w:multiLevelType w:val="hybridMultilevel"/>
    <w:lvl w:ilvl="0">
      <w:lvlJc w:val="left"/>
      <w:lvlText w:val="%1)"/>
      <w:numFmt w:val="lowerLetter"/>
      <w:start w:val="9"/>
    </w:lvl>
  </w:abstractNum>
  <w:abstractNum w:abstractNumId="113">
    <w:nsid w:val="2E534A82"/>
    <w:multiLevelType w:val="hybridMultilevel"/>
    <w:lvl w:ilvl="0">
      <w:lvlJc w:val="left"/>
      <w:lvlText w:val="%1)"/>
      <w:numFmt w:val="lowerLetter"/>
      <w:start w:val="11"/>
    </w:lvl>
  </w:abstractNum>
  <w:abstractNum w:abstractNumId="114">
    <w:nsid w:val="26F2D364"/>
    <w:multiLevelType w:val="hybridMultilevel"/>
    <w:lvl w:ilvl="0">
      <w:lvlJc w:val="left"/>
      <w:lvlText w:val="%1)"/>
      <w:numFmt w:val="lowerLetter"/>
      <w:start w:val="12"/>
    </w:lvl>
    <w:lvl w:ilvl="1">
      <w:lvlJc w:val="left"/>
      <w:lvlText w:val="%2)"/>
      <w:numFmt w:val="lowerLetter"/>
      <w:start w:val="1"/>
    </w:lvl>
  </w:abstractNum>
  <w:abstractNum w:abstractNumId="115">
    <w:nsid w:val="71C1AF98"/>
    <w:multiLevelType w:val="hybridMultilevel"/>
    <w:lvl w:ilvl="0">
      <w:lvlJc w:val="left"/>
      <w:lvlText w:val="%1)"/>
      <w:numFmt w:val="lowerLetter"/>
      <w:start w:val="14"/>
    </w:lvl>
  </w:abstractNum>
  <w:abstractNum w:abstractNumId="116">
    <w:nsid w:val="3D00B9D9"/>
    <w:multiLevelType w:val="hybridMultilevel"/>
    <w:lvl w:ilvl="0">
      <w:lvlJc w:val="left"/>
      <w:lvlText w:val="%1)"/>
      <w:numFmt w:val="lowerLetter"/>
      <w:start w:val="16"/>
    </w:lvl>
  </w:abstractNum>
  <w:abstractNum w:abstractNumId="117">
    <w:nsid w:val="15BCABA8"/>
    <w:multiLevelType w:val="hybridMultilevel"/>
    <w:lvl w:ilvl="0">
      <w:lvlJc w:val="left"/>
      <w:lvlText w:val="-"/>
      <w:numFmt w:val="bullet"/>
      <w:start w:val="1"/>
    </w:lvl>
  </w:abstractNum>
  <w:abstractNum w:abstractNumId="118">
    <w:nsid w:val="4E0B9A87"/>
    <w:multiLevelType w:val="hybridMultilevel"/>
    <w:lvl w:ilvl="0">
      <w:lvlJc w:val="left"/>
      <w:lvlText w:val="-"/>
      <w:numFmt w:val="bullet"/>
      <w:start w:val="1"/>
    </w:lvl>
  </w:abstractNum>
  <w:abstractNum w:abstractNumId="119">
    <w:nsid w:val="434BAE75"/>
    <w:multiLevelType w:val="hybridMultilevel"/>
    <w:lvl w:ilvl="0">
      <w:lvlJc w:val="left"/>
      <w:lvlText w:val="-"/>
      <w:numFmt w:val="bullet"/>
      <w:start w:val="1"/>
    </w:lvl>
  </w:abstractNum>
  <w:abstractNum w:abstractNumId="120">
    <w:nsid w:val="4F38F265"/>
    <w:multiLevelType w:val="hybridMultilevel"/>
    <w:lvl w:ilvl="0">
      <w:lvlJc w:val="left"/>
      <w:lvlText w:val="-"/>
      <w:numFmt w:val="bullet"/>
      <w:start w:val="1"/>
    </w:lvl>
  </w:abstractNum>
  <w:abstractNum w:abstractNumId="121">
    <w:nsid w:val="4C502870"/>
    <w:multiLevelType w:val="hybridMultilevel"/>
    <w:lvl w:ilvl="0">
      <w:lvlJc w:val="left"/>
      <w:lvlText w:val="-"/>
      <w:numFmt w:val="bullet"/>
      <w:start w:val="1"/>
    </w:lvl>
  </w:abstractNum>
  <w:abstractNum w:abstractNumId="122">
    <w:nsid w:val="1DE8725A"/>
    <w:multiLevelType w:val="hybridMultilevel"/>
    <w:lvl w:ilvl="0">
      <w:lvlJc w:val="left"/>
      <w:lvlText w:val="-"/>
      <w:numFmt w:val="bullet"/>
      <w:start w:val="1"/>
    </w:lvl>
  </w:abstractNum>
  <w:abstractNum w:abstractNumId="123">
    <w:nsid w:val="6A37288A"/>
    <w:multiLevelType w:val="hybridMultilevel"/>
    <w:lvl w:ilvl="0">
      <w:lvlJc w:val="left"/>
      <w:lvlText w:val="-"/>
      <w:numFmt w:val="bullet"/>
      <w:start w:val="1"/>
    </w:lvl>
  </w:abstractNum>
  <w:abstractNum w:abstractNumId="124">
    <w:nsid w:val="8F8B73F"/>
    <w:multiLevelType w:val="hybridMultilevel"/>
    <w:lvl w:ilvl="0">
      <w:lvlJc w:val="left"/>
      <w:lvlText w:val="-"/>
      <w:numFmt w:val="bullet"/>
      <w:start w:val="1"/>
    </w:lvl>
  </w:abstractNum>
  <w:abstractNum w:abstractNumId="125">
    <w:nsid w:val="CA6B462"/>
    <w:multiLevelType w:val="hybridMultilevel"/>
    <w:lvl w:ilvl="0">
      <w:lvlJc w:val="left"/>
      <w:lvlText w:val="-"/>
      <w:numFmt w:val="bullet"/>
      <w:start w:val="1"/>
    </w:lvl>
  </w:abstractNum>
  <w:abstractNum w:abstractNumId="126">
    <w:nsid w:val="763CB680"/>
    <w:multiLevelType w:val="hybridMultilevel"/>
    <w:lvl w:ilvl="0">
      <w:lvlJc w:val="left"/>
      <w:lvlText w:val="-"/>
      <w:numFmt w:val="bullet"/>
      <w:start w:val="1"/>
    </w:lvl>
  </w:abstractNum>
  <w:abstractNum w:abstractNumId="127">
    <w:nsid w:val="15B71329"/>
    <w:multiLevelType w:val="hybridMultilevel"/>
    <w:lvl w:ilvl="0">
      <w:lvlJc w:val="left"/>
      <w:lvlText w:val="-"/>
      <w:numFmt w:val="bullet"/>
      <w:start w:val="1"/>
    </w:lvl>
  </w:abstractNum>
  <w:abstractNum w:abstractNumId="128">
    <w:nsid w:val="3DA97044"/>
    <w:multiLevelType w:val="hybridMultilevel"/>
    <w:lvl w:ilvl="0">
      <w:lvlJc w:val="left"/>
      <w:lvlText w:val="-"/>
      <w:numFmt w:val="bullet"/>
      <w:start w:val="1"/>
    </w:lvl>
  </w:abstractNum>
  <w:abstractNum w:abstractNumId="129">
    <w:nsid w:val="1CDCE2DE"/>
    <w:multiLevelType w:val="hybridMultilevel"/>
    <w:lvl w:ilvl="0">
      <w:lvlJc w:val="left"/>
      <w:lvlText w:val="-"/>
      <w:numFmt w:val="bullet"/>
      <w:start w:val="1"/>
    </w:lvl>
  </w:abstractNum>
  <w:abstractNum w:abstractNumId="130">
    <w:nsid w:val="69D3947C"/>
    <w:multiLevelType w:val="hybridMultilevel"/>
    <w:lvl w:ilvl="0">
      <w:lvlJc w:val="left"/>
      <w:lvlText w:val="-"/>
      <w:numFmt w:val="bullet"/>
      <w:start w:val="1"/>
    </w:lvl>
  </w:abstractNum>
  <w:abstractNum w:abstractNumId="131">
    <w:nsid w:val="2539DFA5"/>
    <w:multiLevelType w:val="hybridMultilevel"/>
    <w:lvl w:ilvl="0">
      <w:lvlJc w:val="left"/>
      <w:lvlText w:val="-"/>
      <w:numFmt w:val="bullet"/>
      <w:start w:val="1"/>
    </w:lvl>
  </w:abstractNum>
  <w:abstractNum w:abstractNumId="132">
    <w:nsid w:val="2DB88089"/>
    <w:multiLevelType w:val="hybridMultilevel"/>
    <w:lvl w:ilvl="0">
      <w:lvlJc w:val="left"/>
      <w:lvlText w:val="-"/>
      <w:numFmt w:val="bullet"/>
      <w:start w:val="1"/>
    </w:lvl>
  </w:abstractNum>
  <w:abstractNum w:abstractNumId="133">
    <w:nsid w:val="706B674E"/>
    <w:multiLevelType w:val="hybridMultilevel"/>
    <w:lvl w:ilvl="0">
      <w:lvlJc w:val="left"/>
      <w:lvlText w:val="-"/>
      <w:numFmt w:val="bullet"/>
      <w:start w:val="1"/>
    </w:lvl>
  </w:abstractNum>
  <w:abstractNum w:abstractNumId="134">
    <w:nsid w:val="2C106A57"/>
    <w:multiLevelType w:val="hybridMultilevel"/>
    <w:lvl w:ilvl="0">
      <w:lvlJc w:val="left"/>
      <w:lvlText w:val="%1)"/>
      <w:numFmt w:val="lowerLetter"/>
      <w:start w:val="1"/>
    </w:lvl>
  </w:abstractNum>
  <w:abstractNum w:abstractNumId="135">
    <w:nsid w:val="684EED59"/>
    <w:multiLevelType w:val="hybridMultilevel"/>
    <w:lvl w:ilvl="0">
      <w:lvlJc w:val="left"/>
      <w:lvlText w:val="%1)"/>
      <w:numFmt w:val="lowerLetter"/>
      <w:start w:val="2"/>
    </w:lvl>
  </w:abstractNum>
  <w:abstractNum w:abstractNumId="136">
    <w:nsid w:val="545EE5D3"/>
    <w:multiLevelType w:val="hybridMultilevel"/>
    <w:lvl w:ilvl="0">
      <w:lvlJc w:val="left"/>
      <w:lvlText w:val="-"/>
      <w:numFmt w:val="bullet"/>
      <w:start w:val="1"/>
    </w:lvl>
  </w:abstractNum>
  <w:abstractNum w:abstractNumId="137">
    <w:nsid w:val="4A66051"/>
    <w:multiLevelType w:val="hybridMultilevel"/>
    <w:lvl w:ilvl="0">
      <w:lvlJc w:val="left"/>
      <w:lvlText w:val="%1)"/>
      <w:numFmt w:val="lowerLetter"/>
      <w:start w:val="4"/>
    </w:lvl>
  </w:abstractNum>
  <w:abstractNum w:abstractNumId="138">
    <w:nsid w:val="20F4BDAD"/>
    <w:multiLevelType w:val="hybridMultilevel"/>
    <w:lvl w:ilvl="0">
      <w:lvlJc w:val="left"/>
      <w:lvlText w:val="-"/>
      <w:numFmt w:val="bullet"/>
      <w:start w:val="1"/>
    </w:lvl>
  </w:abstractNum>
  <w:abstractNum w:abstractNumId="139">
    <w:nsid w:val="639DEFAC"/>
    <w:multiLevelType w:val="hybridMultilevel"/>
    <w:lvl w:ilvl="0">
      <w:lvlJc w:val="left"/>
      <w:lvlText w:val="-"/>
      <w:numFmt w:val="bullet"/>
      <w:start w:val="1"/>
    </w:lvl>
  </w:abstractNum>
  <w:abstractNum w:abstractNumId="140">
    <w:nsid w:val="501F9786"/>
    <w:multiLevelType w:val="hybridMultilevel"/>
    <w:lvl w:ilvl="0">
      <w:lvlJc w:val="left"/>
      <w:lvlText w:val="-"/>
      <w:numFmt w:val="bullet"/>
      <w:start w:val="1"/>
    </w:lvl>
  </w:abstractNum>
  <w:abstractNum w:abstractNumId="141">
    <w:nsid w:val="6B057295"/>
    <w:multiLevelType w:val="hybridMultilevel"/>
    <w:lvl w:ilvl="0">
      <w:lvlJc w:val="left"/>
      <w:lvlText w:val="-"/>
      <w:numFmt w:val="bullet"/>
      <w:start w:val="1"/>
    </w:lvl>
  </w:abstractNum>
  <w:abstractNum w:abstractNumId="142">
    <w:nsid w:val="2771AC80"/>
    <w:multiLevelType w:val="hybridMultilevel"/>
    <w:lvl w:ilvl="0">
      <w:lvlJc w:val="left"/>
      <w:lvlText w:val="-"/>
      <w:numFmt w:val="bullet"/>
      <w:start w:val="1"/>
    </w:lvl>
  </w:abstractNum>
  <w:abstractNum w:abstractNumId="143">
    <w:nsid w:val="1C4A08EC"/>
    <w:multiLevelType w:val="hybridMultilevel"/>
    <w:lvl w:ilvl="0">
      <w:lvlJc w:val="left"/>
      <w:lvlText w:val="-"/>
      <w:numFmt w:val="bullet"/>
      <w:start w:val="1"/>
    </w:lvl>
  </w:abstractNum>
  <w:abstractNum w:abstractNumId="144">
    <w:nsid w:val="1958BD17"/>
    <w:multiLevelType w:val="hybridMultilevel"/>
    <w:lvl w:ilvl="0">
      <w:lvlJc w:val="left"/>
      <w:lvlText w:val="-"/>
      <w:numFmt w:val="bullet"/>
      <w:start w:val="1"/>
    </w:lvl>
  </w:abstractNum>
  <w:abstractNum w:abstractNumId="145">
    <w:nsid w:val="4E647FE4"/>
    <w:multiLevelType w:val="hybridMultilevel"/>
    <w:lvl w:ilvl="0">
      <w:lvlJc w:val="left"/>
      <w:lvlText w:val="%1)"/>
      <w:numFmt w:val="lowerLetter"/>
      <w:start w:val="1"/>
    </w:lvl>
  </w:abstractNum>
  <w:abstractNum w:abstractNumId="146">
    <w:nsid w:val="E0BB885"/>
    <w:multiLevelType w:val="hybridMultilevel"/>
    <w:lvl w:ilvl="0">
      <w:lvlJc w:val="left"/>
      <w:lvlText w:val="%1)"/>
      <w:numFmt w:val="lowerLetter"/>
      <w:start w:val="2"/>
    </w:lvl>
  </w:abstractNum>
  <w:abstractNum w:abstractNumId="147">
    <w:nsid w:val="565976F1"/>
    <w:multiLevelType w:val="hybridMultilevel"/>
    <w:lvl w:ilvl="0">
      <w:lvlJc w:val="left"/>
      <w:lvlText w:val="%1)"/>
      <w:numFmt w:val="lowerLetter"/>
      <w:start w:val="5"/>
    </w:lvl>
  </w:abstractNum>
  <w:abstractNum w:abstractNumId="148">
    <w:nsid w:val="64212B8C"/>
    <w:multiLevelType w:val="hybridMultilevel"/>
    <w:lvl w:ilvl="0">
      <w:lvlJc w:val="left"/>
      <w:lvlText w:val="-"/>
      <w:numFmt w:val="bullet"/>
      <w:start w:val="1"/>
    </w:lvl>
  </w:abstractNum>
  <w:abstractNum w:abstractNumId="149">
    <w:nsid w:val="5C17530C"/>
    <w:multiLevelType w:val="hybridMultilevel"/>
    <w:lvl w:ilvl="0">
      <w:lvlJc w:val="left"/>
      <w:lvlText w:val="%1)"/>
      <w:numFmt w:val="lowerLetter"/>
      <w:start w:val="6"/>
    </w:lvl>
  </w:abstractNum>
  <w:abstractNum w:abstractNumId="150">
    <w:nsid w:val="19A52566"/>
    <w:multiLevelType w:val="hybridMultilevel"/>
    <w:lvl w:ilvl="0">
      <w:lvlJc w:val="left"/>
      <w:lvlText w:val="-"/>
      <w:numFmt w:val="bullet"/>
      <w:start w:val="1"/>
    </w:lvl>
  </w:abstractNum>
  <w:abstractNum w:abstractNumId="151">
    <w:nsid w:val="335A1DF1"/>
    <w:multiLevelType w:val="hybridMultilevel"/>
    <w:lvl w:ilvl="0">
      <w:lvlJc w:val="left"/>
      <w:lvlText w:val="%1)"/>
      <w:numFmt w:val="lowerLetter"/>
      <w:start w:val="1"/>
    </w:lvl>
    <w:lvl w:ilvl="1">
      <w:lvlJc w:val="left"/>
      <w:lvlText w:val="--"/>
      <w:numFmt w:val="bullet"/>
      <w:start w:val="1"/>
    </w:lvl>
    <w:lvl w:ilvl="2">
      <w:lvlJc w:val="left"/>
      <w:lvlText w:val="%3."/>
      <w:numFmt w:val="decimal"/>
      <w:start w:val="1"/>
    </w:lvl>
  </w:abstractNum>
  <w:abstractNum w:abstractNumId="152">
    <w:nsid w:val="28677B7C"/>
    <w:multiLevelType w:val="hybridMultilevel"/>
    <w:lvl w:ilvl="0">
      <w:lvlJc w:val="left"/>
      <w:lvlText w:val="--"/>
      <w:numFmt w:val="bullet"/>
      <w:start w:val="1"/>
    </w:lvl>
  </w:abstractNum>
  <w:abstractNum w:abstractNumId="153">
    <w:nsid w:val="378D97C0"/>
    <w:multiLevelType w:val="hybridMultilevel"/>
    <w:lvl w:ilvl="0">
      <w:lvlJc w:val="left"/>
      <w:lvlText w:val="%1)"/>
      <w:numFmt w:val="lowerLetter"/>
      <w:start w:val="2"/>
    </w:lvl>
  </w:abstractNum>
  <w:abstractNum w:abstractNumId="154">
    <w:nsid w:val="1D91467C"/>
    <w:multiLevelType w:val="hybridMultilevel"/>
    <w:lvl w:ilvl="0">
      <w:lvlJc w:val="left"/>
      <w:lvlText w:val="-"/>
      <w:numFmt w:val="bullet"/>
      <w:start w:val="1"/>
    </w:lvl>
  </w:abstractNum>
  <w:abstractNum w:abstractNumId="155">
    <w:nsid w:val="316032BB"/>
    <w:multiLevelType w:val="hybridMultilevel"/>
    <w:lvl w:ilvl="0">
      <w:lvlJc w:val="left"/>
      <w:lvlText w:val="-"/>
      <w:numFmt w:val="bullet"/>
      <w:start w:val="1"/>
    </w:lvl>
  </w:abstractNum>
  <w:abstractNum w:abstractNumId="156">
    <w:nsid w:val="44344C22"/>
    <w:multiLevelType w:val="hybridMultilevel"/>
    <w:lvl w:ilvl="0">
      <w:lvlJc w:val="left"/>
      <w:lvlText w:val="-"/>
      <w:numFmt w:val="bullet"/>
      <w:start w:val="1"/>
    </w:lvl>
  </w:abstractNum>
  <w:abstractNum w:abstractNumId="157">
    <w:nsid w:val="13CDFCFC"/>
    <w:multiLevelType w:val="hybridMultilevel"/>
    <w:lvl w:ilvl="0">
      <w:lvlJc w:val="left"/>
      <w:lvlText w:val="(%1)"/>
      <w:numFmt w:val="decimal"/>
      <w:start w:val="1"/>
    </w:lvl>
  </w:abstractNum>
  <w:abstractNum w:abstractNumId="158">
    <w:nsid w:val="471745E4"/>
    <w:multiLevelType w:val="hybridMultilevel"/>
    <w:lvl w:ilvl="0">
      <w:lvlJc w:val="left"/>
      <w:lvlText w:val="-"/>
      <w:numFmt w:val="bullet"/>
      <w:start w:val="1"/>
    </w:lvl>
  </w:abstractNum>
  <w:abstractNum w:abstractNumId="159">
    <w:nsid w:val="1DDBC66"/>
    <w:multiLevelType w:val="hybridMultilevel"/>
    <w:lvl w:ilvl="0">
      <w:lvlJc w:val="left"/>
      <w:lvlText w:val="-"/>
      <w:numFmt w:val="bullet"/>
      <w:start w:val="1"/>
    </w:lvl>
  </w:abstractNum>
  <w:abstractNum w:abstractNumId="160">
    <w:nsid w:val="30AADFDA"/>
    <w:multiLevelType w:val="hybridMultilevel"/>
    <w:lvl w:ilvl="0">
      <w:lvlJc w:val="left"/>
      <w:lvlText w:val="-"/>
      <w:numFmt w:val="bullet"/>
      <w:start w:val="1"/>
    </w:lvl>
  </w:abstractNum>
  <w:abstractNum w:abstractNumId="161">
    <w:nsid w:val="30EADA61"/>
    <w:multiLevelType w:val="hybridMultilevel"/>
    <w:lvl w:ilvl="0">
      <w:lvlJc w:val="left"/>
      <w:lvlText w:val="(%1)"/>
      <w:numFmt w:val="decimal"/>
      <w:start w:val="1"/>
    </w:lvl>
  </w:abstractNum>
  <w:abstractNum w:abstractNumId="162">
    <w:nsid w:val="27179C0B"/>
    <w:multiLevelType w:val="hybridMultilevel"/>
    <w:lvl w:ilvl="0">
      <w:lvlJc w:val="left"/>
      <w:lvlText w:val="-"/>
      <w:numFmt w:val="bullet"/>
      <w:start w:val="1"/>
    </w:lvl>
  </w:abstractNum>
  <w:abstractNum w:abstractNumId="163">
    <w:nsid w:val="5E636063"/>
    <w:multiLevelType w:val="hybridMultilevel"/>
    <w:lvl w:ilvl="0">
      <w:lvlJc w:val="left"/>
      <w:lvlText w:val="-"/>
      <w:numFmt w:val="bullet"/>
      <w:start w:val="1"/>
    </w:lvl>
  </w:abstractNum>
  <w:abstractNum w:abstractNumId="164">
    <w:nsid w:val="215641AF"/>
    <w:multiLevelType w:val="hybridMultilevel"/>
    <w:lvl w:ilvl="0">
      <w:lvlJc w:val="left"/>
      <w:lvlText w:val="-"/>
      <w:numFmt w:val="bullet"/>
      <w:start w:val="1"/>
    </w:lvl>
  </w:abstractNum>
  <w:abstractNum w:abstractNumId="165">
    <w:nsid w:val="53280662"/>
    <w:multiLevelType w:val="hybridMultilevel"/>
    <w:lvl w:ilvl="0">
      <w:lvlJc w:val="left"/>
      <w:lvlText w:val="(%1)"/>
      <w:numFmt w:val="decimal"/>
      <w:start w:val="1"/>
    </w:lvl>
  </w:abstractNum>
  <w:abstractNum w:abstractNumId="166">
    <w:nsid w:val="46B24DBC"/>
    <w:multiLevelType w:val="hybridMultilevel"/>
    <w:lvl w:ilvl="0">
      <w:lvlJc w:val="left"/>
      <w:lvlText w:val="-"/>
      <w:numFmt w:val="bullet"/>
      <w:start w:val="1"/>
    </w:lvl>
  </w:abstractNum>
  <w:abstractNum w:abstractNumId="167">
    <w:nsid w:val="75B52783"/>
    <w:multiLevelType w:val="hybridMultilevel"/>
    <w:lvl w:ilvl="0">
      <w:lvlJc w:val="left"/>
      <w:lvlText w:val="-"/>
      <w:numFmt w:val="bullet"/>
      <w:start w:val="1"/>
    </w:lvl>
  </w:abstractNum>
  <w:abstractNum w:abstractNumId="168">
    <w:nsid w:val="57CE66B4"/>
    <w:multiLevelType w:val="hybridMultilevel"/>
    <w:lvl w:ilvl="0">
      <w:lvlJc w:val="left"/>
      <w:lvlText w:val="%1)"/>
      <w:numFmt w:val="lowerLetter"/>
      <w:start w:val="1"/>
    </w:lvl>
  </w:abstractNum>
  <w:abstractNum w:abstractNumId="169">
    <w:nsid w:val="67A70B69"/>
    <w:multiLevelType w:val="hybridMultilevel"/>
    <w:lvl w:ilvl="0">
      <w:lvlJc w:val="left"/>
      <w:lvlText w:val="o"/>
      <w:numFmt w:val="bullet"/>
      <w:start w:val="1"/>
    </w:lvl>
  </w:abstractNum>
  <w:abstractNum w:abstractNumId="170">
    <w:nsid w:val="5953172F"/>
    <w:multiLevelType w:val="hybridMultilevel"/>
    <w:lvl w:ilvl="0">
      <w:lvlJc w:val="left"/>
      <w:lvlText w:val="%1)"/>
      <w:numFmt w:val="lowerLetter"/>
      <w:start w:val="3"/>
    </w:lvl>
  </w:abstractNum>
  <w:abstractNum w:abstractNumId="171">
    <w:nsid w:val="27EDFE3A"/>
    <w:multiLevelType w:val="hybridMultilevel"/>
    <w:lvl w:ilvl="0">
      <w:lvlJc w:val="left"/>
      <w:lvlText w:val="%1)"/>
      <w:numFmt w:val="lowerLetter"/>
      <w:start w:val="6"/>
    </w:lvl>
  </w:abstractNum>
  <w:abstractNum w:abstractNumId="172">
    <w:nsid w:val="52AC7DFF"/>
    <w:multiLevelType w:val="hybridMultilevel"/>
    <w:lvl w:ilvl="0">
      <w:lvlJc w:val="left"/>
      <w:lvlText w:val="%1)"/>
      <w:numFmt w:val="lowerRoman"/>
      <w:start w:val="1"/>
    </w:lvl>
  </w:abstractNum>
  <w:abstractNum w:abstractNumId="173">
    <w:nsid w:val="C4C3AF"/>
    <w:multiLevelType w:val="hybridMultilevel"/>
    <w:lvl w:ilvl="0">
      <w:lvlJc w:val="left"/>
      <w:lvlText w:val="o"/>
      <w:numFmt w:val="bullet"/>
      <w:start w:val="1"/>
    </w:lvl>
  </w:abstractNum>
  <w:abstractNum w:abstractNumId="174">
    <w:nsid w:val="44380727"/>
    <w:multiLevelType w:val="hybridMultilevel"/>
    <w:lvl w:ilvl="0">
      <w:lvlJc w:val="left"/>
      <w:lvlText w:val="o"/>
      <w:numFmt w:val="bullet"/>
      <w:start w:val="1"/>
    </w:lvl>
  </w:abstractNum>
  <w:abstractNum w:abstractNumId="175">
    <w:nsid w:val="6C053B16"/>
    <w:multiLevelType w:val="hybridMultilevel"/>
    <w:lvl w:ilvl="0">
      <w:lvlJc w:val="left"/>
      <w:lvlText w:val="-"/>
      <w:numFmt w:val="bullet"/>
      <w:start w:val="1"/>
    </w:lvl>
  </w:abstractNum>
  <w:abstractNum w:abstractNumId="176">
    <w:nsid w:val="4F294393"/>
    <w:multiLevelType w:val="hybridMultilevel"/>
    <w:lvl w:ilvl="0">
      <w:lvlJc w:val="left"/>
      <w:lvlText w:val="-"/>
      <w:numFmt w:val="bullet"/>
      <w:start w:val="1"/>
    </w:lvl>
  </w:abstractNum>
  <w:abstractNum w:abstractNumId="177">
    <w:nsid w:val="5243BFAC"/>
    <w:multiLevelType w:val="hybridMultilevel"/>
    <w:lvl w:ilvl="0">
      <w:lvlJc w:val="left"/>
      <w:lvlText w:val="-"/>
      <w:numFmt w:val="bullet"/>
      <w:start w:val="1"/>
    </w:lvl>
  </w:abstractNum>
  <w:abstractNum w:abstractNumId="178">
    <w:nsid w:val="425EB207"/>
    <w:multiLevelType w:val="hybridMultilevel"/>
    <w:lvl w:ilvl="0">
      <w:lvlJc w:val="left"/>
      <w:lvlText w:val="-"/>
      <w:numFmt w:val="bullet"/>
      <w:start w:val="1"/>
    </w:lvl>
  </w:abstractNum>
  <w:abstractNum w:abstractNumId="179">
    <w:nsid w:val="334A6F1F"/>
    <w:multiLevelType w:val="hybridMultilevel"/>
    <w:lvl w:ilvl="0">
      <w:lvlJc w:val="left"/>
      <w:lvlText w:val="-"/>
      <w:numFmt w:val="bullet"/>
      <w:start w:val="1"/>
    </w:lvl>
  </w:abstractNum>
  <w:abstractNum w:abstractNumId="180">
    <w:nsid w:val="2E5B12B8"/>
    <w:multiLevelType w:val="hybridMultilevel"/>
    <w:lvl w:ilvl="0">
      <w:lvlJc w:val="left"/>
      <w:lvlText w:val="-"/>
      <w:numFmt w:val="bullet"/>
      <w:start w:val="1"/>
    </w:lvl>
  </w:abstractNum>
  <w:abstractNum w:abstractNumId="181">
    <w:nsid w:val="5C03D76D"/>
    <w:multiLevelType w:val="hybridMultilevel"/>
    <w:lvl w:ilvl="0">
      <w:lvlJc w:val="left"/>
      <w:lvlText w:val="-"/>
      <w:numFmt w:val="bullet"/>
      <w:start w:val="1"/>
    </w:lvl>
  </w:abstractNum>
  <w:abstractNum w:abstractNumId="182">
    <w:nsid w:val="66A48D11"/>
    <w:multiLevelType w:val="hybridMultilevel"/>
    <w:lvl w:ilvl="0">
      <w:lvlJc w:val="left"/>
      <w:lvlText w:val="-"/>
      <w:numFmt w:val="bullet"/>
      <w:start w:val="1"/>
    </w:lvl>
  </w:abstractNum>
  <w:abstractNum w:abstractNumId="183">
    <w:nsid w:val="56C28E34"/>
    <w:multiLevelType w:val="hybridMultilevel"/>
    <w:lvl w:ilvl="0">
      <w:lvlJc w:val="left"/>
      <w:lvlText w:val="%1)"/>
      <w:numFmt w:val="lowerLetter"/>
      <w:start w:val="13"/>
    </w:lvl>
  </w:abstractNum>
  <w:abstractNum w:abstractNumId="184">
    <w:nsid w:val="13916F2D"/>
    <w:multiLevelType w:val="hybridMultilevel"/>
    <w:lvl w:ilvl="0">
      <w:lvlJc w:val="left"/>
      <w:lvlText w:val="-"/>
      <w:numFmt w:val="bullet"/>
      <w:start w:val="1"/>
    </w:lvl>
  </w:abstractNum>
  <w:abstractNum w:abstractNumId="185">
    <w:nsid w:val="435D38D"/>
    <w:multiLevelType w:val="hybridMultilevel"/>
    <w:lvl w:ilvl="0">
      <w:lvlJc w:val="left"/>
      <w:lvlText w:val="-"/>
      <w:numFmt w:val="bullet"/>
      <w:start w:val="1"/>
    </w:lvl>
  </w:abstractNum>
  <w:abstractNum w:abstractNumId="186">
    <w:nsid w:val="822C0EF"/>
    <w:multiLevelType w:val="hybridMultilevel"/>
    <w:lvl w:ilvl="0">
      <w:lvlJc w:val="left"/>
      <w:lvlText w:val="-"/>
      <w:numFmt w:val="bullet"/>
      <w:start w:val="1"/>
    </w:lvl>
  </w:abstractNum>
  <w:abstractNum w:abstractNumId="187">
    <w:nsid w:val="57C5BB4F"/>
    <w:multiLevelType w:val="hybridMultilevel"/>
    <w:lvl w:ilvl="0">
      <w:lvlJc w:val="left"/>
      <w:lvlText w:val="-"/>
      <w:numFmt w:val="bullet"/>
      <w:start w:val="1"/>
    </w:lvl>
  </w:abstractNum>
  <w:abstractNum w:abstractNumId="188">
    <w:nsid w:val="1803D089"/>
    <w:multiLevelType w:val="hybridMultilevel"/>
    <w:lvl w:ilvl="0">
      <w:lvlJc w:val="left"/>
      <w:lvlText w:val="-"/>
      <w:numFmt w:val="bullet"/>
      <w:start w:val="1"/>
    </w:lvl>
  </w:abstractNum>
  <w:abstractNum w:abstractNumId="189">
    <w:nsid w:val="4F3A06D4"/>
    <w:multiLevelType w:val="hybridMultilevel"/>
    <w:lvl w:ilvl="0">
      <w:lvlJc w:val="left"/>
      <w:lvlText w:val="-"/>
      <w:numFmt w:val="bullet"/>
      <w:start w:val="1"/>
    </w:lvl>
  </w:abstractNum>
  <w:abstractNum w:abstractNumId="190">
    <w:nsid w:val="59A377B6"/>
    <w:multiLevelType w:val="hybridMultilevel"/>
    <w:lvl w:ilvl="0">
      <w:lvlJc w:val="left"/>
      <w:lvlText w:val="-"/>
      <w:numFmt w:val="bullet"/>
      <w:start w:val="1"/>
    </w:lvl>
  </w:abstractNum>
  <w:abstractNum w:abstractNumId="191">
    <w:nsid w:val="48AEB063"/>
    <w:multiLevelType w:val="hybridMultilevel"/>
    <w:lvl w:ilvl="0">
      <w:lvlJc w:val="left"/>
      <w:lvlText w:val="-"/>
      <w:numFmt w:val="bullet"/>
      <w:start w:val="1"/>
    </w:lvl>
  </w:abstractNum>
  <w:abstractNum w:abstractNumId="192">
    <w:nsid w:val="24E135"/>
    <w:multiLevelType w:val="hybridMultilevel"/>
    <w:lvl w:ilvl="0">
      <w:lvlJc w:val="left"/>
      <w:lvlText w:val="%1)"/>
      <w:numFmt w:val="lowerLetter"/>
      <w:start w:val="1"/>
    </w:lvl>
  </w:abstractNum>
  <w:abstractNum w:abstractNumId="193">
    <w:nsid w:val="BB13C1"/>
    <w:multiLevelType w:val="hybridMultilevel"/>
    <w:lvl w:ilvl="0">
      <w:lvlJc w:val="left"/>
      <w:lvlText w:val="%1)"/>
      <w:numFmt w:val="lowerLetter"/>
      <w:start w:val="2"/>
    </w:lvl>
  </w:abstractNum>
  <w:abstractNum w:abstractNumId="194">
    <w:nsid w:val="271210C7"/>
    <w:multiLevelType w:val="hybridMultilevel"/>
    <w:lvl w:ilvl="0">
      <w:lvlJc w:val="left"/>
      <w:lvlText w:val="-"/>
      <w:numFmt w:val="bullet"/>
      <w:start w:val="1"/>
    </w:lvl>
  </w:abstractNum>
  <w:abstractNum w:abstractNumId="195">
    <w:nsid w:val="217B22E4"/>
    <w:multiLevelType w:val="hybridMultilevel"/>
    <w:lvl w:ilvl="0">
      <w:lvlJc w:val="left"/>
      <w:lvlText w:val="%1."/>
      <w:numFmt w:val="decimal"/>
      <w:start w:val="1"/>
    </w:lvl>
    <w:lvl w:ilvl="1">
      <w:lvlJc w:val="left"/>
      <w:lvlText w:val="(%2)"/>
      <w:numFmt w:val="lowerLetter"/>
      <w:start w:val="1"/>
    </w:lvl>
  </w:abstractNum>
  <w:abstractNum w:abstractNumId="196">
    <w:nsid w:val="53E31A24"/>
    <w:multiLevelType w:val="hybridMultilevel"/>
    <w:lvl w:ilvl="0">
      <w:lvlJc w:val="left"/>
      <w:lvlText w:val="%1."/>
      <w:numFmt w:val="decimal"/>
      <w:start w:val="1"/>
    </w:lvl>
    <w:lvl w:ilvl="1">
      <w:lvlJc w:val="left"/>
      <w:lvlText w:val="(%2)"/>
      <w:numFmt w:val="lowerLetter"/>
      <w:start w:val="1"/>
    </w:lvl>
  </w:abstractNum>
  <w:abstractNum w:abstractNumId="197">
    <w:nsid w:val="6DC45E83"/>
    <w:multiLevelType w:val="hybridMultilevel"/>
    <w:lvl w:ilvl="0">
      <w:lvlJc w:val="left"/>
      <w:lvlText w:val="(%1)"/>
      <w:numFmt w:val="lowerRoman"/>
      <w:start w:val="10"/>
    </w:lvl>
  </w:abstractNum>
  <w:abstractNum w:abstractNumId="198">
    <w:nsid w:val="17304A67"/>
    <w:multiLevelType w:val="hybridMultilevel"/>
    <w:lvl w:ilvl="0">
      <w:lvlJc w:val="left"/>
      <w:lvlText w:val="(%1)"/>
      <w:numFmt w:val="lowerRoman"/>
      <w:start w:val="1"/>
    </w:lvl>
  </w:abstractNum>
  <w:abstractNum w:abstractNumId="199">
    <w:nsid w:val="2BB180D8"/>
    <w:multiLevelType w:val="hybridMultilevel"/>
    <w:lvl w:ilvl="0">
      <w:lvlJc w:val="left"/>
      <w:lvlText w:val="(%1)"/>
      <w:numFmt w:val="lowerLetter"/>
      <w:start w:val="5"/>
    </w:lvl>
  </w:abstractNum>
  <w:abstractNum w:abstractNumId="200">
    <w:nsid w:val="556B69ED"/>
    <w:multiLevelType w:val="hybridMultilevel"/>
    <w:lvl w:ilvl="0">
      <w:lvlJc w:val="left"/>
      <w:lvlText w:val="(%1)"/>
      <w:numFmt w:val="lowerLetter"/>
      <w:start w:val="1"/>
    </w:lvl>
  </w:abstractNum>
  <w:abstractNum w:abstractNumId="201">
    <w:nsid w:val="70836196"/>
    <w:multiLevelType w:val="hybridMultilevel"/>
    <w:lvl w:ilvl="0">
      <w:lvlJc w:val="left"/>
      <w:lvlText w:val="(%1)"/>
      <w:numFmt w:val="lowerLetter"/>
      <w:start w:val="2"/>
    </w:lvl>
  </w:abstractNum>
  <w:abstractNum w:abstractNumId="202">
    <w:nsid w:val="539F7F12"/>
    <w:multiLevelType w:val="hybridMultilevel"/>
    <w:lvl w:ilvl="0">
      <w:lvlJc w:val="left"/>
      <w:lvlText w:val="(%1)"/>
      <w:numFmt w:val="lowerLetter"/>
      <w:start w:val="1"/>
    </w:lvl>
  </w:abstractNum>
  <w:abstractNum w:abstractNumId="203">
    <w:nsid w:val="2817E7EC"/>
    <w:multiLevelType w:val="hybridMultilevel"/>
    <w:lvl w:ilvl="0">
      <w:lvlJc w:val="left"/>
      <w:lvlText w:val="(%1)"/>
      <w:numFmt w:val="lowerLetter"/>
      <w:start w:val="1"/>
    </w:lvl>
  </w:abstractNum>
  <w:abstractNum w:abstractNumId="204">
    <w:nsid w:val="71482545"/>
    <w:multiLevelType w:val="hybridMultilevel"/>
    <w:lvl w:ilvl="0">
      <w:lvlJc w:val="left"/>
      <w:lvlText w:val="(%1)"/>
      <w:numFmt w:val="lowerLetter"/>
      <w:start w:val="14"/>
    </w:lvl>
  </w:abstractNum>
  <w:abstractNum w:abstractNumId="205">
    <w:nsid w:val="17D78639"/>
    <w:multiLevelType w:val="hybridMultilevel"/>
    <w:lvl w:ilvl="0">
      <w:lvlJc w:val="left"/>
      <w:lvlText w:val="(%1)"/>
      <w:numFmt w:val="lowerLetter"/>
      <w:start w:val="1"/>
    </w:lvl>
  </w:abstractNum>
  <w:abstractNum w:abstractNumId="206">
    <w:nsid w:val="141D2302"/>
    <w:multiLevelType w:val="hybridMultilevel"/>
    <w:lvl w:ilvl="0">
      <w:lvlJc w:val="left"/>
      <w:lvlText w:val="(%1)"/>
      <w:numFmt w:val="lowerLetter"/>
      <w:start w:val="4"/>
    </w:lvl>
  </w:abstractNum>
  <w:abstractNum w:abstractNumId="207">
    <w:nsid w:val="407168D8"/>
    <w:multiLevelType w:val="hybridMultilevel"/>
    <w:lvl w:ilvl="0">
      <w:lvlJc w:val="left"/>
      <w:lvlText w:val="%1"/>
      <w:numFmt w:val="lowerLetter"/>
      <w:start w:val="1"/>
    </w:lvl>
    <w:lvl w:ilvl="1">
      <w:lvlJc w:val="left"/>
      <w:lvlText w:val="(%2)"/>
      <w:numFmt w:val="lowerLetter"/>
      <w:start w:val="1"/>
    </w:lvl>
  </w:abstractNum>
  <w:abstractNum w:abstractNumId="208">
    <w:nsid w:val="6A1B45E5"/>
    <w:multiLevelType w:val="hybridMultilevel"/>
    <w:lvl w:ilvl="0">
      <w:lvlJc w:val="left"/>
      <w:lvlText w:val="(%1)"/>
      <w:numFmt w:val="lowerLetter"/>
      <w:start w:val="9"/>
    </w:lvl>
    <w:lvl w:ilvl="1">
      <w:lvlJc w:val="left"/>
      <w:lvlText w:val="(%2)"/>
      <w:numFmt w:val="lowerLetter"/>
      <w:start w:val="3"/>
    </w:lvl>
  </w:abstractNum>
  <w:abstractNum w:abstractNumId="209">
    <w:nsid w:val="567BD50A"/>
    <w:multiLevelType w:val="hybridMultilevel"/>
    <w:lvl w:ilvl="0">
      <w:lvlJc w:val="left"/>
      <w:lvlText w:val="(%1)"/>
      <w:numFmt w:val="lowerLetter"/>
      <w:start w:val="1"/>
    </w:lvl>
  </w:abstractNum>
  <w:abstractNum w:abstractNumId="210">
    <w:nsid w:val="73BBD7F8"/>
    <w:multiLevelType w:val="hybridMultilevel"/>
    <w:lvl w:ilvl="0">
      <w:lvlJc w:val="left"/>
      <w:lvlText w:val="(%1)"/>
      <w:numFmt w:val="lowerRoman"/>
      <w:start w:val="1"/>
    </w:lvl>
  </w:abstractNum>
  <w:abstractNum w:abstractNumId="211">
    <w:nsid w:val="1876589D"/>
    <w:multiLevelType w:val="hybridMultilevel"/>
    <w:lvl w:ilvl="0">
      <w:lvlJc w:val="left"/>
      <w:lvlText w:val="(%1)"/>
      <w:numFmt w:val="lowerLetter"/>
      <w:start w:val="3"/>
    </w:lvl>
  </w:abstractNum>
  <w:abstractNum w:abstractNumId="212">
    <w:nsid w:val="327FAC77"/>
    <w:multiLevelType w:val="hybridMultilevel"/>
    <w:lvl w:ilvl="0">
      <w:lvlJc w:val="left"/>
      <w:lvlText w:val="(%1)"/>
      <w:numFmt w:val="lowerLetter"/>
      <w:start w:val="1"/>
    </w:lvl>
  </w:abstractNum>
  <w:abstractNum w:abstractNumId="213">
    <w:nsid w:val="5A606509"/>
    <w:multiLevelType w:val="hybridMultilevel"/>
    <w:lvl w:ilvl="0">
      <w:lvlJc w:val="left"/>
      <w:lvlText w:val="(%1)"/>
      <w:numFmt w:val="lowerLetter"/>
      <w:start w:val="1"/>
    </w:lvl>
  </w:abstractNum>
  <w:abstractNum w:abstractNumId="214">
    <w:nsid w:val="6F38E6D1"/>
    <w:multiLevelType w:val="hybridMultilevel"/>
    <w:lvl w:ilvl="0">
      <w:lvlJc w:val="left"/>
      <w:lvlText w:val="(%1)"/>
      <w:numFmt w:val="lowerLetter"/>
      <w:start w:val="3"/>
    </w:lvl>
  </w:abstractNum>
  <w:abstractNum w:abstractNumId="215">
    <w:nsid w:val="46111BA5"/>
    <w:multiLevelType w:val="hybridMultilevel"/>
    <w:lvl w:ilvl="0">
      <w:lvlJc w:val="left"/>
      <w:lvlText w:val="(%1)"/>
      <w:numFmt w:val="lowerLetter"/>
      <w:start w:val="1"/>
    </w:lvl>
  </w:abstractNum>
  <w:abstractNum w:abstractNumId="216">
    <w:nsid w:val="5E963896"/>
    <w:multiLevelType w:val="hybridMultilevel"/>
    <w:lvl w:ilvl="0">
      <w:lvlJc w:val="left"/>
      <w:lvlText w:val="%1"/>
      <w:numFmt w:val="lowerLetter"/>
      <w:start w:val="1"/>
    </w:lvl>
    <w:lvl w:ilvl="1">
      <w:lvlJc w:val="left"/>
      <w:lvlText w:val="(%2)"/>
      <w:numFmt w:val="lowerLetter"/>
      <w:start w:val="3"/>
    </w:lvl>
  </w:abstractNum>
  <w:abstractNum w:abstractNumId="217">
    <w:nsid w:val="775BA7C1"/>
    <w:multiLevelType w:val="hybridMultilevel"/>
    <w:lvl w:ilvl="0">
      <w:lvlJc w:val="left"/>
      <w:lvlText w:val="(%1)"/>
      <w:numFmt w:val="lowerLetter"/>
      <w:start w:val="35"/>
    </w:lvl>
    <w:lvl w:ilvl="1">
      <w:lvlJc w:val="left"/>
      <w:lvlText w:val="(%2)"/>
      <w:numFmt w:val="lowerLetter"/>
      <w:start w:val="5"/>
    </w:lvl>
  </w:abstractNum>
  <w:abstractNum w:abstractNumId="218">
    <w:nsid w:val="1DD6D6F4"/>
    <w:multiLevelType w:val="hybridMultilevel"/>
    <w:lvl w:ilvl="0">
      <w:lvlJc w:val="left"/>
      <w:lvlText w:val="(%1)"/>
      <w:numFmt w:val="lowerLetter"/>
      <w:start w:val="9"/>
    </w:lvl>
    <w:lvl w:ilvl="1">
      <w:lvlJc w:val="left"/>
      <w:lvlText w:val="(%2)"/>
      <w:numFmt w:val="lowerLetter"/>
      <w:start w:val="6"/>
    </w:lvl>
  </w:abstractNum>
  <w:abstractNum w:abstractNumId="219">
    <w:nsid w:val="769A091F"/>
    <w:multiLevelType w:val="hybridMultilevel"/>
    <w:lvl w:ilvl="0">
      <w:lvlJc w:val="left"/>
      <w:lvlText w:val="(%1)"/>
      <w:numFmt w:val="lowerLetter"/>
      <w:start w:val="7"/>
    </w:lvl>
  </w:abstractNum>
  <w:abstractNum w:abstractNumId="220">
    <w:nsid w:val="4695AE95"/>
    <w:multiLevelType w:val="hybridMultilevel"/>
    <w:lvl w:ilvl="0">
      <w:lvlJc w:val="left"/>
      <w:lvlText w:val="(%1)"/>
      <w:numFmt w:val="lowerLetter"/>
      <w:start w:val="1"/>
    </w:lvl>
  </w:abstractNum>
  <w:abstractNum w:abstractNumId="221">
    <w:nsid w:val="777A4EAA"/>
    <w:multiLevelType w:val="hybridMultilevel"/>
    <w:lvl w:ilvl="0">
      <w:lvlJc w:val="left"/>
      <w:lvlText w:val="(%1)"/>
      <w:numFmt w:val="lowerLetter"/>
      <w:start w:val="3"/>
    </w:lvl>
  </w:abstractNum>
  <w:abstractNum w:abstractNumId="222">
    <w:nsid w:val="3F48B982"/>
    <w:multiLevelType w:val="hybridMultilevel"/>
    <w:lvl w:ilvl="0">
      <w:lvlJc w:val="left"/>
      <w:lvlText w:val="(%1)"/>
      <w:numFmt w:val="lowerLetter"/>
      <w:start w:val="1"/>
    </w:lvl>
  </w:abstractNum>
  <w:abstractNum w:abstractNumId="223">
    <w:nsid w:val="46BA8FCA"/>
    <w:multiLevelType w:val="hybridMultilevel"/>
    <w:lvl w:ilvl="0">
      <w:lvlJc w:val="left"/>
      <w:lvlText w:val="(%1)"/>
      <w:numFmt w:val="lowerLetter"/>
      <w:start w:val="2"/>
    </w:lvl>
  </w:abstractNum>
  <w:abstractNum w:abstractNumId="224">
    <w:nsid w:val="7835626C"/>
    <w:multiLevelType w:val="hybridMultilevel"/>
    <w:lvl w:ilvl="0">
      <w:lvlJc w:val="left"/>
      <w:lvlText w:val="(%1)"/>
      <w:numFmt w:val="lowerLetter"/>
      <w:start w:val="6"/>
    </w:lvl>
  </w:abstractNum>
  <w:abstractNum w:abstractNumId="225">
    <w:nsid w:val="665ACA49"/>
    <w:multiLevelType w:val="hybridMultilevel"/>
    <w:lvl w:ilvl="0">
      <w:lvlJc w:val="left"/>
      <w:lvlText w:val="(%1)"/>
      <w:numFmt w:val="lowerLetter"/>
      <w:start w:val="1"/>
    </w:lvl>
  </w:abstractNum>
  <w:abstractNum w:abstractNumId="226">
    <w:nsid w:val="6835B2AE"/>
    <w:multiLevelType w:val="hybridMultilevel"/>
    <w:lvl w:ilvl="0">
      <w:lvlJc w:val="left"/>
      <w:lvlText w:val="(%1)"/>
      <w:numFmt w:val="lowerLetter"/>
      <w:start w:val="1"/>
    </w:lvl>
  </w:abstractNum>
  <w:abstractNum w:abstractNumId="227">
    <w:nsid w:val="4C187C90"/>
    <w:multiLevelType w:val="hybridMultilevel"/>
    <w:lvl w:ilvl="0">
      <w:lvlJc w:val="left"/>
      <w:lvlText w:val="(%1)"/>
      <w:numFmt w:val="lowerLetter"/>
      <w:start w:val="7"/>
    </w:lvl>
  </w:abstractNum>
  <w:abstractNum w:abstractNumId="228">
    <w:nsid w:val="541F28CD"/>
    <w:multiLevelType w:val="hybridMultilevel"/>
    <w:lvl w:ilvl="0">
      <w:lvlJc w:val="left"/>
      <w:lvlText w:val="(%1)"/>
      <w:numFmt w:val="lowerLetter"/>
      <w:start w:val="16"/>
    </w:lvl>
  </w:abstractNum>
  <w:abstractNum w:abstractNumId="229">
    <w:nsid w:val="7F65FD16"/>
    <w:multiLevelType w:val="hybridMultilevel"/>
    <w:lvl w:ilvl="0">
      <w:lvlJc w:val="left"/>
      <w:lvlText w:val="(%1)"/>
      <w:numFmt w:val="lowerRoman"/>
      <w:start w:val="1"/>
    </w:lvl>
  </w:abstractNum>
  <w:abstractNum w:abstractNumId="230">
    <w:nsid w:val="77C9FD68"/>
    <w:multiLevelType w:val="hybridMultilevel"/>
    <w:lvl w:ilvl="0">
      <w:lvlJc w:val="left"/>
      <w:lvlText w:val="(%1)"/>
      <w:numFmt w:val="lowerRoman"/>
      <w:start w:val="3"/>
    </w:lvl>
  </w:abstractNum>
  <w:abstractNum w:abstractNumId="231">
    <w:nsid w:val="298A92BA"/>
    <w:multiLevelType w:val="hybridMultilevel"/>
    <w:lvl w:ilvl="0">
      <w:lvlJc w:val="left"/>
      <w:lvlText w:val="(%1)"/>
      <w:numFmt w:val="lowerRoman"/>
      <w:start w:val="2"/>
    </w:lvl>
  </w:abstractNum>
  <w:abstractNum w:abstractNumId="232">
    <w:nsid w:val="6FE95EAC"/>
    <w:multiLevelType w:val="hybridMultilevel"/>
    <w:lvl w:ilvl="0">
      <w:lvlJc w:val="left"/>
      <w:lvlText w:val="%1"/>
      <w:numFmt w:val="lowerLetter"/>
      <w:start w:val="1"/>
    </w:lvl>
    <w:lvl w:ilvl="1">
      <w:lvlJc w:val="left"/>
      <w:lvlText w:val="(%2)"/>
      <w:numFmt w:val="lowerLetter"/>
      <w:start w:val="1"/>
    </w:lvl>
  </w:abstractNum>
  <w:abstractNum w:abstractNumId="233">
    <w:nsid w:val="4B697C7A"/>
    <w:multiLevelType w:val="hybridMultilevel"/>
    <w:lvl w:ilvl="0">
      <w:lvlJc w:val="left"/>
      <w:lvlText w:val="(%1)"/>
      <w:numFmt w:val="lowerLetter"/>
      <w:start w:val="9"/>
    </w:lvl>
    <w:lvl w:ilvl="1">
      <w:lvlJc w:val="left"/>
      <w:lvlText w:val="(%2)"/>
      <w:numFmt w:val="lowerLetter"/>
      <w:start w:val="2"/>
    </w:lvl>
  </w:abstractNum>
  <w:abstractNum w:abstractNumId="234">
    <w:nsid w:val="51A27AA6"/>
    <w:multiLevelType w:val="hybridMultilevel"/>
    <w:lvl w:ilvl="0">
      <w:lvlJc w:val="left"/>
      <w:lvlText w:val="%1"/>
      <w:numFmt w:val="lowerLetter"/>
      <w:start w:val="1"/>
    </w:lvl>
    <w:lvl w:ilvl="1">
      <w:lvlJc w:val="left"/>
      <w:lvlText w:val="(%2)"/>
      <w:numFmt w:val="lowerLetter"/>
      <w:start w:val="1"/>
    </w:lvl>
  </w:abstractNum>
  <w:abstractNum w:abstractNumId="235">
    <w:nsid w:val="613183F2"/>
    <w:multiLevelType w:val="hybridMultilevel"/>
    <w:lvl w:ilvl="0">
      <w:lvlJc w:val="left"/>
      <w:lvlText w:val="(%1)"/>
      <w:numFmt w:val="lowerLetter"/>
      <w:start w:val="9"/>
    </w:lvl>
    <w:lvl w:ilvl="1">
      <w:lvlJc w:val="left"/>
      <w:lvlText w:val="(%2)"/>
      <w:numFmt w:val="lowerLetter"/>
      <w:start w:val="3"/>
    </w:lvl>
  </w:abstractNum>
  <w:abstractNum w:abstractNumId="236">
    <w:nsid w:val="634102B4"/>
    <w:multiLevelType w:val="hybridMultilevel"/>
    <w:lvl w:ilvl="0">
      <w:lvlJc w:val="left"/>
      <w:lvlText w:val="(%1)"/>
      <w:numFmt w:val="lowerLetter"/>
      <w:start w:val="6"/>
    </w:lvl>
    <w:lvl w:ilvl="1">
      <w:lvlJc w:val="left"/>
      <w:lvlText w:val="(%2)"/>
      <w:numFmt w:val="lowerLetter"/>
      <w:start w:val="10"/>
    </w:lvl>
  </w:abstractNum>
  <w:abstractNum w:abstractNumId="237">
    <w:nsid w:val="65BF9DA8"/>
    <w:multiLevelType w:val="hybridMultilevel"/>
    <w:lvl w:ilvl="0">
      <w:lvlJc w:val="left"/>
      <w:lvlText w:val="(%1)"/>
      <w:numFmt w:val="lowerRoman"/>
      <w:start w:val="1"/>
    </w:lvl>
  </w:abstractNum>
  <w:abstractNum w:abstractNumId="238">
    <w:nsid w:val="21A2ECCA"/>
    <w:multiLevelType w:val="hybridMultilevel"/>
    <w:lvl w:ilvl="0">
      <w:lvlJc w:val="left"/>
      <w:lvlText w:val="(%1)"/>
      <w:numFmt w:val="upperLetter"/>
      <w:start w:val="1"/>
    </w:lvl>
  </w:abstractNum>
  <w:abstractNum w:abstractNumId="239">
    <w:nsid w:val="4D5C4899"/>
    <w:multiLevelType w:val="hybridMultilevel"/>
    <w:lvl w:ilvl="0">
      <w:lvlJc w:val="left"/>
      <w:lvlText w:val="(%1)"/>
      <w:numFmt w:val="lowerRoman"/>
      <w:start w:val="2"/>
    </w:lvl>
  </w:abstractNum>
  <w:abstractNum w:abstractNumId="240">
    <w:nsid w:val="3C3B72B2"/>
    <w:multiLevelType w:val="hybridMultilevel"/>
    <w:lvl w:ilvl="0">
      <w:lvlJc w:val="left"/>
      <w:lvlText w:val="%1"/>
      <w:numFmt w:val="lowerLetter"/>
      <w:start w:val="1"/>
    </w:lvl>
    <w:lvl w:ilvl="1">
      <w:lvlJc w:val="left"/>
      <w:lvlText w:val="(%2)"/>
      <w:numFmt w:val="lowerLetter"/>
      <w:start w:val="1"/>
    </w:lvl>
  </w:abstractNum>
  <w:abstractNum w:abstractNumId="241">
    <w:nsid w:val="155EC4C2"/>
    <w:multiLevelType w:val="hybridMultilevel"/>
    <w:lvl w:ilvl="0">
      <w:lvlJc w:val="left"/>
      <w:lvlText w:val="(%1)"/>
      <w:numFmt w:val="lowerLetter"/>
      <w:start w:val="1"/>
    </w:lvl>
    <w:lvl w:ilvl="1">
      <w:lvlJc w:val="left"/>
      <w:lvlText w:val="(%2)"/>
      <w:numFmt w:val="lowerLetter"/>
      <w:start w:val="9"/>
    </w:lvl>
  </w:abstractNum>
  <w:abstractNum w:abstractNumId="242">
    <w:nsid w:val="65D2A137"/>
    <w:multiLevelType w:val="hybridMultilevel"/>
    <w:lvl w:ilvl="0">
      <w:lvlJc w:val="left"/>
      <w:lvlText w:val="(%1)"/>
      <w:numFmt w:val="lowerRoman"/>
      <w:start w:val="1"/>
    </w:lvl>
  </w:abstractNum>
  <w:abstractNum w:abstractNumId="243">
    <w:nsid w:val="6EBB1F2A"/>
    <w:multiLevelType w:val="hybridMultilevel"/>
    <w:lvl w:ilvl="0">
      <w:lvlJc w:val="left"/>
      <w:lvlText w:val="(%1)"/>
      <w:numFmt w:val="lowerRoman"/>
      <w:start w:val="2"/>
    </w:lvl>
  </w:abstractNum>
  <w:abstractNum w:abstractNumId="244">
    <w:nsid w:val="6FBF29CB"/>
    <w:multiLevelType w:val="hybridMultilevel"/>
    <w:lvl w:ilvl="0">
      <w:lvlJc w:val="left"/>
      <w:lvlText w:val="(%1)"/>
      <w:numFmt w:val="lowerLetter"/>
      <w:start w:val="4"/>
    </w:lvl>
  </w:abstractNum>
  <w:abstractNum w:abstractNumId="245">
    <w:nsid w:val="550B8808"/>
    <w:multiLevelType w:val="hybridMultilevel"/>
    <w:lvl w:ilvl="0">
      <w:lvlJc w:val="left"/>
      <w:lvlText w:val="(%1)"/>
      <w:numFmt w:val="lowerRoman"/>
      <w:start w:val="1"/>
    </w:lvl>
  </w:abstractNum>
  <w:abstractNum w:abstractNumId="246">
    <w:nsid w:val="34CC3ACF"/>
    <w:multiLevelType w:val="hybridMultilevel"/>
    <w:lvl w:ilvl="0">
      <w:lvlJc w:val="left"/>
      <w:lvlText w:val="(%1)"/>
      <w:numFmt w:val="lowerLetter"/>
      <w:start w:val="5"/>
    </w:lvl>
  </w:abstractNum>
  <w:abstractNum w:abstractNumId="247">
    <w:nsid w:val="4E556261"/>
    <w:multiLevelType w:val="hybridMultilevel"/>
    <w:lvl w:ilvl="0">
      <w:lvlJc w:val="left"/>
      <w:lvlText w:val="(%1)"/>
      <w:numFmt w:val="lowerLetter"/>
      <w:start w:val="6"/>
    </w:lvl>
  </w:abstractNum>
  <w:abstractNum w:abstractNumId="248">
    <w:nsid w:val="4C672FC9"/>
    <w:multiLevelType w:val="hybridMultilevel"/>
    <w:lvl w:ilvl="0">
      <w:lvlJc w:val="left"/>
      <w:lvlText w:val="%1"/>
      <w:numFmt w:val="lowerLetter"/>
      <w:start w:val="1"/>
    </w:lvl>
    <w:lvl w:ilvl="1">
      <w:lvlJc w:val="left"/>
      <w:lvlText w:val="(%2)"/>
      <w:numFmt w:val="lowerLetter"/>
      <w:start w:val="11"/>
    </w:lvl>
  </w:abstractNum>
  <w:abstractNum w:abstractNumId="249">
    <w:nsid w:val="52A311C3"/>
    <w:multiLevelType w:val="hybridMultilevel"/>
    <w:lvl w:ilvl="0">
      <w:lvlJc w:val="left"/>
      <w:lvlText w:val="(%1)"/>
      <w:numFmt w:val="lowerLetter"/>
      <w:start w:val="35"/>
    </w:lvl>
    <w:lvl w:ilvl="1">
      <w:lvlJc w:val="left"/>
      <w:lvlText w:val="(%2)"/>
      <w:numFmt w:val="lowerLetter"/>
      <w:start w:val="14"/>
    </w:lvl>
  </w:abstractNum>
  <w:abstractNum w:abstractNumId="250">
    <w:nsid w:val="44EF6B80"/>
    <w:multiLevelType w:val="hybridMultilevel"/>
    <w:lvl w:ilvl="0">
      <w:lvlJc w:val="left"/>
      <w:lvlText w:val="(%1)"/>
      <w:numFmt w:val="lowerRoman"/>
      <w:start w:val="2"/>
    </w:lvl>
  </w:abstractNum>
  <w:abstractNum w:abstractNumId="251">
    <w:nsid w:val="12FCDE5E"/>
    <w:multiLevelType w:val="hybridMultilevel"/>
    <w:lvl w:ilvl="0">
      <w:lvlJc w:val="left"/>
      <w:lvlText w:val="(%1)"/>
      <w:numFmt w:val="lowerLetter"/>
      <w:start w:val="1"/>
    </w:lvl>
  </w:abstractNum>
  <w:abstractNum w:abstractNumId="252">
    <w:nsid w:val="4A1D606E"/>
    <w:multiLevelType w:val="hybridMultilevel"/>
    <w:lvl w:ilvl="0">
      <w:lvlJc w:val="left"/>
      <w:lvlText w:val="(%1)"/>
      <w:numFmt w:val="lowerLetter"/>
      <w:start w:val="3"/>
    </w:lvl>
  </w:abstractNum>
  <w:abstractNum w:abstractNumId="253">
    <w:nsid w:val="4382503"/>
    <w:multiLevelType w:val="hybridMultilevel"/>
    <w:lvl w:ilvl="0">
      <w:lvlJc w:val="left"/>
      <w:lvlText w:val="(%1)"/>
      <w:numFmt w:val="lowerLetter"/>
      <w:start w:val="8"/>
    </w:lvl>
  </w:abstractNum>
  <w:abstractNum w:abstractNumId="254">
    <w:nsid w:val="59B76E28"/>
    <w:multiLevelType w:val="hybridMultilevel"/>
    <w:lvl w:ilvl="0">
      <w:lvlJc w:val="left"/>
      <w:lvlText w:val="%1"/>
      <w:numFmt w:val="lowerLetter"/>
      <w:start w:val="1"/>
    </w:lvl>
    <w:lvl w:ilvl="1">
      <w:lvlJc w:val="left"/>
      <w:lvlText w:val="(%2)"/>
      <w:numFmt w:val="lowerLetter"/>
      <w:start w:val="1"/>
    </w:lvl>
  </w:abstractNum>
  <w:abstractNum w:abstractNumId="255">
    <w:nsid w:val="4252C2DA"/>
    <w:multiLevelType w:val="hybridMultilevel"/>
    <w:lvl w:ilvl="0">
      <w:lvlJc w:val="left"/>
      <w:lvlText w:val="(%1)"/>
      <w:numFmt w:val="lowerLetter"/>
      <w:start w:val="35"/>
    </w:lvl>
    <w:lvl w:ilvl="1">
      <w:lvlJc w:val="left"/>
      <w:lvlText w:val="(%2)"/>
      <w:numFmt w:val="lowerLetter"/>
      <w:start w:val="4"/>
    </w:lvl>
  </w:abstractNum>
  <w:abstractNum w:abstractNumId="256">
    <w:nsid w:val="6A92EF4C"/>
    <w:multiLevelType w:val="hybridMultilevel"/>
    <w:lvl w:ilvl="0">
      <w:lvlJc w:val="left"/>
      <w:lvlText w:val="(%1)"/>
      <w:numFmt w:val="lowerLetter"/>
      <w:start w:val="3"/>
    </w:lvl>
    <w:lvl w:ilvl="1">
      <w:lvlJc w:val="left"/>
      <w:lvlText w:val="(%2)"/>
      <w:numFmt w:val="lowerLetter"/>
      <w:start w:val="5"/>
    </w:lvl>
  </w:abstractNum>
  <w:abstractNum w:abstractNumId="257">
    <w:nsid w:val="41ED20D7"/>
    <w:multiLevelType w:val="hybridMultilevel"/>
    <w:lvl w:ilvl="0">
      <w:lvlJc w:val="left"/>
      <w:lvlText w:val="(%1)"/>
      <w:numFmt w:val="lowerLetter"/>
      <w:start w:val="6"/>
    </w:lvl>
  </w:abstractNum>
  <w:abstractNum w:abstractNumId="258">
    <w:nsid w:val="E6B3F6A"/>
    <w:multiLevelType w:val="hybridMultilevel"/>
    <w:lvl w:ilvl="0">
      <w:lvlJc w:val="left"/>
      <w:lvlText w:val="%1"/>
      <w:numFmt w:val="lowerLetter"/>
      <w:start w:val="1"/>
    </w:lvl>
    <w:lvl w:ilvl="1">
      <w:lvlJc w:val="left"/>
      <w:lvlText w:val="(%2)"/>
      <w:numFmt w:val="lowerLetter"/>
      <w:start w:val="9"/>
    </w:lvl>
  </w:abstractNum>
  <w:abstractNum w:abstractNumId="259">
    <w:nsid w:val="3EB21819"/>
    <w:multiLevelType w:val="hybridMultilevel"/>
    <w:lvl w:ilvl="0">
      <w:lvlJc w:val="left"/>
      <w:lvlText w:val="(%1)"/>
      <w:numFmt w:val="lowerLetter"/>
      <w:start w:val="10"/>
    </w:lvl>
    <w:lvl w:ilvl="1">
      <w:lvlJc w:val="left"/>
      <w:lvlText w:val="%2"/>
      <w:numFmt w:val="lowerLetter"/>
      <w:start w:val="1"/>
    </w:lvl>
  </w:abstractNum>
  <w:abstractNum w:abstractNumId="260">
    <w:nsid w:val="41531DED"/>
    <w:multiLevelType w:val="hybridMultilevel"/>
    <w:lvl w:ilvl="0">
      <w:lvlJc w:val="left"/>
      <w:lvlText w:val="(%1)"/>
      <w:numFmt w:val="lowerLetter"/>
      <w:start w:val="1"/>
    </w:lvl>
  </w:abstractNum>
  <w:abstractNum w:abstractNumId="261">
    <w:nsid w:val="6353CD2"/>
    <w:multiLevelType w:val="hybridMultilevel"/>
    <w:lvl w:ilvl="0">
      <w:lvlJc w:val="left"/>
      <w:lvlText w:val="(%1)"/>
      <w:numFmt w:val="lowerLetter"/>
      <w:start w:val="4"/>
    </w:lvl>
  </w:abstractNum>
  <w:abstractNum w:abstractNumId="262">
    <w:nsid w:val="683CAAD3"/>
    <w:multiLevelType w:val="hybridMultilevel"/>
    <w:lvl w:ilvl="0">
      <w:lvlJc w:val="left"/>
      <w:lvlText w:val="%1"/>
      <w:numFmt w:val="lowerLetter"/>
      <w:start w:val="1"/>
    </w:lvl>
    <w:lvl w:ilvl="1">
      <w:lvlJc w:val="left"/>
      <w:lvlText w:val="(%2)"/>
      <w:numFmt w:val="lowerLetter"/>
      <w:start w:val="1"/>
    </w:lvl>
  </w:abstractNum>
  <w:abstractNum w:abstractNumId="263">
    <w:nsid w:val="313C7C99"/>
    <w:multiLevelType w:val="hybridMultilevel"/>
    <w:lvl w:ilvl="0">
      <w:lvlJc w:val="left"/>
      <w:lvlText w:val="(%1)"/>
      <w:numFmt w:val="lowerLetter"/>
      <w:start w:val="61"/>
    </w:lvl>
    <w:lvl w:ilvl="1">
      <w:lvlJc w:val="left"/>
      <w:lvlText w:val="(%2)"/>
      <w:numFmt w:val="lowerLetter"/>
      <w:start w:val="2"/>
    </w:lvl>
  </w:abstractNum>
  <w:abstractNum w:abstractNumId="264">
    <w:nsid w:val="519EB94C"/>
    <w:multiLevelType w:val="hybridMultilevel"/>
    <w:lvl w:ilvl="0">
      <w:lvlJc w:val="left"/>
      <w:lvlText w:val="(%1)"/>
      <w:numFmt w:val="lowerLetter"/>
      <w:start w:val="3"/>
    </w:lvl>
  </w:abstractNum>
  <w:abstractNum w:abstractNumId="265">
    <w:nsid w:val="39DF2579"/>
    <w:multiLevelType w:val="hybridMultilevel"/>
    <w:lvl w:ilvl="0">
      <w:lvlJc w:val="left"/>
      <w:lvlText w:val="(%1)"/>
      <w:numFmt w:val="lowerLetter"/>
      <w:start w:val="1"/>
    </w:lvl>
  </w:abstractNum>
  <w:abstractNum w:abstractNumId="266">
    <w:nsid w:val="126E008B"/>
    <w:multiLevelType w:val="hybridMultilevel"/>
    <w:lvl w:ilvl="0">
      <w:lvlJc w:val="left"/>
      <w:lvlText w:val="(%1)"/>
      <w:numFmt w:val="lowerLetter"/>
      <w:start w:val="1"/>
    </w:lvl>
  </w:abstractNum>
  <w:abstractNum w:abstractNumId="267">
    <w:nsid w:val="34DFBC00"/>
    <w:multiLevelType w:val="hybridMultilevel"/>
    <w:lvl w:ilvl="0">
      <w:lvlJc w:val="left"/>
      <w:lvlText w:val="%1"/>
      <w:numFmt w:val="lowerLetter"/>
      <w:start w:val="1"/>
    </w:lvl>
    <w:lvl w:ilvl="1">
      <w:lvlJc w:val="left"/>
      <w:lvlText w:val="(%2)"/>
      <w:numFmt w:val="lowerLetter"/>
      <w:start w:val="1"/>
    </w:lvl>
  </w:abstractNum>
  <w:abstractNum w:abstractNumId="268">
    <w:nsid w:val="1F9EC322"/>
    <w:multiLevelType w:val="hybridMultilevel"/>
    <w:lvl w:ilvl="0">
      <w:lvlJc w:val="left"/>
      <w:lvlText w:val="(%1)"/>
      <w:numFmt w:val="lowerLetter"/>
      <w:start w:val="35"/>
    </w:lvl>
    <w:lvl w:ilvl="1">
      <w:lvlJc w:val="left"/>
      <w:lvlText w:val="%2"/>
      <w:numFmt w:val="lowerLetter"/>
      <w:start w:val="1"/>
    </w:lvl>
  </w:abstractNum>
  <w:abstractNum w:abstractNumId="269">
    <w:nsid w:val="3410ED56"/>
    <w:multiLevelType w:val="hybridMultilevel"/>
    <w:lvl w:ilvl="0">
      <w:lvlJc w:val="left"/>
      <w:lvlText w:val="%1"/>
      <w:numFmt w:val="lowerLetter"/>
      <w:start w:val="1"/>
    </w:lvl>
    <w:lvl w:ilvl="1">
      <w:lvlJc w:val="left"/>
      <w:lvlText w:val="(%2)"/>
      <w:numFmt w:val="lowerLetter"/>
      <w:start w:val="2"/>
    </w:lvl>
  </w:abstractNum>
  <w:abstractNum w:abstractNumId="270">
    <w:nsid w:val="23C049A"/>
    <w:multiLevelType w:val="hybridMultilevel"/>
    <w:lvl w:ilvl="0">
      <w:lvlJc w:val="left"/>
      <w:lvlText w:val="(%1)"/>
      <w:numFmt w:val="lowerLetter"/>
      <w:start w:val="35"/>
    </w:lvl>
    <w:lvl w:ilvl="1">
      <w:lvlJc w:val="left"/>
      <w:lvlText w:val="(%2)"/>
      <w:numFmt w:val="lowerLetter"/>
      <w:start w:val="3"/>
    </w:lvl>
  </w:abstractNum>
  <w:abstractNum w:abstractNumId="271">
    <w:nsid w:val="5BDA35D4"/>
    <w:multiLevelType w:val="hybridMultilevel"/>
    <w:lvl w:ilvl="0">
      <w:lvlJc w:val="left"/>
      <w:lvlText w:val="%1"/>
      <w:numFmt w:val="lowerLetter"/>
      <w:start w:val="1"/>
    </w:lvl>
    <w:lvl w:ilvl="1">
      <w:lvlJc w:val="left"/>
      <w:lvlText w:val="(%2)"/>
      <w:numFmt w:val="lowerLetter"/>
      <w:start w:val="5"/>
    </w:lvl>
  </w:abstractNum>
  <w:abstractNum w:abstractNumId="272">
    <w:nsid w:val="496FB218"/>
    <w:multiLevelType w:val="hybridMultilevel"/>
    <w:lvl w:ilvl="0">
      <w:lvlJc w:val="left"/>
      <w:lvlText w:val="(%1)"/>
      <w:numFmt w:val="lowerLetter"/>
      <w:start w:val="25"/>
    </w:lvl>
    <w:lvl w:ilvl="1">
      <w:lvlJc w:val="left"/>
      <w:lvlText w:val="(%2)"/>
      <w:numFmt w:val="lowerLetter"/>
      <w:start w:val="6"/>
    </w:lvl>
  </w:abstractNum>
  <w:abstractNum w:abstractNumId="273">
    <w:nsid w:val="680EA5D1"/>
    <w:multiLevelType w:val="hybridMultilevel"/>
    <w:lvl w:ilvl="0">
      <w:lvlJc w:val="left"/>
      <w:lvlText w:val="(%1)"/>
      <w:numFmt w:val="lowerLetter"/>
      <w:start w:val="2"/>
    </w:lvl>
  </w:abstractNum>
  <w:abstractNum w:abstractNumId="274">
    <w:nsid w:val="4A9554FE"/>
    <w:multiLevelType w:val="hybridMultilevel"/>
    <w:lvl w:ilvl="0">
      <w:lvlJc w:val="left"/>
      <w:lvlText w:val="(%1)"/>
      <w:numFmt w:val="lowerLetter"/>
      <w:start w:val="1"/>
    </w:lvl>
  </w:abstractNum>
  <w:abstractNum w:abstractNumId="275">
    <w:nsid w:val="392EDBE4"/>
    <w:multiLevelType w:val="hybridMultilevel"/>
    <w:lvl w:ilvl="0">
      <w:lvlJc w:val="left"/>
      <w:lvlText w:val="(%1)"/>
      <w:numFmt w:val="lowerLetter"/>
      <w:start w:val="1"/>
    </w:lvl>
  </w:abstractNum>
  <w:abstractNum w:abstractNumId="276">
    <w:nsid w:val="3D1A2DD9"/>
    <w:multiLevelType w:val="hybridMultilevel"/>
    <w:lvl w:ilvl="0">
      <w:lvlJc w:val="left"/>
      <w:lvlText w:val="(%1)"/>
      <w:numFmt w:val="lowerLetter"/>
      <w:start w:val="2"/>
    </w:lvl>
  </w:abstractNum>
  <w:abstractNum w:abstractNumId="277">
    <w:nsid w:val="7F618FCD"/>
    <w:multiLevelType w:val="hybridMultilevel"/>
    <w:lvl w:ilvl="0">
      <w:lvlJc w:val="left"/>
      <w:lvlText w:val="%1"/>
      <w:numFmt w:val="lowerLetter"/>
      <w:start w:val="1"/>
    </w:lvl>
    <w:lvl w:ilvl="1">
      <w:lvlJc w:val="left"/>
      <w:lvlText w:val="(%2)"/>
      <w:numFmt w:val="lowerLetter"/>
      <w:start w:val="1"/>
    </w:lvl>
  </w:abstractNum>
  <w:abstractNum w:abstractNumId="278">
    <w:nsid w:val="7843E45"/>
    <w:multiLevelType w:val="hybridMultilevel"/>
    <w:lvl w:ilvl="0">
      <w:lvlJc w:val="left"/>
      <w:lvlText w:val="(%1)"/>
      <w:numFmt w:val="lowerLetter"/>
      <w:start w:val="1"/>
    </w:lvl>
    <w:lvl w:ilvl="1">
      <w:lvlJc w:val="left"/>
      <w:lvlText w:val="%2"/>
      <w:numFmt w:val="lowerLetter"/>
      <w:start w:val="1"/>
    </w:lvl>
  </w:abstractNum>
  <w:abstractNum w:abstractNumId="279">
    <w:nsid w:val="9815DA3"/>
    <w:multiLevelType w:val="hybridMultilevel"/>
    <w:lvl w:ilvl="0">
      <w:lvlJc w:val="left"/>
      <w:lvlText w:val="%1"/>
      <w:numFmt w:val="lowerLetter"/>
      <w:start w:val="1"/>
    </w:lvl>
    <w:lvl w:ilvl="1">
      <w:lvlJc w:val="left"/>
      <w:lvlText w:val="(%2)"/>
      <w:numFmt w:val="lowerLetter"/>
      <w:start w:val="1"/>
    </w:lvl>
  </w:abstractNum>
  <w:abstractNum w:abstractNumId="280">
    <w:nsid w:val="5204A191"/>
    <w:multiLevelType w:val="hybridMultilevel"/>
    <w:lvl w:ilvl="0">
      <w:lvlJc w:val="left"/>
      <w:lvlText w:val="(%1)"/>
      <w:numFmt w:val="lowerLetter"/>
      <w:start w:val="35"/>
    </w:lvl>
    <w:lvl w:ilvl="1">
      <w:lvlJc w:val="left"/>
      <w:lvlText w:val="(%2)"/>
      <w:numFmt w:val="lowerLetter"/>
      <w:start w:val="2"/>
    </w:lvl>
  </w:abstractNum>
  <w:abstractNum w:abstractNumId="281">
    <w:nsid w:val="4C73A9C6"/>
    <w:multiLevelType w:val="hybridMultilevel"/>
    <w:lvl w:ilvl="0">
      <w:lvlJc w:val="left"/>
      <w:lvlText w:val="%1"/>
      <w:numFmt w:val="decimal"/>
      <w:start w:val="1"/>
    </w:lvl>
    <w:lvl w:ilvl="1">
      <w:lvlJc w:val="left"/>
      <w:lvlText w:val="(%2)"/>
      <w:numFmt w:val="lowerRoman"/>
      <w:start w:val="1"/>
    </w:lvl>
  </w:abstractNum>
  <w:abstractNum w:abstractNumId="282">
    <w:nsid w:val="1C7E3C01"/>
    <w:multiLevelType w:val="hybridMultilevel"/>
    <w:lvl w:ilvl="0">
      <w:lvlJc w:val="left"/>
      <w:lvlText w:val="(%1)"/>
      <w:numFmt w:val="decimal"/>
      <w:start w:val="1"/>
    </w:lvl>
    <w:lvl w:ilvl="1">
      <w:lvlJc w:val="left"/>
      <w:lvlText w:val="%2"/>
      <w:numFmt w:val="lowerRoman"/>
      <w:start w:val="1"/>
    </w:lvl>
  </w:abstractNum>
  <w:abstractNum w:abstractNumId="283">
    <w:nsid w:val="1C2201FF"/>
    <w:multiLevelType w:val="hybridMultilevel"/>
    <w:lvl w:ilvl="0">
      <w:lvlJc w:val="left"/>
      <w:lvlText w:val="(%1)"/>
      <w:numFmt w:val="lowerRoman"/>
      <w:start w:val="2"/>
    </w:lvl>
  </w:abstractNum>
  <w:abstractNum w:abstractNumId="284">
    <w:nsid w:val="50ABCEC9"/>
    <w:multiLevelType w:val="hybridMultilevel"/>
    <w:lvl w:ilvl="0">
      <w:lvlJc w:val="left"/>
      <w:lvlText w:val="%1"/>
      <w:numFmt w:val="upperLetter"/>
      <w:start w:val="1"/>
    </w:lvl>
    <w:lvl w:ilvl="1">
      <w:lvlJc w:val="left"/>
      <w:lvlText w:val="(%2)"/>
      <w:numFmt w:val="lowerRoman"/>
      <w:start w:val="3"/>
    </w:lvl>
  </w:abstractNum>
  <w:abstractNum w:abstractNumId="285">
    <w:nsid w:val="7635AA2A"/>
    <w:multiLevelType w:val="hybridMultilevel"/>
    <w:lvl w:ilvl="0">
      <w:lvlJc w:val="left"/>
      <w:lvlText w:val="(%1)"/>
      <w:numFmt w:val="upperLetter"/>
      <w:start w:val="1"/>
    </w:lvl>
    <w:lvl w:ilvl="1">
      <w:lvlJc w:val="left"/>
      <w:lvlText w:val="%2"/>
      <w:numFmt w:val="lowerRoman"/>
      <w:start w:val="1"/>
    </w:lvl>
  </w:abstractNum>
  <w:abstractNum w:abstractNumId="286">
    <w:nsid w:val="5E74C4D9"/>
    <w:multiLevelType w:val="hybridMultilevel"/>
    <w:lvl w:ilvl="0">
      <w:lvlJc w:val="left"/>
      <w:lvlText w:val="(%1)"/>
      <w:numFmt w:val="lowerLetter"/>
      <w:start w:val="1"/>
    </w:lvl>
  </w:abstractNum>
  <w:abstractNum w:abstractNumId="287">
    <w:nsid w:val="3B3EBE15"/>
    <w:multiLevelType w:val="hybridMultilevel"/>
    <w:lvl w:ilvl="0">
      <w:lvlJc w:val="left"/>
      <w:lvlText w:val="%1"/>
      <w:numFmt w:val="lowerLetter"/>
      <w:start w:val="1"/>
    </w:lvl>
    <w:lvl w:ilvl="1">
      <w:lvlJc w:val="left"/>
      <w:lvlText w:val="(%2)"/>
      <w:numFmt w:val="lowerLetter"/>
      <w:start w:val="5"/>
    </w:lvl>
  </w:abstractNum>
  <w:abstractNum w:abstractNumId="288">
    <w:nsid w:val="3822CB01"/>
    <w:multiLevelType w:val="hybridMultilevel"/>
    <w:lvl w:ilvl="0">
      <w:lvlJc w:val="left"/>
      <w:lvlText w:val="(%1)"/>
      <w:numFmt w:val="lowerLetter"/>
      <w:start w:val="61"/>
    </w:lvl>
    <w:lvl w:ilvl="1">
      <w:lvlJc w:val="left"/>
      <w:lvlText w:val="(%2)"/>
      <w:numFmt w:val="lowerLetter"/>
      <w:start w:val="12"/>
    </w:lvl>
  </w:abstractNum>
  <w:abstractNum w:abstractNumId="289">
    <w:nsid w:val="6CE00443"/>
    <w:multiLevelType w:val="hybridMultilevel"/>
    <w:lvl w:ilvl="0">
      <w:lvlJc w:val="left"/>
      <w:lvlText w:val="/"/>
      <w:numFmt w:val="bullet"/>
      <w:start w:val="1"/>
    </w:lvl>
  </w:abstractNum>
  <w:abstractNum w:abstractNumId="290">
    <w:nsid w:val="79F0D62F"/>
    <w:multiLevelType w:val="hybridMultilevel"/>
    <w:lvl w:ilvl="0">
      <w:lvlJc w:val="left"/>
      <w:lvlText w:val="/"/>
      <w:numFmt w:val="bullet"/>
      <w:start w:val="1"/>
    </w:lvl>
  </w:abstractNum>
  <w:abstractNum w:abstractNumId="291">
    <w:nsid w:val="7975E8E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2019-12-14T21:10:22Z</dcterms:created>
  <dcterms:modified xsi:type="dcterms:W3CDTF">2019-12-14T21:10:22Z</dcterms:modified>
</cp:coreProperties>
</file>