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6-K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REPORT OF FOREIGN PRIVATE ISSUER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 13a-16 OR 15d-16 UNDER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September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FOMENTO ECONÓMICO MEXICANO, S.A.B. DE C.V.</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Mexican Economic Development,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Mexican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(Jurisdiction of incorporation or organization)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General Anaya No. 601 Pte.</w:t>
        <w:br/>
        <w:t>Colonia Bella Vista</w:t>
        <w:br/>
        <w:t xml:space="preserve">Monterrey, Nuevo León 64410 </w:t>
        <w:br/>
        <w:t>México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 cover of Form 20-F or Form 40-F: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88" w:before="0" w:after="0"/>
        <w:jc w:val="left"/>
        <w:rPr>
          <w:color w:val="000000"/>
        </w:rPr>
      </w:pP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permitted by Regulation S-T Rule 101(b)(1):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submitting the Form 6-K in paper as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permitted by Regulation S-T Rule 101(b)(7):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by furnishing the information contained in this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the registrant is also thereby furnishing the information to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pursuant to Rule 12g3-2(b) under the Securities Exchange Act of 1934.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Yes ☐ No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connection with Rule 12g3-2(b): 82-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 has duly caused this report to be signed on its behalf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undersigned, thereunto duly authorized.</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t>
      </w:r>
    </w:p>
    <w:p>
      <w:pPr>
        <w:pStyle w:val="TextBody"/>
        <w:bidi w:val="0"/>
        <w:spacing w:lineRule="auto" w:line="288" w:before="0" w:after="0"/>
        <w:ind w:left="0" w:right="0" w:firstLine="720"/>
        <w:jc w:val="center"/>
        <w:rPr/>
      </w:pPr>
      <w:r>
        <w:rPr>
          <w:rFonts w:ascii="Times New Roman;serif" w:hAnsi="Times New Roman;serif"/>
          <w:b w:val="false"/>
          <w:color w:val="000000"/>
          <w:sz w:val="20"/>
        </w:rPr>
        <w:t>FOMENTO ECONÓMICO MEXICANO, S.A.B. DE C.V</w:t>
      </w:r>
      <w:r>
        <w:rPr>
          <w:rFonts w:ascii="Times New Roman;serif" w:hAnsi="Times New Roman;serif"/>
          <w:b w:val="false"/>
          <w:color w:val="000000"/>
          <w:sz w:val="24"/>
        </w:rPr>
        <w:t>.</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val="false"/>
          <w:color w:val="000000"/>
          <w:sz w:val="20"/>
        </w:rPr>
        <w:t xml:space="preserve">By: /s/ </w:t>
      </w:r>
      <w:r>
        <w:rPr>
          <w:rFonts w:ascii="Times New Roman;serif" w:hAnsi="Times New Roman;serif"/>
          <w:b w:val="false"/>
          <w:color w:val="000000"/>
          <w:sz w:val="20"/>
          <w:u w:val="single"/>
        </w:rPr>
        <w:t>Martin Felipe Arias Yaniz</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Martin Felipe Arias Yaniz</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Director of Finance and Corporate Development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571625" cy="3429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571625" cy="342900"/>
                    </a:xfrm>
                    <a:prstGeom prst="rect">
                      <a:avLst/>
                    </a:prstGeom>
                  </pic:spPr>
                </pic:pic>
              </a:graphicData>
            </a:graphic>
          </wp:inline>
        </w:drawing>
      </w:r>
      <w:r>
        <w:rPr>
          <w:color w:val="000000"/>
        </w:rPr>
        <w:t>         </w:t>
      </w:r>
      <w:r>
        <w:rPr/>
        <w:drawing>
          <wp:inline distT="0" distB="0" distL="0" distR="0">
            <wp:extent cx="2667000" cy="3143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667000" cy="314325"/>
                    </a:xfrm>
                    <a:prstGeom prst="rect">
                      <a:avLst/>
                    </a:prstGeom>
                  </pic:spPr>
                </pic:pic>
              </a:graphicData>
            </a:graphic>
          </wp:inline>
        </w:drawing>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Open Sans;sans-serif" w:hAnsi="Open Sans;sans-serif"/>
          <w:b/>
          <w:color w:val="862633"/>
          <w:sz w:val="36"/>
        </w:rPr>
      </w:pPr>
      <w:r>
        <w:rPr>
          <w:rFonts w:ascii="Open Sans;sans-serif" w:hAnsi="Open Sans;sans-serif"/>
          <w:b/>
          <w:color w:val="862633"/>
          <w:sz w:val="36"/>
        </w:rPr>
        <w:t xml:space="preserve">FEMSA Announces Successful Issuance </w:t>
      </w:r>
    </w:p>
    <w:p>
      <w:pPr>
        <w:pStyle w:val="TextBody"/>
        <w:bidi w:val="0"/>
        <w:spacing w:lineRule="auto" w:line="268" w:before="0" w:after="0"/>
        <w:jc w:val="center"/>
        <w:rPr>
          <w:rFonts w:ascii="Open Sans;sans-serif" w:hAnsi="Open Sans;sans-serif"/>
          <w:b/>
          <w:color w:val="862633"/>
          <w:sz w:val="36"/>
        </w:rPr>
      </w:pPr>
      <w:r>
        <w:rPr>
          <w:rFonts w:ascii="Open Sans;sans-serif" w:hAnsi="Open Sans;sans-serif"/>
          <w:b/>
          <w:color w:val="862633"/>
          <w:sz w:val="36"/>
        </w:rPr>
        <w:t>in the Swiss Bond Market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76" w:before="0" w:after="0"/>
        <w:jc w:val="both"/>
        <w:rPr/>
      </w:pPr>
      <w:r>
        <w:rPr>
          <w:rFonts w:ascii="Open Sans;sans-serif" w:hAnsi="Open Sans;sans-serif"/>
          <w:b/>
          <w:color w:val="000000"/>
          <w:sz w:val="19"/>
        </w:rPr>
        <w:t xml:space="preserve">Monterrey, Mexico, September 23, 2026 — </w:t>
      </w:r>
      <w:r>
        <w:rPr>
          <w:rFonts w:ascii="Open Sans;sans-serif" w:hAnsi="Open Sans;sans-serif"/>
          <w:b w:val="false"/>
          <w:color w:val="000000"/>
          <w:sz w:val="18"/>
        </w:rPr>
        <w:t>Fomento Económico Mexicano, S.A.B. de C.V. (“FEMSA” or the “Company”) (NYSE: FMX; BMV: FEMSAUBD, FEMSAUB) announced the placement of a Swiss Franc denominated offering of Senior Unsecured Bonds in the Swiss bond market, to be listed on SIX Swiss Exchange.</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18"/>
        </w:rPr>
      </w:pPr>
      <w:r>
        <w:rPr>
          <w:rFonts w:ascii="Open Sans;sans-serif" w:hAnsi="Open Sans;sans-serif"/>
          <w:b w:val="false"/>
          <w:color w:val="000000"/>
          <w:sz w:val="18"/>
        </w:rPr>
        <w:t>FEMSA successfully issued CHF $300 million in a 5-year senior unsecured bonds. The bonds will bear interest at an annual rate of 107 basis points over the relevant benchmark rate, for a yield of 1.73%.</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18"/>
        </w:rPr>
      </w:pPr>
      <w:r>
        <w:rPr>
          <w:rFonts w:ascii="Open Sans;sans-serif" w:hAnsi="Open Sans;sans-serif"/>
          <w:b w:val="false"/>
          <w:color w:val="000000"/>
          <w:sz w:val="18"/>
        </w:rPr>
        <w:t>The issuance received credit ratings of BBB+ from S&amp;P Global Ratings and A from Fitch Ratings.</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18"/>
        </w:rPr>
      </w:pPr>
      <w:r>
        <w:rPr>
          <w:rFonts w:ascii="Open Sans;sans-serif" w:hAnsi="Open Sans;sans-serif"/>
          <w:b w:val="false"/>
          <w:color w:val="000000"/>
          <w:sz w:val="18"/>
        </w:rPr>
        <w:t>The proceeds from this issuance will be used for general corporate purposes, improving FEMSA’s cost of debt and increasing its financial flexibility under extremely favorable conditions.</w:t>
      </w:r>
    </w:p>
    <w:p>
      <w:pPr>
        <w:pStyle w:val="TextBody"/>
        <w:bidi w:val="0"/>
        <w:spacing w:before="0" w:after="0"/>
        <w:jc w:val="both"/>
        <w:rPr/>
      </w:pPr>
      <w:r>
        <w:rPr/>
      </w:r>
    </w:p>
    <w:p>
      <w:pPr>
        <w:pStyle w:val="TextBody"/>
        <w:bidi w:val="0"/>
        <w:spacing w:lineRule="auto" w:line="276" w:before="0" w:after="0"/>
        <w:jc w:val="both"/>
        <w:rPr>
          <w:rFonts w:ascii="Open Sans;sans-serif" w:hAnsi="Open Sans;sans-serif"/>
          <w:b w:val="false"/>
          <w:color w:val="000000"/>
          <w:sz w:val="18"/>
        </w:rPr>
      </w:pPr>
      <w:r>
        <w:rPr>
          <w:rFonts w:ascii="Open Sans;sans-serif" w:hAnsi="Open Sans;sans-serif"/>
          <w:b w:val="false"/>
          <w:color w:val="000000"/>
          <w:sz w:val="18"/>
        </w:rPr>
        <w:t>This press release does not constitute an offer to sell or the solicitation of an offer to buy securities, nor shall there be any sales of securities in any jurisdiction in which such offer, solicitation or sale would be unlawful prior to registration or qualification under the securities laws of any jurisdiction.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Open Sans;sans-serif" w:hAnsi="Open Sans;sans-serif"/>
          <w:b/>
          <w:color w:val="000000"/>
          <w:sz w:val="16"/>
        </w:rPr>
        <w:t>About</w:t>
      </w:r>
      <w:r>
        <w:rPr>
          <w:color w:val="000000"/>
        </w:rPr>
        <w:t xml:space="preserve"> </w:t>
      </w:r>
      <w:r>
        <w:rPr>
          <w:rFonts w:ascii="Open Sans;sans-serif" w:hAnsi="Open Sans;sans-serif"/>
          <w:b/>
          <w:color w:val="000000"/>
          <w:sz w:val="16"/>
        </w:rPr>
        <w:t>FEMSA</w:t>
      </w:r>
    </w:p>
    <w:p>
      <w:pPr>
        <w:pStyle w:val="TextBody"/>
        <w:bidi w:val="0"/>
        <w:spacing w:lineRule="auto" w:line="276" w:before="0" w:after="0"/>
        <w:jc w:val="both"/>
        <w:rPr>
          <w:rFonts w:ascii="Open Sans;sans-serif" w:hAnsi="Open Sans;sans-serif"/>
          <w:b w:val="false"/>
          <w:color w:val="000000"/>
          <w:sz w:val="16"/>
        </w:rPr>
      </w:pPr>
      <w:r>
        <w:rPr>
          <w:rFonts w:ascii="Open Sans;sans-serif" w:hAnsi="Open Sans;sans-serif"/>
          <w:b w:val="false"/>
          <w:color w:val="000000"/>
          <w:sz w:val="16"/>
        </w:rPr>
        <w:t>FEMSA is a company that creates economic and social value through companies and institutions and strives to be the best employer and neighbor to the communities in which it operates. It participates in two core sectors, retail and beverages. In retail, FEMSA is present through four divisions: i) OXXO Mexico, operating the largest small-format store chain in Mexico; ii) Americas &amp; Mobility, which includes its OXXO convenience store operations across Latin America and the United States, as well as its gas station business in Mexico and the United States; iii) FEMSA Europe, operating convenience and foodvenience formats in five European countries; and iv) FEMSA Health, which includes drugstores and related activities in four Latin American countries. In Mexico, OXXO’s operations are enhanced by, and comprise a customer-focused ecosystem with Spin, a digital platform that leverages the OXXO store network to provide Mexican consumers with access to digital financial services, including Spin by OXXO and Spin Premia, among other initiatives. In the beverage sector, FEMSA participates through Coca-Cola FEMSA, the largest franchise bottler of Coca-Cola products in the world by volume. Across its business units, FEMSA has more than 369,000 employees in 18 countries. FEMSA is a member of the Dow Jones Best-in-Class World Index &amp; Dow Jones Best-in-Class MILA Pacific Alliance Index, both from S&amp;P Global; FTSE4Good Emerging Index; MSCI EM Latin America ESG Leaders Index; S&amp;P/BMV Total México ESG, among other indexes.</w:t>
      </w:r>
    </w:p>
    <w:p>
      <w:pPr>
        <w:pStyle w:val="TextBody"/>
        <w:bidi w:val="0"/>
        <w:spacing w:before="0" w:after="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985520"/>
                <wp:effectExtent l="0" t="0" r="0" b="0"/>
                <wp:wrapNone/>
                <wp:docPr id="5" name="Frame3"/>
                <a:graphic xmlns:a="http://schemas.openxmlformats.org/drawingml/2006/main">
                  <a:graphicData uri="http://schemas.microsoft.com/office/word/2010/wordprocessingShape">
                    <wps:wsp>
                      <wps:cNvSpPr txBox="1"/>
                      <wps:spPr>
                        <a:xfrm>
                          <a:off x="0" y="0"/>
                          <a:ext cx="6480175" cy="985520"/>
                        </a:xfrm>
                        <a:prstGeom prst="rect"/>
                        <a:solidFill>
                          <a:srgbClr val="FFFFFF"/>
                        </a:solidFill>
                      </wps:spPr>
                      <wps:txbx>
                        <w:txbxContent>
                          <w:tbl>
                            <w:tblPr>
                              <w:tblW w:w="7599" w:type="dxa"/>
                              <w:jc w:val="left"/>
                              <w:tblInd w:w="0" w:type="dxa"/>
                              <w:tblLayout w:type="fixed"/>
                              <w:tblCellMar>
                                <w:top w:w="28" w:type="dxa"/>
                                <w:left w:w="28" w:type="dxa"/>
                                <w:bottom w:w="28" w:type="dxa"/>
                                <w:right w:w="28" w:type="dxa"/>
                              </w:tblCellMar>
                            </w:tblPr>
                            <w:tblGrid>
                              <w:gridCol w:w="691"/>
                              <w:gridCol w:w="607"/>
                              <w:gridCol w:w="608"/>
                              <w:gridCol w:w="109"/>
                              <w:gridCol w:w="109"/>
                              <w:gridCol w:w="109"/>
                              <w:gridCol w:w="785"/>
                              <w:gridCol w:w="785"/>
                              <w:gridCol w:w="786"/>
                              <w:gridCol w:w="109"/>
                              <w:gridCol w:w="109"/>
                              <w:gridCol w:w="109"/>
                              <w:gridCol w:w="599"/>
                              <w:gridCol w:w="599"/>
                              <w:gridCol w:w="601"/>
                              <w:gridCol w:w="258"/>
                              <w:gridCol w:w="258"/>
                              <w:gridCol w:w="368"/>
                            </w:tblGrid>
                            <w:tr>
                              <w:trPr/>
                              <w:tc>
                                <w:tcPr>
                                  <w:tcW w:w="691" w:type="dxa"/>
                                  <w:tcBorders/>
                                  <w:vAlign w:val="center"/>
                                </w:tcPr>
                                <w:p>
                                  <w:pPr>
                                    <w:pStyle w:val="TableContents"/>
                                    <w:bidi w:val="0"/>
                                    <w:spacing w:before="0" w:after="283"/>
                                    <w:jc w:val="left"/>
                                    <w:rPr>
                                      <w:sz w:val="4"/>
                                      <w:szCs w:val="4"/>
                                    </w:rPr>
                                  </w:pPr>
                                  <w:r>
                                    <w:rPr>
                                      <w:sz w:val="4"/>
                                      <w:szCs w:val="4"/>
                                    </w:rPr>
                                  </w:r>
                                  <w:r>
                                    <w:br w:type="page"/>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Investor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818-328-6000</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investor@femsa.com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femsa.gcs-web.com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Media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555-249-6843</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comunicacion@femsa.com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 Light;sans-serif" w:hAnsi="Open Sans Light;sans-serif"/>
                                      <w:b w:val="false"/>
                                      <w:color w:val="000000"/>
                                      <w:sz w:val="16"/>
                                    </w:rPr>
                                  </w:pPr>
                                  <w:r>
                                    <w:rPr>
                                      <w:rFonts w:ascii="Open Sans Light;sans-serif" w:hAnsi="Open Sans Light;sans-serif"/>
                                      <w:b w:val="false"/>
                                      <w:color w:val="000000"/>
                                      <w:sz w:val="16"/>
                                    </w:rPr>
                                    <w:t>September 23, 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 Light;sans-serif" w:hAnsi="Open Sans Light;sans-serif"/>
                                      <w:b w:val="false"/>
                                      <w:color w:val="000000"/>
                                      <w:sz w:val="16"/>
                                    </w:rPr>
                                    <w:t>| Page 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6pt;mso-wrap-distance-left:0pt;mso-wrap-distance-right:0pt;mso-wrap-distance-top:0pt;mso-wrap-distance-bottom:0pt;margin-top:0pt;mso-position-vertical:top;mso-position-vertical-relative:text;margin-left:0pt;mso-position-horizontal:left;mso-position-horizontal-relative:text">
                <v:textbox>
                  <w:txbxContent>
                    <w:tbl>
                      <w:tblPr>
                        <w:tblW w:w="7599" w:type="dxa"/>
                        <w:jc w:val="left"/>
                        <w:tblInd w:w="0" w:type="dxa"/>
                        <w:tblLayout w:type="fixed"/>
                        <w:tblCellMar>
                          <w:top w:w="28" w:type="dxa"/>
                          <w:left w:w="28" w:type="dxa"/>
                          <w:bottom w:w="28" w:type="dxa"/>
                          <w:right w:w="28" w:type="dxa"/>
                        </w:tblCellMar>
                      </w:tblPr>
                      <w:tblGrid>
                        <w:gridCol w:w="691"/>
                        <w:gridCol w:w="607"/>
                        <w:gridCol w:w="608"/>
                        <w:gridCol w:w="109"/>
                        <w:gridCol w:w="109"/>
                        <w:gridCol w:w="109"/>
                        <w:gridCol w:w="785"/>
                        <w:gridCol w:w="785"/>
                        <w:gridCol w:w="786"/>
                        <w:gridCol w:w="109"/>
                        <w:gridCol w:w="109"/>
                        <w:gridCol w:w="109"/>
                        <w:gridCol w:w="599"/>
                        <w:gridCol w:w="599"/>
                        <w:gridCol w:w="601"/>
                        <w:gridCol w:w="258"/>
                        <w:gridCol w:w="258"/>
                        <w:gridCol w:w="368"/>
                      </w:tblGrid>
                      <w:tr>
                        <w:trPr/>
                        <w:tc>
                          <w:tcPr>
                            <w:tcW w:w="69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Investor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818-328-6000</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investor@femsa.com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femsa.gcs-web.com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Media Contact</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(52) 555-249-6843</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comunicacion@femsa.com</w:t>
                            </w:r>
                          </w:p>
                          <w:p>
                            <w:pPr>
                              <w:pStyle w:val="TableContents"/>
                              <w:bidi w:val="0"/>
                              <w:spacing w:lineRule="auto" w:line="288" w:before="0" w:after="0"/>
                              <w:jc w:val="left"/>
                              <w:rPr>
                                <w:rFonts w:ascii="Open Sans Light;sans-serif" w:hAnsi="Open Sans Light;sans-serif"/>
                                <w:b w:val="false"/>
                                <w:color w:val="000000"/>
                                <w:sz w:val="16"/>
                              </w:rPr>
                            </w:pPr>
                            <w:r>
                              <w:rPr>
                                <w:rFonts w:ascii="Open Sans Light;sans-serif" w:hAnsi="Open Sans Light;sans-serif"/>
                                <w:b w:val="false"/>
                                <w:color w:val="000000"/>
                                <w:sz w:val="16"/>
                              </w:rPr>
                              <w:t>femsa.com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Open Sans Light;sans-serif" w:hAnsi="Open Sans Light;sans-serif"/>
                                <w:b w:val="false"/>
                                <w:color w:val="000000"/>
                                <w:sz w:val="16"/>
                              </w:rPr>
                            </w:pPr>
                            <w:r>
                              <w:rPr>
                                <w:rFonts w:ascii="Open Sans Light;sans-serif" w:hAnsi="Open Sans Light;sans-serif"/>
                                <w:b w:val="false"/>
                                <w:color w:val="000000"/>
                                <w:sz w:val="16"/>
                              </w:rPr>
                              <w:t>September 23, 2026</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Open Sans Light;sans-serif" w:hAnsi="Open Sans Light;sans-serif"/>
                                <w:b w:val="false"/>
                                <w:color w:val="000000"/>
                                <w:sz w:val="16"/>
                              </w:rPr>
                              <w:t>| Page 1</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Open Sans">
    <w:altName w:val="sans-serif"/>
    <w:charset w:val="01"/>
    <w:family w:val="auto"/>
    <w:pitch w:val="default"/>
  </w:font>
  <w:font w:name="Open Sans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710</Words>
  <Characters>3868</Characters>
  <CharactersWithSpaces>4583</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