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462d1_6k.htm"/>
      <w:bookmarkStart w:id="1" w:name="kstm262146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FOMENTO ECONÓMICO MEXICANO, S.A.B. DE C.V.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Mexican Economic Development,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Mexican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Anaya No. 601 Pte.</w:t>
        <w:br/>
        <w:t>Colonia Bella Vista</w:t>
        <w:br/>
        <w:t>Monterrey, Nuevo León 64410</w:t>
        <w:br/>
        <w:t>México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by Regulation S-T Rule 101(b)(1):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by Regulation S-T Rule 101(b)(7):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by furnishing the information contained in this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the registrant is also thereby furnishing the information to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pursuant to Rule 12g3-2(b)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"Yes" is marked, indicate below the file number assigned to the registrant in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connection with Rule 12g3-2(b): 82-_____________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 has duly caused this report to be signed on its behalf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459" w:type="dxa"/>
        <w:jc w:val="left"/>
        <w:tblInd w:w="0" w:type="dxa"/>
        <w:tblLayout w:type="fixed"/>
        <w:tblCellMar>
          <w:top w:w="0" w:type="dxa"/>
          <w:left w:w="0" w:type="dxa"/>
          <w:bottom w:w="0" w:type="dxa"/>
          <w:right w:w="0" w:type="dxa"/>
        </w:tblCellMar>
      </w:tblPr>
      <w:tblGrid>
        <w:gridCol w:w="75"/>
        <w:gridCol w:w="372"/>
        <w:gridCol w:w="4012"/>
      </w:tblGrid>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FOMENTO ECONÓMICO MEXICANO, S.A. DE C.V.</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01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Martin Felipe Arias Yaniz</w:t>
            </w:r>
          </w:p>
        </w:tc>
      </w:tr>
      <w:tr>
        <w:trPr/>
        <w:tc>
          <w:tcPr>
            <w:tcW w:w="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caps w:val="false"/>
                <w:smallCaps w:val="false"/>
              </w:rPr>
            </w:pPr>
            <w:r>
              <w:rPr>
                <w:caps w:val="false"/>
                <w:smallCaps w:val="false"/>
              </w:rPr>
              <w:t> </w:t>
            </w:r>
          </w:p>
        </w:tc>
        <w:tc>
          <w:tcPr>
            <w:tcW w:w="40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Felipe Arias Yaniz</w:t>
            </w:r>
          </w:p>
        </w:tc>
      </w:tr>
      <w:tr>
        <w:trPr/>
        <w:tc>
          <w:tcPr>
            <w:tcW w:w="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caps w:val="false"/>
                <w:smallCaps w:val="false"/>
              </w:rPr>
            </w:pPr>
            <w:r>
              <w:rPr>
                <w:caps w:val="false"/>
                <w:smallCaps w:val="false"/>
              </w:rPr>
              <w:t> </w:t>
            </w:r>
          </w:p>
        </w:tc>
        <w:tc>
          <w:tcPr>
            <w:tcW w:w="40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Finance and Corporate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1462d1_ex99-1.htm"/>
      <w:bookmarkStart w:id="3" w:name="kstm262146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2669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5334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124700" cy="2276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24700" cy="2276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818-328-6167</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investor@femsa.com</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femsa.gcs-web.com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555-249-6843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comunicacion@femsa.com</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femsa.com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Monterrey, Mexico, July 28, 2026</w:t>
      </w:r>
      <w:r>
        <w:rPr>
          <w:rFonts w:ascii="Times New Roman;Times;Serif" w:hAnsi="Times New Roman;Times;Serif"/>
          <w:b w:val="false"/>
          <w:i w:val="false"/>
          <w:caps w:val="false"/>
          <w:smallCaps w:val="false"/>
          <w:sz w:val="20"/>
        </w:rPr>
        <w:t xml:space="preserve"> — Fomento Económico Mexicano, S.A.B. de C.V. (“FEMSA”) (NYSE: FMX; BMV: FEMSAUBD, FEMSAUB) announced today its operational and financial results for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Reporting Segments Update: </w:t>
      </w:r>
      <w:r>
        <w:rPr>
          <w:rFonts w:ascii="Times New Roman;Times;Serif" w:hAnsi="Times New Roman;Times;Serif"/>
          <w:b w:val="false"/>
          <w:i w:val="false"/>
          <w:caps w:val="false"/>
          <w:smallCaps w:val="false"/>
          <w:sz w:val="20"/>
        </w:rPr>
        <w:t xml:space="preserve">In our continuous effort to improve our disclosure, we have updated FEMSA’s reporting segment structure to better reflect the scale, stage of development, and strategic differentiation of our various operations.  This updated structure should provide investors with greater visibility into the drivers of performance across our operations. Our updated reporting segments are as follows: </w:t>
      </w:r>
      <w:r>
        <w:rPr>
          <w:rFonts w:ascii="Times New Roman;Times;Serif" w:hAnsi="Times New Roman;Times;Serif"/>
          <w:b/>
          <w:i w:val="false"/>
          <w:caps w:val="false"/>
          <w:smallCaps w:val="false"/>
          <w:sz w:val="20"/>
        </w:rPr>
        <w:t xml:space="preserve">i) OXXO Mexico; ii) Americas &amp; Mobility </w:t>
      </w:r>
      <w:r>
        <w:rPr>
          <w:rFonts w:ascii="Times New Roman;Times;Serif" w:hAnsi="Times New Roman;Times;Serif"/>
          <w:b w:val="false"/>
          <w:i w:val="false"/>
          <w:caps w:val="false"/>
          <w:smallCaps w:val="false"/>
          <w:sz w:val="20"/>
        </w:rPr>
        <w:t xml:space="preserve">which now includes all OXXO operations outside of Mexico (Brazil, Colombia, Chile, Peru and the U.S.), as well as the fuel operations in Mexico and the U.S; </w:t>
      </w:r>
      <w:r>
        <w:rPr>
          <w:rFonts w:ascii="Times New Roman;Times;Serif" w:hAnsi="Times New Roman;Times;Serif"/>
          <w:b/>
          <w:i w:val="false"/>
          <w:caps w:val="false"/>
          <w:smallCaps w:val="false"/>
          <w:sz w:val="20"/>
        </w:rPr>
        <w:t xml:space="preserve">iii) Europe; iv) Health; and v) Coca-Cola FEMSA.  </w:t>
      </w:r>
      <w:r>
        <w:rPr>
          <w:rFonts w:ascii="Times New Roman;Times;Serif" w:hAnsi="Times New Roman;Times;Serif"/>
          <w:b w:val="false"/>
          <w:i w:val="false"/>
          <w:caps w:val="false"/>
          <w:smallCaps w:val="false"/>
          <w:sz w:val="20"/>
        </w:rPr>
        <w:t>Only segments i) and ii) changed relative to our previous reporting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16230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162300" cy="447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25"/>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515" w:type="dxa"/>
            <w:tcBorders/>
            <w:vAlign w:val="center"/>
          </w:tcPr>
          <w:p>
            <w:pPr>
              <w:pStyle w:val="TableContents"/>
              <w:bidi w:val="0"/>
              <w:spacing w:before="0" w:after="283"/>
              <w:jc w:val="both"/>
              <w:rPr>
                <w:sz w:val="20"/>
              </w:rPr>
            </w:pPr>
            <w:r>
              <w:rPr>
                <w:b/>
                <w:sz w:val="20"/>
              </w:rPr>
              <w:t>FEMSA: Total consolidated revenues grew 9.3%</w:t>
            </w:r>
            <w:r>
              <w:rPr>
                <w:sz w:val="20"/>
              </w:rPr>
              <w:t xml:space="preserve"> and </w:t>
            </w:r>
            <w:r>
              <w:rPr>
                <w:b/>
                <w:sz w:val="20"/>
              </w:rPr>
              <w:t>Income from operations increased 7.2%</w:t>
            </w:r>
            <w:r>
              <w:rPr>
                <w:sz w:val="20"/>
              </w:rPr>
              <w:t xml:space="preserve"> compared to 2Q25.</w:t>
            </w:r>
          </w:p>
        </w:tc>
      </w:tr>
    </w:tbl>
    <w:p>
      <w:pPr>
        <w:pStyle w:val="TextBody"/>
        <w:bidi w:val="0"/>
        <w:spacing w:before="0" w:after="283"/>
        <w:jc w:val="left"/>
        <w:rPr/>
      </w:pPr>
      <w:r>
        <w:rPr/>
        <w:t> </w:t>
      </w:r>
    </w:p>
    <w:tbl>
      <w:tblPr>
        <w:tblW w:w="8898" w:type="dxa"/>
        <w:jc w:val="left"/>
        <w:tblInd w:w="0" w:type="dxa"/>
        <w:tblLayout w:type="fixed"/>
        <w:tblCellMar>
          <w:top w:w="0" w:type="dxa"/>
          <w:left w:w="0" w:type="dxa"/>
          <w:bottom w:w="0" w:type="dxa"/>
          <w:right w:w="0" w:type="dxa"/>
        </w:tblCellMar>
      </w:tblPr>
      <w:tblGrid>
        <w:gridCol w:w="38"/>
        <w:gridCol w:w="125"/>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35" w:type="dxa"/>
            <w:tcBorders/>
            <w:vAlign w:val="center"/>
          </w:tcPr>
          <w:p>
            <w:pPr>
              <w:pStyle w:val="TableContents"/>
              <w:bidi w:val="0"/>
              <w:spacing w:before="0" w:after="283"/>
              <w:jc w:val="both"/>
              <w:rPr>
                <w:sz w:val="20"/>
              </w:rPr>
            </w:pPr>
            <w:r>
              <w:rPr>
                <w:b/>
                <w:sz w:val="20"/>
              </w:rPr>
              <w:t>OXXO Mexico: Total revenues grew 11.8%</w:t>
            </w:r>
            <w:r>
              <w:rPr>
                <w:sz w:val="20"/>
              </w:rPr>
              <w:t xml:space="preserve"> and </w:t>
            </w:r>
            <w:r>
              <w:rPr>
                <w:b/>
                <w:sz w:val="20"/>
              </w:rPr>
              <w:t xml:space="preserve">Income from operations increased 12.3% </w:t>
            </w:r>
            <w:r>
              <w:rPr>
                <w:sz w:val="20"/>
              </w:rPr>
              <w:t xml:space="preserve">versus 2Q25.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SPIN: Spin by OXXO had 11.5 million active users</w:t>
            </w:r>
            <w:r>
              <w:rPr>
                <w:rFonts w:ascii="Times New Roman;Times;Serif" w:hAnsi="Times New Roman;Times;Serif"/>
                <w:b/>
                <w:position w:val="8"/>
                <w:sz w:val="19"/>
              </w:rPr>
              <w:t>1</w:t>
            </w:r>
            <w:r>
              <w:rPr>
                <w:rFonts w:ascii="Times New Roman;Times;Serif" w:hAnsi="Times New Roman;Times;Serif"/>
              </w:rPr>
              <w:t xml:space="preserve"> representing </w:t>
            </w:r>
            <w:r>
              <w:rPr>
                <w:rFonts w:ascii="Times New Roman;Times;Serif" w:hAnsi="Times New Roman;Times;Serif"/>
                <w:b/>
              </w:rPr>
              <w:t>22.1% growth</w:t>
            </w:r>
            <w:r>
              <w:rPr>
                <w:rFonts w:ascii="Times New Roman;Times;Serif" w:hAnsi="Times New Roman;Times;Serif"/>
              </w:rPr>
              <w:t xml:space="preserve"> compared to 2Q25 while </w:t>
            </w:r>
            <w:r>
              <w:rPr>
                <w:rFonts w:ascii="Times New Roman;Times;Serif" w:hAnsi="Times New Roman;Times;Serif"/>
                <w:b/>
              </w:rPr>
              <w:t>Spin Premia had 29.1 million active loyalty users</w:t>
            </w:r>
            <w:r>
              <w:rPr>
                <w:rFonts w:ascii="Times New Roman;Times;Serif" w:hAnsi="Times New Roman;Times;Serif"/>
                <w:b/>
                <w:position w:val="8"/>
                <w:sz w:val="19"/>
              </w:rPr>
              <w:t>2</w:t>
            </w:r>
            <w:r>
              <w:rPr>
                <w:rFonts w:ascii="Times New Roman;Times;Serif" w:hAnsi="Times New Roman;Times;Serif"/>
              </w:rPr>
              <w:t xml:space="preserve"> representing </w:t>
            </w:r>
            <w:r>
              <w:rPr>
                <w:rFonts w:ascii="Times New Roman;Times;Serif" w:hAnsi="Times New Roman;Times;Serif"/>
                <w:b/>
              </w:rPr>
              <w:t>9.4% growth</w:t>
            </w:r>
            <w:r>
              <w:rPr>
                <w:rFonts w:ascii="Times New Roman;Times;Serif" w:hAnsi="Times New Roman;Times;Serif"/>
              </w:rPr>
              <w:t xml:space="preserve"> compared to 2Q25, and an average tender at OXXO Mexico of </w:t>
            </w:r>
            <w:r>
              <w:rPr>
                <w:rFonts w:ascii="Times New Roman;Times;Serif" w:hAnsi="Times New Roman;Times;Serif"/>
                <w:b/>
              </w:rPr>
              <w:t>50.4%</w:t>
            </w:r>
            <w:r>
              <w:rPr>
                <w:rFonts w:ascii="Times New Roman;Times;Serif" w:hAnsi="Times New Roman;Times;Serif"/>
              </w:rPr>
              <w:t xml:space="preserve"> which increased from 45.8% in 2Q25.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COCA-COLA FEMSA: Total revenues grew 4.7% </w:t>
            </w:r>
            <w:r>
              <w:rPr>
                <w:rFonts w:ascii="Times New Roman;Times;Serif" w:hAnsi="Times New Roman;Times;Serif"/>
              </w:rPr>
              <w:t xml:space="preserve">and </w:t>
            </w:r>
            <w:r>
              <w:rPr>
                <w:rFonts w:ascii="Times New Roman;Times;Serif" w:hAnsi="Times New Roman;Times;Serif"/>
                <w:b/>
              </w:rPr>
              <w:t xml:space="preserve">Income from Operations increased 9.1% </w:t>
            </w:r>
            <w:r>
              <w:rPr>
                <w:rFonts w:ascii="Times New Roman;Times;Serif" w:hAnsi="Times New Roman;Times;Serif"/>
              </w:rPr>
              <w:t>against 2Q25.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Summary for the Second Quarter and First Six Months of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vs. comparable period</w:t>
      </w:r>
    </w:p>
    <w:p>
      <w:pPr>
        <w:pStyle w:val="TextBody"/>
        <w:bidi w:val="0"/>
        <w:spacing w:before="0" w:after="0"/>
        <w:ind w:left="0" w:right="0" w:hanging="0"/>
        <w:jc w:val="center"/>
        <w:rPr>
          <w:caps w:val="false"/>
          <w:smallCaps w:val="false"/>
        </w:rPr>
      </w:pPr>
      <w:r>
        <w:rPr>
          <w:caps w:val="false"/>
          <w:smallCaps w:val="false"/>
        </w:rPr>
        <w:t> </w:t>
      </w:r>
    </w:p>
    <w:tbl>
      <w:tblPr>
        <w:tblW w:w="9555" w:type="dxa"/>
        <w:jc w:val="left"/>
        <w:tblInd w:w="0" w:type="dxa"/>
        <w:tblLayout w:type="fixed"/>
        <w:tblCellMar>
          <w:top w:w="0" w:type="dxa"/>
          <w:left w:w="0" w:type="dxa"/>
          <w:bottom w:w="0" w:type="dxa"/>
          <w:right w:w="0" w:type="dxa"/>
        </w:tblCellMar>
      </w:tblPr>
      <w:tblGrid>
        <w:gridCol w:w="1865"/>
        <w:gridCol w:w="60"/>
        <w:gridCol w:w="485"/>
        <w:gridCol w:w="245"/>
        <w:gridCol w:w="60"/>
        <w:gridCol w:w="635"/>
        <w:gridCol w:w="245"/>
        <w:gridCol w:w="60"/>
        <w:gridCol w:w="485"/>
        <w:gridCol w:w="245"/>
        <w:gridCol w:w="60"/>
        <w:gridCol w:w="635"/>
        <w:gridCol w:w="245"/>
        <w:gridCol w:w="60"/>
        <w:gridCol w:w="716"/>
        <w:gridCol w:w="361"/>
        <w:gridCol w:w="88"/>
        <w:gridCol w:w="938"/>
        <w:gridCol w:w="245"/>
        <w:gridCol w:w="60"/>
        <w:gridCol w:w="491"/>
        <w:gridCol w:w="278"/>
        <w:gridCol w:w="60"/>
        <w:gridCol w:w="643"/>
        <w:gridCol w:w="29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3"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2"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Same-Store Sales</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YTD26</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YTD26</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361"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YTD26</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YTD26</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FEMSA Consolidated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OXXO Mexico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Americas &amp; Mobility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Coca-Cola FEMSA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w:t>
            </w:r>
            <w:r>
              <w:rPr>
                <w:rFonts w:ascii="Times New Roman;Times;Serif" w:hAnsi="Times New Roman;Times;Serif"/>
                <w:b/>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36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FEMSA Consolidated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OXXO Mexico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Americas &amp; Mobility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Coca-Cola FEMSA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Jose Antonio Fernández Garza-Lagüera, FEMSA’s Chief Executive Officer, commented: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second quarter, we delivered a strong set of results, led by an encouraging performance at OXXO Mexico and continued momentum across many of our retail platforms, while Coca-Cola FEMSA navigated a still-challenging environment due to weak consumer demand and tax increases in Mexico that was more than offset by robust performances in South America.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should highlight the quarter at OXXO Mexico, which delivered double-digit revenue and profit growth and, importantly, a return to positive customer traffic after several quarters of decline. While the World Cup provided a positive contribution during the quarter, we believe there was additional improvement supported by stronger execution across regions, commercial initiatives focused on key traffic-driving categories, and the consumer-centric strategy we began implementing during the second half of last year as we refocus on the customer at the center of everything we do. Beyond OXXO Mexico, we continue to be encouraged by the momentum of our growth platforms, with Bara setting a record for store openings and our OXXO operations in Colombia and Brazil advancing steadily toward the unit economics that will allow us to accelerate expansion with confidence.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ahead, and despite still facing a soft consumer environment in Mexico, and not enjoying the tailwind of the World Cup, we like our current momentum across most of our business units, and we are cautiously optimistic about the second half of the year even if it will be more subdued. While we recognize it will present its share of challenges, we are confident that the strength of our geographically diversified platform, together with the strategic and operating initiatives we have put in place and which are already bearing fruit, position us well to continue executing against our long-term strategy in pursuit of sustainable, profitable growth.”</w:t>
      </w:r>
    </w:p>
    <w:p>
      <w:pPr>
        <w:pStyle w:val="TextBody"/>
        <w:bidi w:val="0"/>
        <w:spacing w:before="0" w:after="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12 for our definition of “comparable” and a description of the factors affecting the comparability of our financial and operating performance.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Active User for Spin by OXXO: Any user with a balance or that has transacted within the last 56 days. Active User for Spin Premia: User that has transacted at least once with OXXO Premia within the last 90 days.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Tender: OXXO MXN sales with Spin Premia redemption or accrual / Total OXXO MXN Sales, during the period.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Currency-neutral. Only includes merchandise. Same-store sales includes a weighted average of OXXO Americas (Colombia, Chile, Peru and the U.S.A.).</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RESULTS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Results are compared to the same period of previous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FEMSA CONSOLIDATED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 Financial Summary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both"/>
        <w:rPr>
          <w:caps w:val="false"/>
          <w:smallCaps w:val="false"/>
        </w:rPr>
      </w:pPr>
      <w:r>
        <w:rPr>
          <w:caps w:val="false"/>
          <w:smallCaps w:val="false"/>
        </w:rPr>
        <w:t> </w:t>
      </w:r>
    </w:p>
    <w:tbl>
      <w:tblPr>
        <w:tblW w:w="6095" w:type="dxa"/>
        <w:jc w:val="left"/>
        <w:tblInd w:w="0" w:type="dxa"/>
        <w:tblLayout w:type="fixed"/>
        <w:tblCellMar>
          <w:top w:w="0" w:type="dxa"/>
          <w:left w:w="0" w:type="dxa"/>
          <w:bottom w:w="0" w:type="dxa"/>
          <w:right w:w="0" w:type="dxa"/>
        </w:tblCellMar>
      </w:tblPr>
      <w:tblGrid>
        <w:gridCol w:w="2315"/>
        <w:gridCol w:w="60"/>
        <w:gridCol w:w="60"/>
        <w:gridCol w:w="695"/>
        <w:gridCol w:w="60"/>
        <w:gridCol w:w="60"/>
        <w:gridCol w:w="60"/>
        <w:gridCol w:w="695"/>
        <w:gridCol w:w="60"/>
        <w:gridCol w:w="60"/>
        <w:gridCol w:w="60"/>
        <w:gridCol w:w="575"/>
        <w:gridCol w:w="185"/>
        <w:gridCol w:w="60"/>
        <w:gridCol w:w="60"/>
        <w:gridCol w:w="830"/>
        <w:gridCol w:w="20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2Q26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2Q25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Var.</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Comp (A)</w:t>
            </w:r>
          </w:p>
        </w:tc>
        <w:tc>
          <w:tcPr>
            <w:tcW w:w="20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b/>
                <w:sz w:val="20"/>
              </w:rPr>
            </w:pPr>
            <w:r>
              <w:rPr>
                <w:b/>
                <w:sz w:val="20"/>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231,002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211,364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20"/>
              </w:rPr>
            </w:pPr>
            <w:r>
              <w:rPr>
                <w:sz w:val="20"/>
              </w:rPr>
              <w:t>9.3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20"/>
              </w:rPr>
            </w:pPr>
            <w:r>
              <w:rPr>
                <w:sz w:val="20"/>
              </w:rPr>
              <w:t>10.1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315" w:type="dxa"/>
            <w:tcBorders/>
            <w:shd w:fill="FFFFFF" w:val="clear"/>
            <w:vAlign w:val="center"/>
          </w:tcPr>
          <w:p>
            <w:pPr>
              <w:pStyle w:val="TableContents"/>
              <w:bidi w:val="0"/>
              <w:spacing w:before="0" w:after="283"/>
              <w:jc w:val="left"/>
              <w:rPr>
                <w:b/>
                <w:sz w:val="20"/>
              </w:rPr>
            </w:pPr>
            <w:r>
              <w:rPr>
                <w:b/>
                <w:sz w:val="20"/>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92,611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85,922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20"/>
              </w:rPr>
            </w:pPr>
            <w:r>
              <w:rPr>
                <w:sz w:val="20"/>
              </w:rPr>
              <w:t>7.8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20"/>
              </w:rPr>
            </w:pPr>
            <w:r>
              <w:rPr>
                <w:sz w:val="20"/>
              </w:rPr>
              <w:t>8.8</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315" w:type="dxa"/>
            <w:tcBorders/>
            <w:shd w:fill="CCEEFF" w:val="clear"/>
            <w:vAlign w:val="center"/>
          </w:tcPr>
          <w:p>
            <w:pPr>
              <w:pStyle w:val="TableContents"/>
              <w:bidi w:val="0"/>
              <w:spacing w:before="0" w:after="283"/>
              <w:jc w:val="left"/>
              <w:rPr/>
            </w:pPr>
            <w:r>
              <w:rPr/>
              <w:t>     </w:t>
            </w:r>
            <w:r>
              <w:rPr>
                <w:i/>
                <w:sz w:val="20"/>
              </w:rPr>
              <w:t>Gross Profit Margin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i/>
                <w:sz w:val="20"/>
              </w:rPr>
            </w:pPr>
            <w:r>
              <w:rPr>
                <w:i/>
                <w:sz w:val="20"/>
              </w:rPr>
              <w:t>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i/>
                <w:sz w:val="20"/>
              </w:rPr>
            </w:pPr>
            <w:r>
              <w:rPr>
                <w:i/>
                <w:sz w:val="20"/>
              </w:rPr>
              <w:t>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i/>
                <w:sz w:val="20"/>
              </w:rPr>
            </w:pPr>
            <w:r>
              <w:rPr>
                <w:i/>
                <w:sz w:val="20"/>
              </w:rPr>
              <w:t>(60bps</w:t>
            </w:r>
          </w:p>
        </w:tc>
        <w:tc>
          <w:tcPr>
            <w:tcW w:w="185" w:type="dxa"/>
            <w:tcBorders/>
            <w:shd w:fill="CCEEFF" w:val="clear"/>
            <w:vAlign w:val="center"/>
          </w:tcPr>
          <w:p>
            <w:pPr>
              <w:pStyle w:val="TableContents"/>
              <w:bidi w:val="0"/>
              <w:spacing w:before="0" w:after="283"/>
              <w:jc w:val="left"/>
              <w:rPr>
                <w:i/>
                <w:sz w:val="20"/>
              </w:rPr>
            </w:pPr>
            <w:r>
              <w:rPr>
                <w:i/>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b/>
                <w:sz w:val="20"/>
              </w:rPr>
            </w:pPr>
            <w:r>
              <w:rPr>
                <w:b/>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20"/>
              </w:rPr>
            </w:pPr>
            <w:r>
              <w:rPr>
                <w:sz w:val="20"/>
              </w:rPr>
              <w:t>7.2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20"/>
              </w:rPr>
            </w:pPr>
            <w:r>
              <w:rPr>
                <w:sz w:val="20"/>
              </w:rPr>
              <w:t>11.7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315" w:type="dxa"/>
            <w:tcBorders/>
            <w:shd w:fill="CCEEFF" w:val="clear"/>
            <w:vAlign w:val="center"/>
          </w:tcPr>
          <w:p>
            <w:pPr>
              <w:pStyle w:val="TableContents"/>
              <w:bidi w:val="0"/>
              <w:spacing w:before="0" w:after="283"/>
              <w:jc w:val="left"/>
              <w:rPr/>
            </w:pPr>
            <w:r>
              <w:rPr/>
              <w:t>     </w:t>
            </w:r>
            <w:r>
              <w:rPr>
                <w:i/>
                <w:sz w:val="20"/>
              </w:rPr>
              <w:t>Operating Margin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i/>
                <w:sz w:val="20"/>
              </w:rPr>
            </w:pPr>
            <w:r>
              <w:rPr>
                <w:i/>
                <w:sz w:val="20"/>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i/>
                <w:sz w:val="20"/>
              </w:rPr>
            </w:pPr>
            <w:r>
              <w:rPr>
                <w:i/>
                <w:sz w:val="20"/>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i/>
                <w:sz w:val="20"/>
              </w:rPr>
            </w:pPr>
            <w:r>
              <w:rPr>
                <w:i/>
                <w:sz w:val="20"/>
              </w:rPr>
              <w:t>(10bps</w:t>
            </w:r>
          </w:p>
        </w:tc>
        <w:tc>
          <w:tcPr>
            <w:tcW w:w="185" w:type="dxa"/>
            <w:tcBorders/>
            <w:shd w:fill="CCEEFF" w:val="clear"/>
            <w:vAlign w:val="center"/>
          </w:tcPr>
          <w:p>
            <w:pPr>
              <w:pStyle w:val="TableContents"/>
              <w:bidi w:val="0"/>
              <w:spacing w:before="0" w:after="283"/>
              <w:jc w:val="left"/>
              <w:rPr>
                <w:i/>
                <w:sz w:val="20"/>
              </w:rPr>
            </w:pPr>
            <w:r>
              <w:rPr>
                <w:i/>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b/>
                <w:i w:val="false"/>
                <w:caps w:val="false"/>
                <w:smallCaps w:val="false"/>
                <w:sz w:val="20"/>
              </w:rPr>
            </w:pPr>
            <w:r>
              <w:rPr>
                <w:b/>
                <w:i w:val="false"/>
                <w:caps w:val="false"/>
                <w:smallCaps w:val="false"/>
                <w:sz w:val="20"/>
              </w:rPr>
              <w:t>Adjusted EBITDA</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33,340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29,588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20"/>
              </w:rPr>
            </w:pPr>
            <w:r>
              <w:rPr>
                <w:sz w:val="20"/>
              </w:rPr>
              <w:t>12.7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20"/>
              </w:rPr>
            </w:pPr>
            <w:r>
              <w:rPr>
                <w:sz w:val="20"/>
              </w:rPr>
              <w:t>15.8</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315" w:type="dxa"/>
            <w:tcBorders/>
            <w:shd w:fill="CCEEFF" w:val="clear"/>
            <w:vAlign w:val="center"/>
          </w:tcPr>
          <w:p>
            <w:pPr>
              <w:pStyle w:val="TableContents"/>
              <w:bidi w:val="0"/>
              <w:spacing w:before="0" w:after="283"/>
              <w:jc w:val="left"/>
              <w:rPr/>
            </w:pPr>
            <w:r>
              <w:rPr/>
              <w:t>     </w:t>
            </w:r>
            <w:r>
              <w:rPr>
                <w:i/>
                <w:sz w:val="20"/>
              </w:rPr>
              <w:t>EBITDA Margin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i/>
                <w:sz w:val="20"/>
              </w:rPr>
            </w:pPr>
            <w:r>
              <w:rPr>
                <w:i/>
                <w:sz w:val="20"/>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i/>
                <w:sz w:val="20"/>
              </w:rPr>
            </w:pPr>
            <w:r>
              <w:rPr>
                <w:i/>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i/>
                <w:sz w:val="20"/>
              </w:rPr>
            </w:pPr>
            <w:r>
              <w:rPr>
                <w:i/>
                <w:sz w:val="20"/>
              </w:rPr>
              <w:t>40 bps</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b/>
                <w:sz w:val="20"/>
              </w:rPr>
            </w:pPr>
            <w:r>
              <w:rPr>
                <w:b/>
                <w:sz w:val="20"/>
              </w:rPr>
              <w:t>Consolidated 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20"/>
              </w:rPr>
            </w:pPr>
            <w:r>
              <w:rPr>
                <w:sz w:val="20"/>
              </w:rPr>
              <w:t>64.9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Debt</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 xml:space="preserve"> ex-KOF</w:t>
      </w:r>
      <w:r>
        <w:rPr>
          <w:rFonts w:ascii="Times New Roman;Times;Serif" w:hAnsi="Times New Roman;Times;Serif"/>
          <w:b/>
          <w:i w:val="false"/>
          <w:caps w:val="false"/>
          <w:smallCaps w:val="false"/>
          <w:position w:val="7"/>
          <w:sz w:val="16"/>
          <w:sz w:val="20"/>
        </w:rPr>
        <w:t>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28" w:type="dxa"/>
          <w:right w:w="0" w:type="dxa"/>
        </w:tblCellMar>
      </w:tblPr>
      <w:tblGrid>
        <w:gridCol w:w="2480"/>
        <w:gridCol w:w="60"/>
        <w:gridCol w:w="60"/>
        <w:gridCol w:w="695"/>
        <w:gridCol w:w="125"/>
        <w:gridCol w:w="60"/>
        <w:gridCol w:w="60"/>
        <w:gridCol w:w="485"/>
        <w:gridCol w:w="75"/>
      </w:tblGrid>
      <w:tr>
        <w:trPr/>
        <w:tc>
          <w:tcPr>
            <w:tcW w:w="2480" w:type="dxa"/>
            <w:tcBorders>
              <w:bottom w:val="single" w:sz="8" w:space="0" w:color="000000"/>
            </w:tcBorders>
            <w:vAlign w:val="center"/>
          </w:tcPr>
          <w:p>
            <w:pPr>
              <w:pStyle w:val="TableContents"/>
              <w:bidi w:val="0"/>
              <w:spacing w:before="0" w:after="283"/>
              <w:jc w:val="left"/>
              <w:rPr>
                <w:b/>
                <w:sz w:val="20"/>
              </w:rPr>
            </w:pPr>
            <w:r>
              <w:rPr>
                <w:b/>
                <w:sz w:val="20"/>
              </w:rPr>
              <w:t>As of June 30, 2026</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Ps.</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US$</w:t>
            </w:r>
            <w:r>
              <w:rPr>
                <w:rFonts w:ascii="Times New Roman;Times;Serif" w:hAnsi="Times New Roman;Times;Serif"/>
                <w:b/>
                <w:i w:val="false"/>
                <w:caps w:val="false"/>
                <w:smallCaps w:val="false"/>
                <w:position w:val="7"/>
                <w:sz w:val="16"/>
                <w:sz w:val="20"/>
              </w:rPr>
              <w:t>4</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b/>
                <w:sz w:val="20"/>
              </w:rPr>
            </w:pPr>
            <w:r>
              <w:rPr>
                <w:b/>
                <w:sz w:val="20"/>
              </w:rPr>
              <w:t>Cash and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73,591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sz w:val="20"/>
              </w:rPr>
            </w:pPr>
            <w:r>
              <w:rPr>
                <w:sz w:val="20"/>
              </w:rPr>
              <w:t>4,213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283"/>
              <w:jc w:val="left"/>
              <w:rPr>
                <w:b/>
                <w:sz w:val="20"/>
              </w:rPr>
            </w:pPr>
            <w:r>
              <w:rPr>
                <w:b/>
                <w:sz w:val="20"/>
              </w:rPr>
              <w:t>Financial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54,153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sz w:val="20"/>
              </w:rPr>
            </w:pPr>
            <w:r>
              <w:rPr>
                <w:sz w:val="20"/>
              </w:rPr>
              <w:t>3,103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283"/>
              <w:jc w:val="left"/>
              <w:rPr>
                <w:b/>
                <w:sz w:val="20"/>
              </w:rPr>
            </w:pPr>
            <w:r>
              <w:rPr>
                <w:b/>
                <w:sz w:val="20"/>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109,387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sz w:val="20"/>
              </w:rPr>
            </w:pPr>
            <w:r>
              <w:rPr>
                <w:sz w:val="20"/>
              </w:rPr>
              <w:t>6,269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80" w:type="dxa"/>
            <w:tcBorders/>
            <w:shd w:fill="FFFFFF" w:val="clear"/>
            <w:tcMar>
              <w:bottom w:w="0" w:type="dxa"/>
            </w:tcMar>
            <w:vAlign w:val="center"/>
          </w:tcPr>
          <w:p>
            <w:pPr>
              <w:pStyle w:val="TableContents"/>
              <w:bidi w:val="0"/>
              <w:spacing w:before="0" w:after="283"/>
              <w:jc w:val="left"/>
              <w:rPr>
                <w:b/>
                <w:sz w:val="20"/>
              </w:rPr>
            </w:pPr>
            <w:r>
              <w:rPr>
                <w:b/>
                <w:sz w:val="20"/>
              </w:rPr>
              <w:t>Net debt (ND)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90,020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sz w:val="20"/>
              </w:rPr>
            </w:pPr>
            <w:r>
              <w:rPr>
                <w:sz w:val="20"/>
              </w:rPr>
              <w:t>5,159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283"/>
              <w:jc w:val="left"/>
              <w:rPr>
                <w:b/>
                <w:sz w:val="20"/>
              </w:rPr>
            </w:pPr>
            <w:r>
              <w:rPr>
                <w:b/>
                <w:sz w:val="20"/>
              </w:rPr>
              <w:t>ND / Adjusted LTM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1.15</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sz w:val="20"/>
              </w:rPr>
            </w:pPr>
            <w:r>
              <w:rPr>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increased 9.3% in 2Q26 compared to 2Q25, driven by growth in Coca-Cola FEMSA, OXXO Mexico, Americas &amp; Mobility and Health, partially offset by a decrease in Europe. Excluding the consolidation of OXXO Brazil and the net negative foreign exchange effect as the Mexican peso appreciated relative to other currencies, revenues grew 10.1% on a comparable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increased 7.8%. Gross margin contracted 60 basis points, reaching 40.1%. This reflects margin expansion in Coca-Cola FEMSA, offset by contractions in OXXO Mexico, Europe and Health, and stable margin at Americas &amp; Mobility. It is important to highlight that the contractions in Europe and Health are explained by the reclassification of distribution expenses from selling expenses to cost of goods sold, which do not impact income from operations; this effect is reflected in the 2Q26 results, but not in the comparison base of 2Q25. Excluding the effects of this reclassification, the gross margin would have contracted by 20 basis points, from a base of 40.3% for the second quarter of 2025. On a comparable basis, which accounts for currency effects and the consolidation of OXXO Brazil, gross profit increased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from operations </w:t>
      </w:r>
      <w:r>
        <w:rPr>
          <w:rFonts w:ascii="Times New Roman;Times;Serif" w:hAnsi="Times New Roman;Times;Serif"/>
          <w:b w:val="false"/>
          <w:i w:val="false"/>
          <w:caps w:val="false"/>
          <w:smallCaps w:val="false"/>
          <w:sz w:val="20"/>
        </w:rPr>
        <w:t>increased 7.2%, driven by growth in Coca-Cola FEMSA and OXXO Mexico, partially offset by declines in Americas &amp; Mobility, Europe and Health. The consolidated operating margin stood at 8.3%, contracting 10 basis points year over year, reflecting margin expansion at Coca-Cola FEMSA and to a lesser extent OXXO Mexico, offset by margin contraction at Americas &amp; Mobility, Europe, and Health. On a comparable basis, income from operations increased 11.7%.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 xml:space="preserve">effective income tax rate </w:t>
      </w:r>
      <w:r>
        <w:rPr>
          <w:rFonts w:ascii="Times New Roman;Times;Serif" w:hAnsi="Times New Roman;Times;Serif"/>
          <w:b w:val="false"/>
          <w:i w:val="false"/>
          <w:caps w:val="false"/>
          <w:smallCaps w:val="false"/>
          <w:sz w:val="20"/>
        </w:rPr>
        <w:t>was 34.8% in 2Q26. The gap between our effective tax rate and the statutory rate of 30% reflects non-deductible expenses, primarily at OXXO Mexico and Health, and non-creditable tax loss effects, mainly from Spin and, to a lesser extent, Health. Our income tax provision for 2Q26 was Ps. 4,905 million, an increase of 13.0% relative to 2Q25.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consolidated income</w:t>
      </w:r>
      <w:r>
        <w:rPr>
          <w:rFonts w:ascii="Times New Roman;Times;Serif" w:hAnsi="Times New Roman;Times;Serif"/>
          <w:b w:val="false"/>
          <w:i w:val="false"/>
          <w:caps w:val="false"/>
          <w:smallCaps w:val="false"/>
          <w:sz w:val="20"/>
        </w:rPr>
        <w:t xml:space="preserve"> amounted to Ps. 9,221 million, compared to Ps. 5,591 million in 2Q25, representing a 64.9% increase. This increase was supported by growth in income from operations as well as: i) a lower non-cash foreign exchange loss of Ps. 655 million, compared to a loss of Ps. 4,102 million in 2Q25, reflecting a favorable impact of Ps. 3,447 million, mainly due to a lower appreciation of the Mexican peso against the U.S. dollar generating lower losses on a lower U.S. dollar-denominated cash and investment position; and ii) a positive participation in associates’ results of Ps. 38 million, compared to a loss of Ps. 756 million in 2Q25, which reflected the results of our joint venture in Brazil and our participation in BradyPlus. These effects were partially offset by: i) higher net interest expense of Ps. 4,021 million, compared to Ps. 3,250 million in 2Q25, mainly reflecting lower interest income of Ps. 1,508 million compared to Ps. 2,051 million in 2Q25, driven by a lower cash and investment balance; ii) a lower gain from other financial income of Ps. 163 million compared to Ps. 633 million, mainly reflecting the absence of the gain recorded in 2Q25 from the valuation of HKN shares; and iii) a higher income tax provision of Ps. 4,905 million, compared to Ps. 4,339 million in 2Q25.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majority income </w:t>
      </w:r>
      <w:r>
        <w:rPr>
          <w:rFonts w:ascii="Times New Roman;Times;Serif" w:hAnsi="Times New Roman;Times;Serif"/>
          <w:b w:val="false"/>
          <w:i w:val="false"/>
          <w:caps w:val="false"/>
          <w:smallCaps w:val="false"/>
          <w:sz w:val="20"/>
        </w:rPr>
        <w:t>was Ps. 1.62 per FEMSA Unit</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representing 107.7% growth, and US$0.93 per FEMSA ADS</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Debt / Adjusted EBITDA. </w:t>
      </w:r>
      <w:r>
        <w:rPr>
          <w:rFonts w:ascii="Times New Roman;Times;Serif" w:hAnsi="Times New Roman;Times;Serif"/>
          <w:b w:val="false"/>
          <w:i w:val="false"/>
          <w:caps w:val="false"/>
          <w:smallCaps w:val="false"/>
          <w:sz w:val="20"/>
        </w:rPr>
        <w:t>On an ex-KOF basis, as of June 30, 2026, cash and investments were Ps. 73,591 million and total debt was Ps. 163,539 million, resulting in net debt of Ps. 90,020 million. Our Net Debt / Adjusted EBITDA ratio ex-KOF was 1.15x up from 0.93x in 2Q25, although it declined sequentially, supported by operating performance and a lower financial debt balance offset by a lower balance of cash and investments. This year-on-year increase mainly reflects the cash outflow related to our capital allocation strategy, which has resulted in Ps. 45,498 million of ordinary and extraordinary dividends, as well as Ps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10,354 million of share repurchases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during the last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expenditures </w:t>
      </w:r>
      <w:r>
        <w:rPr>
          <w:rFonts w:ascii="Times New Roman;Times;Serif" w:hAnsi="Times New Roman;Times;Serif"/>
          <w:b w:val="false"/>
          <w:i w:val="false"/>
          <w:caps w:val="false"/>
          <w:smallCaps w:val="false"/>
          <w:sz w:val="20"/>
        </w:rPr>
        <w:t>amounted to Ps. 8,872 million, 3.8% as a percentage of total sales, and a decrease of 3.6% compared to 2Q25, mainly reflecting lower CAPEX at Coca-Cola FEMSA, driven by a more selective approach to capital deployment, coupled with decreases in Health and Europe, consistent with a disciplined approach to investments across the portfolio. This was partially offset by an increase CAPEX in OXXO Mexico, reflecting the continued pace of store openings, and in Americas &amp; Mobility, related to store expansion investments across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12 for our definition of “comparable” and a description of the factors affecting the comparability of our financial and operating performance.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Adjusted EBITDA: Operating Income + Depreciation + Amortizations + other non-cash charges. Adjusted EBITDA ex-KOF: FEMSA Consolidated Adjusted EBITDA as described above – Coca-Cola FEMSA’s Consolidated Adjusted EBITDA + Dividends received by FEMSA from Coca-Cola FEMSA and other investments.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All Net Debt calculations are shown on an Ex-KOF basis. For a detailed reconciliation of this metric please see table on page 17 of this document.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ex-KOF: FEMSA Consolidated reported information – Coca-Cola FEMSA Consolidated reported information.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The exchange rate published by the Federal Reserve Bank of New York for June 30, 2026 was 17.4490 MXN per USD.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FEMSA Units consist of FEMSA BD Units and FEMSA B Units. Each FEMSA BD Unit is comprised of one Series B Share, two Series D-B Shares and two Series D-L Shares. Each FEMSA B Unit is comprised of five Series B Shares. The number of FEMSA Units outstanding as of June 30, 2026 was 3,412,732,415, equivalent to the total number of FEMSA Shares outstanding as of the same date, divided by 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Share repurchases considers the disbursed amount for the local market repurchases and the ASRs of the last twelve months, that include two ASR of US$260 million and US$300 respectively, this is translated to Mexican pesos with the exchange rate for the end of the period of June 30, 2026, which was 17.4490 MXN per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660" w:type="dxa"/>
        <w:jc w:val="left"/>
        <w:tblInd w:w="0" w:type="dxa"/>
        <w:tblLayout w:type="fixed"/>
        <w:tblCellMar>
          <w:top w:w="0" w:type="dxa"/>
          <w:left w:w="0" w:type="dxa"/>
          <w:bottom w:w="0" w:type="dxa"/>
          <w:right w:w="0" w:type="dxa"/>
        </w:tblCellMar>
      </w:tblPr>
      <w:tblGrid>
        <w:gridCol w:w="1835"/>
        <w:gridCol w:w="825"/>
      </w:tblGrid>
      <w:tr>
        <w:trPr/>
        <w:tc>
          <w:tcPr>
            <w:tcW w:w="183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OXXO MEXICO</w:t>
            </w:r>
          </w:p>
        </w:tc>
        <w:tc>
          <w:tcPr>
            <w:tcW w:w="825" w:type="dxa"/>
            <w:tcBorders/>
            <w:shd w:fill="FFFFFF" w:val="clear"/>
            <w:vAlign w:val="center"/>
          </w:tcPr>
          <w:p>
            <w:pPr>
              <w:pStyle w:val="TableContents"/>
              <w:bidi w:val="0"/>
              <w:spacing w:before="0" w:after="283"/>
              <w:jc w:val="right"/>
              <w:rPr/>
            </w:pPr>
            <w:r>
              <w:rPr/>
              <w:drawing>
                <wp:inline distT="0" distB="0" distL="0" distR="0">
                  <wp:extent cx="514350"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4350" cy="3905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 Financial Summary – OXXO Mexico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283"/>
        <w:jc w:val="left"/>
        <w:rPr/>
      </w:pPr>
      <w:r>
        <w:rPr/>
        <w:t> </w:t>
      </w:r>
    </w:p>
    <w:tbl>
      <w:tblPr>
        <w:tblW w:w="5815" w:type="dxa"/>
        <w:jc w:val="center"/>
        <w:tblInd w:w="0" w:type="dxa"/>
        <w:tblLayout w:type="fixed"/>
        <w:tblCellMar>
          <w:top w:w="0" w:type="dxa"/>
          <w:left w:w="0" w:type="dxa"/>
          <w:bottom w:w="0" w:type="dxa"/>
          <w:right w:w="0" w:type="dxa"/>
        </w:tblCellMar>
      </w:tblPr>
      <w:tblGrid>
        <w:gridCol w:w="3290"/>
        <w:gridCol w:w="60"/>
        <w:gridCol w:w="60"/>
        <w:gridCol w:w="635"/>
        <w:gridCol w:w="60"/>
        <w:gridCol w:w="60"/>
        <w:gridCol w:w="60"/>
        <w:gridCol w:w="635"/>
        <w:gridCol w:w="60"/>
        <w:gridCol w:w="60"/>
        <w:gridCol w:w="60"/>
        <w:gridCol w:w="575"/>
        <w:gridCol w:w="20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Same-store sales (thousands of Ps.)</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Gross Profit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(70bps</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Income from Operations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 bps</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Adjusted EBITDA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 bps</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58075" cy="2085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458075" cy="20859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Same-store Sales OXXO Mexico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revenues </w:t>
      </w:r>
      <w:r>
        <w:rPr>
          <w:rFonts w:ascii="Times New Roman;Times;Serif" w:hAnsi="Times New Roman;Times;Serif"/>
          <w:b w:val="false"/>
          <w:i w:val="false"/>
          <w:caps w:val="false"/>
          <w:smallCaps w:val="false"/>
          <w:sz w:val="20"/>
        </w:rPr>
        <w:t>increased 11.8% in 2Q26 compared to 2Q25, reflecting a 9.5% increase in same-store sales, coupled with 3.5% store expansion. The growth in same-store sales was driven by an increase of 7.4% in the average ticket, and an increase of 2.0% in store traffic. During the quarter, results were supported by (i) the continued execution of commercial initiatives, including assortment and price actions across key consumer and traffic-driving categories, which supported market share recovery in core categories such as soft drinks, cigarettes, beer and snacks, (ii) the favorable effect from the FIFA World Cup, including the sale of Panini collectible stickers, and (iii) continued growth in services. Importantly, the traffic improvement was broad-based across regions. These results were achieved despite a weak consumption environment, adverse weather, and a moderate Holy Week calendar effect. The increase in average ticket above inflation reflects changes in product mix and the effect of excise taxes on beverages and cigarettes. In most categories, we are focused on affordability strategies to maintain competitiveness relative to other channels. During the quarter, the OXXO store base in Mexico expanded by 253 stores, and it added 832 total net stores during the last twelve months. As of June 30, 2026, OXXO Mexico had a total of 24,708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reached 44.8% of total revenues, representing a 70-basis point contraction compared to 2Q25. This contraction reflects the continued execution of commercial initiatives in key categories designed to strengthen traffic and market share, which included price rationalization in relevant traffic driving categories. This was partially offset by the continued growth in services and sustained income from key suppliers, including commercial and distribution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from operations </w:t>
      </w:r>
      <w:r>
        <w:rPr>
          <w:rFonts w:ascii="Times New Roman;Times;Serif" w:hAnsi="Times New Roman;Times;Serif"/>
          <w:b w:val="false"/>
          <w:i w:val="false"/>
          <w:caps w:val="false"/>
          <w:smallCaps w:val="false"/>
          <w:sz w:val="20"/>
        </w:rPr>
        <w:t>increased by 12.3% compared to 2Q25 and reached 10.0% of total revenues, representing a 10-basis point margin expansion year over year. This performance was mainly explained by revenue growth, operating leverage, and cost containment and efficiency initiatives, which helped offset the gross margin contraction described above. Operating expenses increased 9.6%, below revenue growth, reflecting the cost containment and the operational efficiencies implemented during last year, particularly in administrative expenses, partially offset by higher labor and expansion-related costs.</w:t>
      </w:r>
    </w:p>
    <w:p>
      <w:pPr>
        <w:pStyle w:val="TextBody"/>
        <w:bidi w:val="0"/>
        <w:spacing w:before="0" w:after="0"/>
        <w:ind w:left="0" w:right="0" w:hanging="0"/>
        <w:jc w:val="both"/>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3125"/>
        <w:gridCol w:w="825"/>
      </w:tblGrid>
      <w:tr>
        <w:trPr/>
        <w:tc>
          <w:tcPr>
            <w:tcW w:w="31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AMERICAS</w:t>
            </w:r>
            <w:r>
              <w:rPr>
                <w:rFonts w:ascii="Times New Roman;Times;Serif" w:hAnsi="Times New Roman;Times;Serif"/>
                <w:b/>
                <w:caps w:val="false"/>
                <w:smallCaps w:val="false"/>
                <w:position w:val="7"/>
                <w:sz w:val="16"/>
                <w:sz w:val="20"/>
              </w:rPr>
              <w:t>1</w:t>
            </w:r>
            <w:r>
              <w:rPr>
                <w:rFonts w:ascii="Times New Roman;Times;Serif" w:hAnsi="Times New Roman;Times;Serif"/>
                <w:b/>
              </w:rPr>
              <w:t xml:space="preserve"> &amp; MOBILITY</w:t>
            </w:r>
            <w:r>
              <w:rPr>
                <w:rFonts w:ascii="Times New Roman;Times;Serif" w:hAnsi="Times New Roman;Times;Serif"/>
                <w:b/>
                <w:caps w:val="false"/>
                <w:smallCaps w:val="false"/>
                <w:position w:val="7"/>
                <w:sz w:val="16"/>
                <w:sz w:val="20"/>
              </w:rPr>
              <w:t>2</w:t>
            </w:r>
          </w:p>
        </w:tc>
        <w:tc>
          <w:tcPr>
            <w:tcW w:w="825" w:type="dxa"/>
            <w:tcBorders/>
            <w:shd w:fill="FFFFFF" w:val="clear"/>
            <w:vAlign w:val="center"/>
          </w:tcPr>
          <w:p>
            <w:pPr>
              <w:pStyle w:val="TableContents"/>
              <w:bidi w:val="0"/>
              <w:spacing w:before="0" w:after="283"/>
              <w:jc w:val="right"/>
              <w:rPr/>
            </w:pPr>
            <w:r>
              <w:rPr/>
              <w:drawing>
                <wp:inline distT="0" distB="0" distL="0" distR="0">
                  <wp:extent cx="51435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14350" cy="3905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 Financial Summary – Americas &amp; Mobility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283"/>
        <w:jc w:val="left"/>
        <w:rPr/>
      </w:pPr>
      <w:r>
        <w:rPr/>
        <w:t> </w:t>
      </w:r>
    </w:p>
    <w:tbl>
      <w:tblPr>
        <w:tblW w:w="7190" w:type="dxa"/>
        <w:jc w:val="left"/>
        <w:tblInd w:w="0" w:type="dxa"/>
        <w:tblLayout w:type="fixed"/>
        <w:tblCellMar>
          <w:top w:w="0" w:type="dxa"/>
          <w:left w:w="0" w:type="dxa"/>
          <w:bottom w:w="0" w:type="dxa"/>
          <w:right w:w="0" w:type="dxa"/>
        </w:tblCellMar>
      </w:tblPr>
      <w:tblGrid>
        <w:gridCol w:w="3290"/>
        <w:gridCol w:w="60"/>
        <w:gridCol w:w="60"/>
        <w:gridCol w:w="635"/>
        <w:gridCol w:w="60"/>
        <w:gridCol w:w="60"/>
        <w:gridCol w:w="60"/>
        <w:gridCol w:w="635"/>
        <w:gridCol w:w="60"/>
        <w:gridCol w:w="60"/>
        <w:gridCol w:w="60"/>
        <w:gridCol w:w="680"/>
        <w:gridCol w:w="245"/>
        <w:gridCol w:w="60"/>
        <w:gridCol w:w="60"/>
        <w:gridCol w:w="815"/>
        <w:gridCol w:w="290"/>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w:t>
            </w:r>
            <w:r>
              <w:rPr>
                <w:rFonts w:ascii="Times New Roman;Times;Serif" w:hAnsi="Times New Roman;Times;Serif"/>
                <w:b/>
                <w:i w:val="false"/>
                <w:caps w:val="false"/>
                <w:smallCaps w:val="false"/>
                <w:position w:val="7"/>
                <w:sz w:val="16"/>
                <w:sz w:val="20"/>
              </w:rPr>
              <w:t>(A)</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Same-store sales (thousands of 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Merchandise</w:t>
            </w: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Fuel</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and Other Sales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Merchandise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Gross Profit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Fuel</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and Other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Gross Profit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(10bps</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Income from Operations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(240bps</w:t>
            </w:r>
          </w:p>
        </w:tc>
        <w:tc>
          <w:tcPr>
            <w:tcW w:w="245" w:type="dxa"/>
            <w:tcBorders/>
            <w:shd w:fill="FFFFFF" w:val="clear"/>
            <w:vAlign w:val="center"/>
          </w:tcPr>
          <w:p>
            <w:pPr>
              <w:pStyle w:val="TableContents"/>
              <w:bidi w:val="0"/>
              <w:spacing w:before="0" w:after="283"/>
              <w:jc w:val="left"/>
              <w:rPr>
                <w:i/>
                <w:sz w:val="20"/>
              </w:rPr>
            </w:pPr>
            <w:r>
              <w:rPr>
                <w:i/>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jc w:val="left"/>
              <w:rPr/>
            </w:pPr>
            <w:r>
              <w:rPr/>
              <w:t> </w:t>
            </w:r>
          </w:p>
        </w:tc>
        <w:tc>
          <w:tcPr>
            <w:tcW w:w="290" w:type="dxa"/>
            <w:tcBorders/>
            <w:shd w:fill="FFFFFF" w:val="clear"/>
          </w:tcPr>
          <w:p>
            <w:pPr>
              <w:pStyle w:val="TableContents"/>
              <w:bidi w:val="0"/>
              <w:spacing w:before="0" w:after="283"/>
              <w:jc w:val="left"/>
              <w:rPr>
                <w:sz w:val="4"/>
                <w:szCs w:val="4"/>
              </w:rPr>
            </w:pPr>
            <w:r>
              <w:rPr>
                <w:sz w:val="4"/>
                <w:szCs w:val="4"/>
              </w:rPr>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Adjusted EBITDA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(110bps</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67525" cy="2638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67525" cy="26384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12 for our definition of “comparable” and a description of the factors affecting the comparability of our financial and operating performance.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Americas: OXXO Brazil, Chile, Colombia, Peru and USA.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Mobility: Fuel operations in Mexico and the USA, and Mecanica Tek.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Same-store Sales is a weighted average of OXXO Colombia, Chile, Peru and the U.S.A.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revenues </w:t>
      </w:r>
      <w:r>
        <w:rPr>
          <w:rFonts w:ascii="Times New Roman;Times;Serif" w:hAnsi="Times New Roman;Times;Serif"/>
          <w:b w:val="false"/>
          <w:i w:val="false"/>
          <w:caps w:val="false"/>
          <w:smallCaps w:val="false"/>
          <w:sz w:val="20"/>
        </w:rPr>
        <w:t>increased 17.4% in 2Q26 compared to 2Q25, reflecting a 9.3% increase in our Fuel sales, coupled with a 55.6% increase in our Merchandise sales. The growth in our Fuel sales mainly reflects an increase in volume and traffic across our service stations. The solid results in our Merchandise sales mainly reflect the positive performance of our OXXO stores in South America, with continued growth in same-store sales, reflecting our initiatives to drive traffic and new revenue opportunities, complemented by operational improvements across different countries. We also benefited from the integration of OXXO Brazil, which we began consolidating on February 1st, 2026. This was partially offset by negative translation effects from certain operating currencies outside of Mexico which depreciated against the peso. On a comparable basis, which excludes the addition of OXXO Brazil as well as currency headwinds, total revenues increased 11.6%. During the quarter, the store base expanded by 11 stores. Americas &amp; Mobility had 46 total net store additions for the last twelve months and a total of 1,953 stores as of June 30, 2026, reflecting a moderation in the pace of expansion as we focus on strengthening four-wall economics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reached 16.1% of total revenues, in line with 2Q25. Gross profit increased 16.9%, reflecting strong growth in Merchandise gross profit, which increased 54.8%, supported by the performance of OXXO stores in Latam and the consolidation of OXXO Brazil. This was partially offset by a 4.1% decline in Fuel gross profit, mainly reflecting margin compression in our fuel business in Mexico, as diesel price commitments and higher fuel costs weighed on unit margins despite higher volumes. On a comparable basis, gross profit increased 5.5%, excluding the addition of OXXO Brazil and currency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from operations </w:t>
      </w:r>
      <w:r>
        <w:rPr>
          <w:rFonts w:ascii="Times New Roman;Times;Serif" w:hAnsi="Times New Roman;Times;Serif"/>
          <w:b w:val="false"/>
          <w:i w:val="false"/>
          <w:caps w:val="false"/>
          <w:smallCaps w:val="false"/>
          <w:sz w:val="20"/>
        </w:rPr>
        <w:t>decreased by 88.0% compared to 2Q25 and represented 0.3% of total revenues, which represents a 240-basis point contraction. This performance was mainly explained by the incorporation of OXXO Brazil losses into the consolidated results, coupled with the fuel margin compression described above. This was partially offset by improved operating performance in OXXO Chile, Peru and Colombia, reflecting stronger revenue growth, operational improvements and a continued focus on profitability across the region. Operating expenses increased above total revenues, reflecting the incorporation of Brazil and increased expenses as we continue to build capabilities to support future growth. On a comparable basis, income from operations decreased 29.0%, mainly reflecting the pressure on Fuel margin in Mexico.</w:t>
      </w:r>
    </w:p>
    <w:p>
      <w:pPr>
        <w:pStyle w:val="TextBody"/>
        <w:bidi w:val="0"/>
        <w:spacing w:before="0" w:after="0"/>
        <w:ind w:left="0" w:right="0" w:hanging="0"/>
        <w:jc w:val="both"/>
        <w:rPr>
          <w:caps w:val="false"/>
          <w:smallCaps w:val="false"/>
        </w:rPr>
      </w:pPr>
      <w:r>
        <w:rPr>
          <w:caps w:val="false"/>
          <w:smallCaps w:val="false"/>
        </w:rPr>
        <w:t> </w:t>
      </w:r>
    </w:p>
    <w:tbl>
      <w:tblPr>
        <w:tblW w:w="1595" w:type="dxa"/>
        <w:jc w:val="left"/>
        <w:tblInd w:w="0" w:type="dxa"/>
        <w:tblLayout w:type="fixed"/>
        <w:tblCellMar>
          <w:top w:w="0" w:type="dxa"/>
          <w:left w:w="0" w:type="dxa"/>
          <w:bottom w:w="0" w:type="dxa"/>
          <w:right w:w="0" w:type="dxa"/>
        </w:tblCellMar>
      </w:tblPr>
      <w:tblGrid>
        <w:gridCol w:w="635"/>
        <w:gridCol w:w="960"/>
      </w:tblGrid>
      <w:tr>
        <w:trPr/>
        <w:tc>
          <w:tcPr>
            <w:tcW w:w="6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Bara</w:t>
            </w:r>
            <w:r>
              <w:rPr>
                <w:rFonts w:ascii="Times New Roman;Times;Serif" w:hAnsi="Times New Roman;Times;Serif"/>
                <w:caps w:val="false"/>
                <w:smallCaps w:val="false"/>
                <w:position w:val="7"/>
                <w:sz w:val="16"/>
                <w:sz w:val="20"/>
              </w:rPr>
              <w:t>1</w:t>
            </w:r>
            <w:r>
              <w:rPr>
                <w:rFonts w:ascii="Times New Roman;Times;Serif" w:hAnsi="Times New Roman;Times;Serif"/>
                <w:b/>
              </w:rPr>
              <w:tab/>
            </w:r>
          </w:p>
        </w:tc>
        <w:tc>
          <w:tcPr>
            <w:tcW w:w="960" w:type="dxa"/>
            <w:tcBorders/>
            <w:shd w:fill="FFFFFF" w:val="clear"/>
            <w:vAlign w:val="center"/>
          </w:tcPr>
          <w:p>
            <w:pPr>
              <w:pStyle w:val="TableContents"/>
              <w:bidi w:val="0"/>
              <w:spacing w:before="0" w:after="283"/>
              <w:jc w:val="right"/>
              <w:rPr/>
            </w:pPr>
            <w:r>
              <w:rPr/>
              <w:drawing>
                <wp:inline distT="0" distB="0" distL="0" distR="0">
                  <wp:extent cx="600075" cy="561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0075" cy="5619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increased by 35.8% in 2Q26 compared to 2Q25, reflecting an average same-store sales increase of 11.3%, with an ongoing strong performance in the grocery, homecare and convenience categories and the addition of 253 net new Bara stores during the last twelve months, a 47.5% year over year increase in the store base. During the quarter, the Bara store base expanded by 112 units reaching a total of 786 Bara stores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Bara store count and results are not consolidated within the Americas &amp; Mobility reported figures.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 Financial Summary – Europe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283"/>
        <w:jc w:val="left"/>
        <w:rPr/>
      </w:pPr>
      <w:r>
        <w:rPr/>
        <w:t> </w:t>
      </w:r>
    </w:p>
    <w:tbl>
      <w:tblPr>
        <w:tblW w:w="7160" w:type="dxa"/>
        <w:jc w:val="center"/>
        <w:tblInd w:w="0" w:type="dxa"/>
        <w:tblLayout w:type="fixed"/>
        <w:tblCellMar>
          <w:top w:w="0" w:type="dxa"/>
          <w:left w:w="0" w:type="dxa"/>
          <w:bottom w:w="0" w:type="dxa"/>
          <w:right w:w="0" w:type="dxa"/>
        </w:tblCellMar>
      </w:tblPr>
      <w:tblGrid>
        <w:gridCol w:w="3290"/>
        <w:gridCol w:w="60"/>
        <w:gridCol w:w="60"/>
        <w:gridCol w:w="635"/>
        <w:gridCol w:w="60"/>
        <w:gridCol w:w="60"/>
        <w:gridCol w:w="60"/>
        <w:gridCol w:w="635"/>
        <w:gridCol w:w="60"/>
        <w:gridCol w:w="60"/>
        <w:gridCol w:w="60"/>
        <w:gridCol w:w="680"/>
        <w:gridCol w:w="245"/>
        <w:gridCol w:w="60"/>
        <w:gridCol w:w="60"/>
        <w:gridCol w:w="815"/>
        <w:gridCol w:w="260"/>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w:t>
            </w:r>
            <w:r>
              <w:rPr>
                <w:rFonts w:ascii="Times New Roman;Times;Serif" w:hAnsi="Times New Roman;Times;Serif"/>
                <w:b/>
                <w:i w:val="false"/>
                <w:caps w:val="false"/>
                <w:smallCaps w:val="false"/>
                <w:position w:val="7"/>
                <w:sz w:val="16"/>
                <w:sz w:val="20"/>
              </w:rPr>
              <w:t>(A)</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Same-store sales (thousands of Ps.)</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Gross Profit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(120bps</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Income from Operations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(20bps</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Adjusted EBITDA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bps</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revenues </w:t>
      </w:r>
      <w:r>
        <w:rPr>
          <w:rFonts w:ascii="Times New Roman;Times;Serif" w:hAnsi="Times New Roman;Times;Serif"/>
          <w:b w:val="false"/>
          <w:i w:val="false"/>
          <w:caps w:val="false"/>
          <w:smallCaps w:val="false"/>
          <w:sz w:val="20"/>
        </w:rPr>
        <w:t>decreased 3.8% in 2Q26 compared to 2Q25, reflecting currency headwinds. On a currency-neutral basis total revenues grew 3.2%, reflecting higher sales from our Swiss retail operations, supported by a favorable sales mix, partially offset by lower B2B sales and a softer performance across formats in Germany, impacted by adverse weather and transport-related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represented 40.2% of total revenues, a 120 basis-point margin contraction, reflecting a reclassification of distribution expenses from selling expenses to cost of goods sold, which is not reflected in 2Q25. Gross profit decreased 6.6% compared to 2Q25 but increased 0.2% on a currency-neutral basis, reflecting the effects mentioned above. Excluding the effects of this reclassification, gross profit would have decreased 3.0% in 2Q26, and the gross profit margin would have expanded 40 basis points from a base of 39.8% in 2Q25, reflecting continued implementation of commercial income strategies and solid performance in Swiss retail, supported by higher tobacco and food margins, and higher promotional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from operations </w:t>
      </w:r>
      <w:r>
        <w:rPr>
          <w:rFonts w:ascii="Times New Roman;Times;Serif" w:hAnsi="Times New Roman;Times;Serif"/>
          <w:b w:val="false"/>
          <w:i w:val="false"/>
          <w:caps w:val="false"/>
          <w:smallCaps w:val="false"/>
          <w:sz w:val="20"/>
        </w:rPr>
        <w:t>decreased 7.3% versus 2Q25 and represented 4.4% of total revenues, a 20 basis-point contraction year-on-year, impacted by currency headwinds and one-time expenses related to the reorganization of our operations. This was partially offset by the solid performance of our Swiss convenience business, supported by promotional income and a favorable sales mix, coupled with effective expense control. On a comparable basis, income from operations decreased 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12 for our definition of “comparable” and a description of the factors affecting the comparability of our financial and operating performance.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Same-store Sales reflects a weighted average from our foodservice and retail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820" w:type="dxa"/>
        <w:jc w:val="left"/>
        <w:tblInd w:w="0" w:type="dxa"/>
        <w:tblLayout w:type="fixed"/>
        <w:tblCellMar>
          <w:top w:w="0" w:type="dxa"/>
          <w:left w:w="0" w:type="dxa"/>
          <w:bottom w:w="0" w:type="dxa"/>
          <w:right w:w="0" w:type="dxa"/>
        </w:tblCellMar>
      </w:tblPr>
      <w:tblGrid>
        <w:gridCol w:w="1070"/>
        <w:gridCol w:w="750"/>
      </w:tblGrid>
      <w:tr>
        <w:trPr/>
        <w:tc>
          <w:tcPr>
            <w:tcW w:w="1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HEALTH</w:t>
            </w:r>
          </w:p>
        </w:tc>
        <w:tc>
          <w:tcPr>
            <w:tcW w:w="750" w:type="dxa"/>
            <w:tcBorders/>
            <w:shd w:fill="FFFFFF" w:val="clear"/>
            <w:vAlign w:val="center"/>
          </w:tcPr>
          <w:p>
            <w:pPr>
              <w:pStyle w:val="TableContents"/>
              <w:bidi w:val="0"/>
              <w:spacing w:before="0" w:after="283"/>
              <w:jc w:val="right"/>
              <w:rPr/>
            </w:pPr>
            <w:r>
              <w:rPr/>
              <w:drawing>
                <wp:inline distT="0" distB="0" distL="0" distR="0">
                  <wp:extent cx="466725" cy="37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66725" cy="3714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 Financial Summary - Health</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 except same-store sales</w:t>
      </w:r>
    </w:p>
    <w:p>
      <w:pPr>
        <w:pStyle w:val="TextBody"/>
        <w:bidi w:val="0"/>
        <w:spacing w:before="0" w:after="283"/>
        <w:jc w:val="left"/>
        <w:rPr/>
      </w:pPr>
      <w:r>
        <w:rPr/>
        <w:t> </w:t>
      </w:r>
    </w:p>
    <w:tbl>
      <w:tblPr>
        <w:tblW w:w="7100" w:type="dxa"/>
        <w:jc w:val="center"/>
        <w:tblInd w:w="0" w:type="dxa"/>
        <w:tblLayout w:type="fixed"/>
        <w:tblCellMar>
          <w:top w:w="0" w:type="dxa"/>
          <w:left w:w="0" w:type="dxa"/>
          <w:bottom w:w="0" w:type="dxa"/>
          <w:right w:w="0" w:type="dxa"/>
        </w:tblCellMar>
      </w:tblPr>
      <w:tblGrid>
        <w:gridCol w:w="3290"/>
        <w:gridCol w:w="60"/>
        <w:gridCol w:w="60"/>
        <w:gridCol w:w="635"/>
        <w:gridCol w:w="60"/>
        <w:gridCol w:w="60"/>
        <w:gridCol w:w="60"/>
        <w:gridCol w:w="635"/>
        <w:gridCol w:w="60"/>
        <w:gridCol w:w="60"/>
        <w:gridCol w:w="60"/>
        <w:gridCol w:w="680"/>
        <w:gridCol w:w="185"/>
        <w:gridCol w:w="60"/>
        <w:gridCol w:w="60"/>
        <w:gridCol w:w="815"/>
        <w:gridCol w:w="260"/>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w:t>
            </w:r>
            <w:r>
              <w:rPr>
                <w:rFonts w:ascii="Times New Roman;Times;Serif" w:hAnsi="Times New Roman;Times;Serif"/>
                <w:b/>
                <w:i w:val="false"/>
                <w:caps w:val="false"/>
                <w:smallCaps w:val="false"/>
                <w:position w:val="7"/>
                <w:sz w:val="16"/>
                <w:sz w:val="20"/>
              </w:rPr>
              <w:t>(A)</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Same-store sales (thousands of 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Gross Profit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(310bps</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Income from Operations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(220bps</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Adjusted EBITDA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 bps</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86650" cy="2105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486650" cy="2105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increased 2.2% in 2Q26 compared to 2Q25, reflecting a positive performance in Colombia retail and Ecuador, offset by neutral performance in Chile, challenging results in Mexico and currency headwinds. On a currency-neutral basis total revenues grew 4.8%. During the quarter, the net store base increased by 57 units, reaching a total of 4,584 locations across our territories as of June 30, 2026, and it added 263 total net locations during the last twelve months. Same-store sales increased 0.7% in Mexican pesos and increased 6.2% on a currency-neutral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was 26.6% of total revenues, representing a decrease of 310 basis points, mainly reflecting a reclassification of distribution expenses from selling expenses to cost of goods sold in Chile; this effect is not reflected in 2Q25. The decrease is also driven by the underperformance of Mexico and aggressive promotional initiatives in Chile in response to a highly competitive environment, and an unfavorable product mix in Chile and Ecuador. Gross profit decreased 8.7% compared to 2Q25, reflecting the effects mentioned above. Excluding the effects of this reclassification, the gross profit would have marginally increased by 0.9% in 2Q26 versus the previous year, and the gross profit margin would have contracted 30 basis points from a base of 26.9%.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operations</w:t>
      </w:r>
      <w:r>
        <w:rPr>
          <w:rFonts w:ascii="Times New Roman;Times;Serif" w:hAnsi="Times New Roman;Times;Serif"/>
          <w:b w:val="false"/>
          <w:i w:val="false"/>
          <w:caps w:val="false"/>
          <w:smallCaps w:val="false"/>
          <w:sz w:val="20"/>
        </w:rPr>
        <w:t xml:space="preserve"> decreased 57.7% and represented 1.5% of total revenues, a reduction of 220 basis points from 3.7%, mainly reflecting; i) a non-cash credit-risk provision of Ps. 408 million in connection with the unwinding process of Colombia’s institutional business; ii) higher labor expenses in Colombia, driven by labor reforms and increased minimum wages; and iii) lower income from operations in Chile, mainly driven by the gross margin contraction described above. This was partially offset by improved results in Ecuador, the continued solid performance of Colombia retail, and a lower operating loss in Mexico, supported by continued cost and expense control. On a comparable basis, income from operations contracted by 54.1%,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12 for our definition of “comparable” and a description of the factors affecting the comparability of our financial and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680"/>
        <w:gridCol w:w="720"/>
      </w:tblGrid>
      <w:tr>
        <w:trPr/>
        <w:tc>
          <w:tcPr>
            <w:tcW w:w="6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SPIN</w:t>
            </w:r>
            <w:r>
              <w:rPr>
                <w:rFonts w:ascii="Times New Roman;Times;Serif" w:hAnsi="Times New Roman;Times;Serif"/>
                <w:b/>
                <w:caps w:val="false"/>
                <w:smallCaps w:val="false"/>
                <w:position w:val="7"/>
                <w:sz w:val="16"/>
                <w:sz w:val="20"/>
              </w:rPr>
              <w:t>1</w:t>
            </w:r>
          </w:p>
        </w:tc>
        <w:tc>
          <w:tcPr>
            <w:tcW w:w="720" w:type="dxa"/>
            <w:tcBorders/>
            <w:shd w:fill="FFFFFF" w:val="clear"/>
            <w:vAlign w:val="center"/>
          </w:tcPr>
          <w:p>
            <w:pPr>
              <w:pStyle w:val="TableContents"/>
              <w:bidi w:val="0"/>
              <w:spacing w:before="0" w:after="283"/>
              <w:jc w:val="right"/>
              <w:rPr/>
            </w:pPr>
            <w:r>
              <w:rPr/>
              <w:drawing>
                <wp:inline distT="0" distB="0" distL="0" distR="0">
                  <wp:extent cx="447675" cy="495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47675" cy="495300"/>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Spin by OXXO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Spin by OXXO acquired 0.7 million users during the quarter to reach 17.6 million total acquired users in 2Q26, compared to 14.5 million users in 2Q25. This represents an increase of 21.6% YoY and a 1.6% compound monthly growth rate. Active users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were 65.0% of the total acquired user base, representing 22.1% growth YoY and reaching 11.5 million. Total transactions per month increased 61.5%</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YoY to reach an average of 119.1 million per month in 2Q26, reflecting an increase in user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Spin Premia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Spin Premia acquired 1.9 million users during the quarter to reach 67.1 million total acquired users in 2Q26, compared to 58.3 million users in 2Q25. This represents an increase of 15.1% YoY and a 1.2% compound monthly growth rate. Active users</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were 43.5% of the total acquired user base, representing 9.4% growth YoY and reaching 29.1 million. The average tender during the quarter was 50.4%.</w:t>
      </w:r>
    </w:p>
    <w:p>
      <w:pPr>
        <w:pStyle w:val="TextBody"/>
        <w:bidi w:val="0"/>
        <w:spacing w:before="0" w:after="0"/>
        <w:ind w:left="0" w:right="0" w:hanging="0"/>
        <w:jc w:val="both"/>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2450"/>
        <w:gridCol w:w="420"/>
      </w:tblGrid>
      <w:tr>
        <w:trPr/>
        <w:tc>
          <w:tcPr>
            <w:tcW w:w="2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COCA-COLA FEMSA</w:t>
            </w:r>
          </w:p>
        </w:tc>
        <w:tc>
          <w:tcPr>
            <w:tcW w:w="420" w:type="dxa"/>
            <w:tcBorders/>
            <w:shd w:fill="FFFFFF" w:val="clear"/>
            <w:vAlign w:val="center"/>
          </w:tcPr>
          <w:p>
            <w:pPr>
              <w:pStyle w:val="TableContents"/>
              <w:bidi w:val="0"/>
              <w:spacing w:before="0" w:after="283"/>
              <w:jc w:val="right"/>
              <w:rPr/>
            </w:pPr>
            <w:r>
              <w:rPr/>
              <w:drawing>
                <wp:inline distT="0" distB="0" distL="0" distR="0">
                  <wp:extent cx="257175" cy="409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57175" cy="4095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Coca-Cola FEMSA’s financial results and discussion thereof are incorporated by reference from Coca-Cola FEMSA’s press release, which is attached to this press release or may be accessed by visiting </w:t>
      </w:r>
      <w:r>
        <w:rPr>
          <w:rFonts w:ascii="Times New Roman;Times;Serif" w:hAnsi="Times New Roman;Times;Serif"/>
          <w:b w:val="false"/>
          <w:i w:val="false"/>
          <w:caps w:val="false"/>
          <w:smallCaps w:val="false"/>
          <w:sz w:val="20"/>
          <w:u w:val="single"/>
        </w:rPr>
        <w:t>coca-colafemsa.com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Spin results are included within the Other business segment.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Active User for Spin by OXXO: Any user with a balance or that has transacted within the last 56 days.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Represents the growth of average monthly transactions in 2Q26 compared to average monthly transactions in 2Q25.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Active User for Spin Premia: User that has transacted at least once with OXXO Premia within the last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FOR THE FIRST SIX MONTHS OF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Results are compared to the same period of previous year</w:t>
      </w:r>
    </w:p>
    <w:p>
      <w:pPr>
        <w:pStyle w:val="TextBody"/>
        <w:bidi w:val="0"/>
        <w:spacing w:before="0" w:after="0"/>
        <w:ind w:left="0" w:right="0" w:hanging="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2945"/>
      </w:tblGrid>
      <w:tr>
        <w:trPr/>
        <w:tc>
          <w:tcPr>
            <w:tcW w:w="294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FEMSA CONSOLIDATED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Summary for the First Six Months of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left"/>
        <w:rPr>
          <w:caps w:val="false"/>
          <w:smallCaps w:val="false"/>
        </w:rPr>
      </w:pPr>
      <w:r>
        <w:rPr>
          <w:caps w:val="false"/>
          <w:smallCaps w:val="false"/>
        </w:rPr>
        <w:t> </w:t>
      </w:r>
    </w:p>
    <w:tbl>
      <w:tblPr>
        <w:tblW w:w="6499" w:type="dxa"/>
        <w:jc w:val="center"/>
        <w:tblInd w:w="0" w:type="dxa"/>
        <w:tblLayout w:type="fixed"/>
        <w:tblCellMar>
          <w:top w:w="0" w:type="dxa"/>
          <w:left w:w="0" w:type="dxa"/>
          <w:bottom w:w="0" w:type="dxa"/>
          <w:right w:w="0" w:type="dxa"/>
        </w:tblCellMar>
      </w:tblPr>
      <w:tblGrid>
        <w:gridCol w:w="2750"/>
        <w:gridCol w:w="60"/>
        <w:gridCol w:w="60"/>
        <w:gridCol w:w="695"/>
        <w:gridCol w:w="60"/>
        <w:gridCol w:w="60"/>
        <w:gridCol w:w="60"/>
        <w:gridCol w:w="695"/>
        <w:gridCol w:w="60"/>
        <w:gridCol w:w="60"/>
        <w:gridCol w:w="60"/>
        <w:gridCol w:w="575"/>
        <w:gridCol w:w="185"/>
        <w:gridCol w:w="60"/>
        <w:gridCol w:w="116"/>
        <w:gridCol w:w="743"/>
        <w:gridCol w:w="200"/>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 </w:t>
            </w:r>
            <w:r>
              <w:rPr>
                <w:rFonts w:ascii="Times New Roman;Times;Serif" w:hAnsi="Times New Roman;Times;Serif"/>
                <w:b/>
                <w:i w:val="false"/>
                <w:caps w:val="false"/>
                <w:smallCaps w:val="false"/>
                <w:position w:val="7"/>
                <w:sz w:val="16"/>
                <w:sz w:val="20"/>
              </w:rPr>
              <w:t>(A)</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438,695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406,812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Gross Profit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(20bps</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Operating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(10bps</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Adjusted EBITDA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 bps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increased 7.8% in the first six months of 2026 compared to the same period of 2025, driven by growth in Coca-Cola FEMSA, OXXO Mexico, Americas &amp; Mobility and Health, partially offset by a decrease in Europe. Revenues reflected a net negative foreign exchange effect as the Mexican peso appreciated relative to other currencies; as a result, revenues grew 9.3% on a comparable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increased 7.3%, reflecting increases at OXXO Mexico, Coca-Cola FEMSA and Americas &amp; Mobility, offset by Europe and Health. Gross margin contracted 20 basis points, reaching 40.3%. This reflects margin expansion in OXXO Mexico and Americas &amp; Mobility, offset by contractions in Coca-Cola FEMSA, Europe and Health. It is important to highlight that the contractions in Europe and Health are explained by the reclassification of distribution expenses from selling expenses to cost of goods sold, which do not impact income from operations. Excluding the effects of this reclassification, the gross margin for the first six months of 2025 would have been 40.1%, an expansion of 20 basis points. On a comparable basis, which accounts for currency effects and M&amp;A, gross profit increased 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operations</w:t>
      </w:r>
      <w:r>
        <w:rPr>
          <w:rFonts w:ascii="Times New Roman;Times;Serif" w:hAnsi="Times New Roman;Times;Serif"/>
          <w:b w:val="false"/>
          <w:i w:val="false"/>
          <w:caps w:val="false"/>
          <w:smallCaps w:val="false"/>
          <w:sz w:val="20"/>
        </w:rPr>
        <w:t xml:space="preserve"> increased 6.5%, driven by growth in Coca-Cola FEMSA and OXXO Mexico, partially offset by declines in Americas &amp; Mobility, Europe and Health. The consolidated operating margin stood at 7.6%, contracting 10 basis points year over year, reflecting margin expansion in OXXO Mexico and Coca-Cola FEMSA, offset by margin contractions in Americas &amp; Mobility, Europe and Health. On a comparable basis, income from operations increased 11.9%.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 xml:space="preserve">effective income tax rate </w:t>
      </w:r>
      <w:r>
        <w:rPr>
          <w:rFonts w:ascii="Times New Roman;Times;Serif" w:hAnsi="Times New Roman;Times;Serif"/>
          <w:b w:val="false"/>
          <w:i w:val="false"/>
          <w:caps w:val="false"/>
          <w:smallCaps w:val="false"/>
          <w:sz w:val="20"/>
        </w:rPr>
        <w:t>was 24.1% for the first six months of 2026. This is largely explained by a one-time gain related to the BradyPLUS and Imperial Dade merger recorded in the first quarter of 2026, reflecting a non-cash accounting gain which increased profitability with no current tax effect. Excluding this impact, the effective income tax rate would be 36.2%. The gap between our effective tax rate and the statutory rate of 30% is mainly explained by non-deductible expenses, primarily at OXXO Mexico, and non-creditable tax loss effects, mainly from Spin. Our income tax provision for the first six months of 2026 was Ps. 8,562 million, a decline of 5.9% relative to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consolidated income</w:t>
      </w:r>
      <w:r>
        <w:rPr>
          <w:rFonts w:ascii="Times New Roman;Times;Serif" w:hAnsi="Times New Roman;Times;Serif"/>
          <w:b w:val="false"/>
          <w:i w:val="false"/>
          <w:caps w:val="false"/>
          <w:smallCaps w:val="false"/>
          <w:sz w:val="20"/>
        </w:rPr>
        <w:t xml:space="preserve"> amounted to Ps. 26,874 million, representing an increase of 84.9% compared to the first six months of 2025. This increase primarily reflected a one-time gain related to the BradyPLUS and Imperial Dade merger recorded in the first quarter of 2026. Excluding this one-time gain, our net consolidated income amounted to Ps. 14,923 million, representing an increase of 2.7% compared to the first six months of 2025. This increase primarily reflected: i) a lower non-cash foreign exchange loss of Ps. 1,099 million, compared to a loss of Ps. 3,660 million, reflecting a favorable swing of Ps. 2,561 million, mainly due to lower appreciation of the Mexican peso against the U.S. dollar and lower U.S. dollar cash balances; ii) a reduction in other financial income of Ps. 76 million, compared to Ps. 1,817 million, which reflected the valuation effect recorded in 2025 related to HKN shares; and iii) a lower loss from participation in associates’ results of Ps. 62 million, compared to a loss of Ps. 844 million in 2025, which reflected the results of our joint venture in Brazil and our participation in BradyPlus. These effects were partially offset by: i) higher net interest expense of Ps. 8,315 million, compared to Ps. 6,281 million, mainly reflecting lower interest income of Ps. 2,680 million compared to Ps. 4,183 million, driven by a lower cash and investment balance; and ii) a reduction of Ps. 2,333 million in income from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majority income</w:t>
      </w:r>
      <w:r>
        <w:rPr>
          <w:rFonts w:ascii="Times New Roman;Times;Serif" w:hAnsi="Times New Roman;Times;Serif"/>
          <w:b w:val="false"/>
          <w:i w:val="false"/>
          <w:caps w:val="false"/>
          <w:smallCaps w:val="false"/>
          <w:sz w:val="20"/>
        </w:rPr>
        <w:t xml:space="preserve"> per FEMSA Unit</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was Ps. 5.97 (US$3.42 per ADS).</w:t>
      </w:r>
    </w:p>
    <w:p>
      <w:pPr>
        <w:pStyle w:val="TextBody"/>
        <w:bidi w:val="0"/>
        <w:spacing w:before="0" w:after="0"/>
        <w:ind w:left="0" w:right="0" w:firstLine="11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expenditures</w:t>
      </w:r>
      <w:r>
        <w:rPr>
          <w:rFonts w:ascii="Times New Roman;Times;Serif" w:hAnsi="Times New Roman;Times;Serif"/>
          <w:b w:val="false"/>
          <w:i w:val="false"/>
          <w:caps w:val="false"/>
          <w:smallCaps w:val="false"/>
          <w:sz w:val="20"/>
        </w:rPr>
        <w:t xml:space="preserve"> amounted to Ps. 15,067 million, 3.4% as a percentage of total sales, and a decrease of 16.2% compared to the first six months of 2025, mainly reflecting lower CAPEX at Coca-Cola FEMSA, driven by a more selective approach to capital deployment, and at OXXO Mexico, reflecting a more measured pace of store openings compared to the prior year, coupled with a decrease in Health, consistent with a disciplined approach to investments across the portfolio. This was partially offset by higher CAPEX in Americas &amp; Mobility, reflecting continued investments related to the reactivation of expansion plans in most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360" w:right="86"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b/>
                <w:sz w:val="20"/>
              </w:rPr>
              <w:t>June 24, 2026</w:t>
            </w:r>
            <w:r>
              <w:rPr>
                <w:rFonts w:ascii="Times New Roman;Times;Serif" w:hAnsi="Times New Roman;Times;Serif"/>
                <w:sz w:val="20"/>
              </w:rPr>
              <w:t>, FEMSA completed the accelerated share repurchase program first announced in March 23, 2026. The Company repurchased approximately 2.6 million American Depositary Shares (“ADSs”) at an average price of US$117.47 per ADS, for a total amount of US$300 million, with final settlement and delivery completed on this date. The ASR had an initial delivery of 591,774 ADSs in March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b/>
                <w:sz w:val="20"/>
              </w:rPr>
              <w:t>June 8, 2026</w:t>
            </w:r>
            <w:r>
              <w:rPr>
                <w:rFonts w:ascii="Times New Roman;Times;Serif" w:hAnsi="Times New Roman;Times;Serif"/>
                <w:sz w:val="20"/>
              </w:rPr>
              <w:t xml:space="preserve">, FEMSA announced that it entered into an agreement for a strategic equity investment by QED Investors (“QED”) into its lending business unit. QED is a global fintech-focused venture capital firm with more than 250 portfolio companies and US$4 billion in assets under management.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lending business unit is an important component of FEMSA’s digital ecosystem, complementing the Company’s payments and loyalty offerings. The business is uniquely positioned to leverage FEMSA’s broad customer reach, high-frequency consumer engagement, extensive transaction data, and trusted brands, creating a strong foundation to develop relevant and accessible credit solutions for underserved consumers in Mexico.</w:t>
      </w:r>
    </w:p>
    <w:p>
      <w:pPr>
        <w:pStyle w:val="TextBody"/>
        <w:bidi w:val="0"/>
        <w:spacing w:before="0" w:after="0"/>
        <w:ind w:left="360" w:right="688"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13 for our definition of “comparable” and a description of the factors affecting the comparability of our financial and operating performance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Adjusted EBITDA: Operating Income + Depreciation + Amortizations.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FEMSA Units consist of FEMSA BD Units and FEMSA B Units. Each FEMSA BD Unit is comprised of one Series B Share, two Series D-B Shares and two Series D-L Shares. Each FEMSA B Unit is comprised of five Series B Shares. The number of FEMSA Units outstanding as of June 30, 2026 was 3,412,732,415, equivalent to the total number of FEMSA Shares outstanding as of the same date, divided by 5.</w:t>
      </w:r>
    </w:p>
    <w:p>
      <w:pPr>
        <w:pStyle w:val="TextBody"/>
        <w:bidi w:val="0"/>
        <w:spacing w:before="0" w:after="0"/>
        <w:ind w:left="360" w:right="688" w:hanging="0"/>
        <w:jc w:val="both"/>
        <w:rPr>
          <w:caps w:val="false"/>
          <w:smallCaps w:val="false"/>
        </w:rPr>
      </w:pPr>
      <w:r>
        <w:rPr>
          <w:caps w:val="false"/>
          <w:smallCaps w:val="false"/>
        </w:rPr>
        <w:t> </w:t>
      </w:r>
    </w:p>
    <w:p>
      <w:pPr>
        <w:pStyle w:val="TextBody"/>
        <w:bidi w:val="0"/>
        <w:spacing w:before="0" w:after="0"/>
        <w:ind w:left="360" w:right="688"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10</w:t>
      </w:r>
    </w:p>
    <w:p>
      <w:pPr>
        <w:pStyle w:val="TextBody"/>
        <w:bidi w:val="0"/>
        <w:spacing w:before="0" w:after="0"/>
        <w:ind w:left="0" w:right="0" w:hanging="0"/>
        <w:jc w:val="left"/>
        <w:rPr/>
      </w:pPr>
      <w:r>
        <w:rPr/>
        <w:t> </w:t>
      </w:r>
    </w:p>
    <w:p>
      <w:pPr>
        <w:pStyle w:val="TextBody"/>
        <w:bidi w:val="0"/>
        <w:spacing w:before="0" w:after="0"/>
        <w:ind w:left="360" w:right="688"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FEMSA recognizes that building a successful lending business requires specialized expertise, disciplined execution, and prudent risk management. QED brings a proven track record of supporting the build and scale of fintech companies across multiple markets and is known for its highly engaged, operator-led approach. Beyond capital, QED will contribute hands-on experience in lending, risk management, product development, and organizational scaling, making it a highly complementary partner as FEMSA’s lending business enters its next stage of development.</w:t>
      </w:r>
    </w:p>
    <w:p>
      <w:pPr>
        <w:pStyle w:val="TextBody"/>
        <w:bidi w:val="0"/>
        <w:spacing w:before="0" w:after="0"/>
        <w:ind w:left="360" w:right="688"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establishes a framework for controlled and responsible growth, enabling the lending business to advance through clearly defined milestones while maintaining a measured approach to investment, portfolio growth and risk management. FEMSA believes that combining QED’s expertise with its unique customer access, proprietary data advantages, trusted consumer relationships, and omnichannel presence will support the disciplined development of a responsible and scalable credit offering that contributes to greater financial inclusion in Mexico. FEMSA will continue to hold a majority stake in the lending business and consolidate its results</w:t>
      </w:r>
    </w:p>
    <w:p>
      <w:pPr>
        <w:pStyle w:val="TextBody"/>
        <w:bidi w:val="0"/>
        <w:spacing w:before="0" w:after="0"/>
        <w:ind w:left="360" w:right="688" w:hanging="0"/>
        <w:jc w:val="both"/>
        <w:rPr>
          <w:caps w:val="false"/>
          <w:smallCaps w:val="false"/>
        </w:rPr>
      </w:pPr>
      <w:r>
        <w:rPr>
          <w:caps w:val="false"/>
          <w:smallCaps w:val="false"/>
        </w:rPr>
        <w:t> </w:t>
      </w:r>
    </w:p>
    <w:p>
      <w:pPr>
        <w:pStyle w:val="TextBody"/>
        <w:bidi w:val="0"/>
        <w:spacing w:before="0" w:after="0"/>
        <w:ind w:left="360" w:right="688"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11</w:t>
      </w:r>
    </w:p>
    <w:p>
      <w:pPr>
        <w:pStyle w:val="TextBody"/>
        <w:bidi w:val="0"/>
        <w:spacing w:before="0" w:after="0"/>
        <w:ind w:left="0" w:right="0" w:hanging="0"/>
        <w:jc w:val="left"/>
        <w:rPr/>
      </w:pPr>
      <w:r>
        <w:rPr/>
        <w:t> </w:t>
      </w:r>
    </w:p>
    <w:p>
      <w:pPr>
        <w:pStyle w:val="TextBody"/>
        <w:bidi w:val="0"/>
        <w:spacing w:before="0" w:after="0"/>
        <w:ind w:left="360" w:right="688"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second quarter 2026 Conference Call will be held on: Tuesday, July 28, 2026, 11:00 AM Eastern Time (9:00 AM Mexico City Time). The conference call will be live through our Zoom link. For registration, please visit: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Registration:</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u w:val="single"/>
        </w:rPr>
        <w:t>https://bit.ly/FEMSA_2Q26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unable to participate live, the conference call audio will be available on </w:t>
      </w:r>
      <w:r>
        <w:rPr>
          <w:rFonts w:ascii="Times New Roman;Times;Serif" w:hAnsi="Times New Roman;Times;Serif"/>
          <w:b w:val="false"/>
          <w:i w:val="false"/>
          <w:caps w:val="false"/>
          <w:smallCaps w:val="false"/>
          <w:sz w:val="20"/>
          <w:u w:val="single"/>
        </w:rPr>
        <w:t>https://femsa.gcs-web.com/financial-reports/quarterly-results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FEMSA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FEMSA is a company that creates economic and social value through companies and institutions and strives to be the best employer and neighbor to the communities in which it operates. It participates in two core sectors, retail and beverages. In retail, FEMSA is present through four divisions: i) OXXO Mexico, operating the largest small-format store chain in Mexico; ii) Americas &amp; Mobility, which includes its OXXO convenience store operations across Latin America and the United States, as well as its gas station business in Mexico and the United States; iii) Europe, operating convenience and foodvenience formats in five European countries; and iv) FEMSA Health, which includes drugstores and related activities in four Latin American countries. In Mexico, OXXO’s operations are enhanced by, and comprise a customer-focused ecosystem with Spin, a digital platform that leverages the OXXO store network to provide Mexican consumers with access to digital financial services, including Spin by OXXO and Spin Premia, among other initiatives. In the beverage sector, FEMSA participates through Coca-Cola FEMSA, the largest franchise bottler of Coca-Cola products in the world by volume. Across its business units, FEMSA has more than 369,000 employees in 18 countries. FEMSA is a member of the Dow Jones Best-in-Class World Index &amp; Dow Jones Best-in-Class MILA Pacific Alliance Index, both from S&amp;P Global; FTSE4Good Emerging Index; MSCI EM Latin America ESG Leaders Index; S&amp;P/BMV Total México ESG, among other indexes.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53565A"/>
        </w:rPr>
      </w:pPr>
      <w:r>
        <w:rPr>
          <w:caps w:val="false"/>
          <w:smallCaps w:val="false"/>
          <w:bdr w:val="single" w:sz="8" w:space="1" w:color="53565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53565A"/>
        </w:rPr>
      </w:pPr>
      <w:r>
        <w:rPr>
          <w:rFonts w:ascii="Times New Roman;Times;Serif" w:hAnsi="Times New Roman;Times;Serif"/>
          <w:b w:val="false"/>
          <w:i w:val="false"/>
          <w:caps w:val="false"/>
          <w:smallCaps w:val="false"/>
          <w:sz w:val="20"/>
          <w:bdr w:val="single" w:sz="8" w:space="1" w:color="53565A"/>
        </w:rPr>
        <w:t>The translations of Mexican pesos into US dollars are included solely for the convenience of the reader, using the noon buying rate for Mexican pesos as published by the Federal Reserve Bank of New York on June 30, 2026, which was 17.4490 Mexican pesos per US dollar.</w:t>
      </w:r>
    </w:p>
    <w:p>
      <w:pPr>
        <w:pStyle w:val="TextBody"/>
        <w:bidi w:val="0"/>
        <w:spacing w:before="0" w:after="0"/>
        <w:ind w:left="0" w:right="0" w:hanging="0"/>
        <w:jc w:val="both"/>
        <w:rPr>
          <w:caps w:val="false"/>
          <w:smallCaps w:val="false"/>
          <w:bdr w:val="single" w:sz="8" w:space="1" w:color="53565A"/>
        </w:rPr>
      </w:pPr>
      <w:r>
        <w:rPr>
          <w:caps w:val="false"/>
          <w:smallCaps w:val="false"/>
          <w:bdr w:val="single" w:sz="8" w:space="1" w:color="53565A"/>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may contain certain forward-looking statements concerning our future performance that should be considered as good faith estimates made by us. These forward-looking statements reflect management’s expectations and are based upon currently available data. Actual results are subject to future events and uncertainties, which could materially impact our actual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and for the year ended December 31, 2026, are not yet available, and the independent audit of those financial statements is ongoing and has not yet been completed. The unaudited preliminary financial information as of and for the year ended December 31, 2026, presented herein, is preliminary and subject to change as we complete our financial closing procedures and prepare our consolidated financial statements, and as our independent registered public accounting firm completes its audit of such consolidated financial statements. As of the date of this release, our independent registered public accounting firm has not expressed an opinion or any other form of assurance on any financial information as of or for the year ended December 31, 2026, or on our internal control over financial reporting as of December 31, 2026. Our audited consolidated financial statements may differ materially from this preliminary information and will also include notes providing additional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COMPARABILITY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“comparable” term means, with respect to a year-over-year comparison, the change of a given measure excluding the effects of: (i) mergers, acquisitions, and divestitures; and (ii) translation effects resulting from exchange rate movements. In preparing this measure, management has used its best judgment, estimates, and assumptions to maintain comparability.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pages of tables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FEMSA – Consolidated Income Statement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8"/>
        <w:gridCol w:w="60"/>
        <w:gridCol w:w="605"/>
        <w:gridCol w:w="80"/>
        <w:gridCol w:w="60"/>
        <w:gridCol w:w="441"/>
        <w:gridCol w:w="80"/>
        <w:gridCol w:w="60"/>
        <w:gridCol w:w="605"/>
        <w:gridCol w:w="80"/>
        <w:gridCol w:w="60"/>
        <w:gridCol w:w="441"/>
        <w:gridCol w:w="80"/>
        <w:gridCol w:w="60"/>
        <w:gridCol w:w="560"/>
        <w:gridCol w:w="80"/>
        <w:gridCol w:w="60"/>
        <w:gridCol w:w="553"/>
        <w:gridCol w:w="60"/>
        <w:gridCol w:w="60"/>
        <w:gridCol w:w="605"/>
        <w:gridCol w:w="80"/>
        <w:gridCol w:w="60"/>
        <w:gridCol w:w="441"/>
        <w:gridCol w:w="80"/>
        <w:gridCol w:w="60"/>
        <w:gridCol w:w="605"/>
        <w:gridCol w:w="80"/>
        <w:gridCol w:w="60"/>
        <w:gridCol w:w="441"/>
        <w:gridCol w:w="80"/>
        <w:gridCol w:w="60"/>
        <w:gridCol w:w="560"/>
        <w:gridCol w:w="80"/>
        <w:gridCol w:w="60"/>
        <w:gridCol w:w="550"/>
        <w:gridCol w:w="80"/>
      </w:tblGrid>
      <w:tr>
        <w:trPr/>
        <w:tc>
          <w:tcPr>
            <w:tcW w:w="2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5" w:type="dxa"/>
            <w:gridSpan w:val="16"/>
            <w:tcBorders>
              <w:bottom w:val="single" w:sz="8" w:space="0" w:color="000000"/>
            </w:tcBorders>
            <w:tcMar>
              <w:bottom w:w="28" w:type="dxa"/>
            </w:tcMar>
            <w:vAlign w:val="center"/>
          </w:tcPr>
          <w:p>
            <w:pPr>
              <w:pStyle w:val="TableContents"/>
              <w:bidi w:val="0"/>
              <w:spacing w:before="0" w:after="283"/>
              <w:jc w:val="center"/>
              <w:rPr>
                <w:b/>
                <w:sz w:val="16"/>
              </w:rPr>
            </w:pPr>
            <w:r>
              <w:rPr>
                <w:b/>
                <w:sz w:val="16"/>
              </w:rPr>
              <w:t>For the second quarter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2" w:type="dxa"/>
            <w:gridSpan w:val="16"/>
            <w:tcBorders>
              <w:bottom w:val="single" w:sz="8" w:space="0" w:color="000000"/>
            </w:tcBorders>
            <w:tcMar>
              <w:bottom w:w="28" w:type="dxa"/>
            </w:tcMar>
            <w:vAlign w:val="center"/>
          </w:tcPr>
          <w:p>
            <w:pPr>
              <w:pStyle w:val="TableContents"/>
              <w:bidi w:val="0"/>
              <w:spacing w:before="0" w:after="283"/>
              <w:jc w:val="center"/>
              <w:rPr>
                <w:b/>
                <w:sz w:val="16"/>
              </w:rPr>
            </w:pPr>
            <w:r>
              <w:rPr>
                <w:b/>
                <w:sz w:val="16"/>
              </w:rPr>
              <w:t>For the six months of:</w:t>
            </w:r>
          </w:p>
        </w:tc>
        <w:tc>
          <w:tcPr>
            <w:tcW w:w="80" w:type="dxa"/>
            <w:tcBorders/>
            <w:vAlign w:val="center"/>
          </w:tcPr>
          <w:p>
            <w:pPr>
              <w:pStyle w:val="TableContents"/>
              <w:bidi w:val="0"/>
              <w:spacing w:before="0" w:after="283"/>
              <w:jc w:val="left"/>
              <w:rPr/>
            </w:pPr>
            <w:r>
              <w:rPr/>
              <w:t> </w:t>
            </w:r>
          </w:p>
        </w:tc>
      </w:tr>
      <w:tr>
        <w:trPr/>
        <w:tc>
          <w:tcPr>
            <w:tcW w:w="21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of rev.</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of rev.</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 Var.</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53"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 </w:t>
              <w:br/>
              <w:t xml:space="preserve">Comp. </w:t>
            </w:r>
            <w:r>
              <w:rPr>
                <w:b/>
                <w:position w:val="5"/>
                <w:sz w:val="13"/>
                <w:sz w:val="16"/>
              </w:rPr>
              <w:t>(A</w:t>
            </w:r>
            <w:r>
              <w:rPr>
                <w:b/>
                <w:sz w:val="16"/>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of rev.</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of rev.</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 Var.</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5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 xml:space="preserve">Comp. </w:t>
            </w:r>
            <w:r>
              <w:rPr>
                <w:b/>
                <w:position w:val="5"/>
                <w:sz w:val="13"/>
                <w:sz w:val="16"/>
              </w:rPr>
              <w:t>(A)</w:t>
            </w:r>
          </w:p>
        </w:tc>
        <w:tc>
          <w:tcPr>
            <w:tcW w:w="80" w:type="dxa"/>
            <w:tcBorders/>
            <w:vAlign w:val="center"/>
          </w:tcPr>
          <w:p>
            <w:pPr>
              <w:pStyle w:val="TableContents"/>
              <w:bidi w:val="0"/>
              <w:spacing w:before="0" w:after="283"/>
              <w:jc w:val="center"/>
              <w:rPr/>
            </w:pPr>
            <w:r>
              <w:rPr/>
              <w:t> </w:t>
            </w:r>
          </w:p>
        </w:tc>
      </w:tr>
      <w:tr>
        <w:trPr/>
        <w:tc>
          <w:tcPr>
            <w:tcW w:w="2138" w:type="dxa"/>
            <w:tcBorders/>
            <w:shd w:fill="CCEEFF" w:val="clear"/>
            <w:vAlign w:val="center"/>
          </w:tcPr>
          <w:p>
            <w:pPr>
              <w:pStyle w:val="TableContents"/>
              <w:bidi w:val="0"/>
              <w:spacing w:before="0" w:after="283"/>
              <w:jc w:val="left"/>
              <w:rPr>
                <w:b w:val="false"/>
                <w:i w:val="false"/>
                <w:caps w:val="false"/>
                <w:smallCaps w:val="false"/>
                <w:sz w:val="16"/>
              </w:rPr>
            </w:pPr>
            <w:r>
              <w:rPr>
                <w:b w:val="false"/>
                <w:i w:val="false"/>
                <w:caps w:val="false"/>
                <w:smallCaps w:val="false"/>
                <w:sz w:val="16"/>
              </w:rPr>
              <w:t xml:space="preserve">Total </w:t>
            </w:r>
            <w:r>
              <w:rPr>
                <w:rFonts w:ascii="Times New Roman;Times;Serif" w:hAnsi="Times New Roman;Times;Serif"/>
                <w:b w:val="false"/>
                <w:i w:val="false"/>
                <w:caps w:val="false"/>
                <w:smallCaps w:val="false"/>
                <w:sz w:val="16"/>
              </w:rPr>
              <w:t>revenues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231,002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sz w:val="16"/>
              </w:rPr>
            </w:pPr>
            <w:r>
              <w:rPr>
                <w:sz w:val="16"/>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211,364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sz w:val="16"/>
              </w:rPr>
            </w:pPr>
            <w:r>
              <w:rPr>
                <w:sz w:val="16"/>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16"/>
              </w:rPr>
            </w:pPr>
            <w:r>
              <w:rPr>
                <w:sz w:val="16"/>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438,695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sz w:val="16"/>
              </w:rPr>
            </w:pPr>
            <w:r>
              <w:rPr>
                <w:sz w:val="16"/>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406,812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sz w:val="16"/>
              </w:rPr>
            </w:pPr>
            <w:r>
              <w:rPr>
                <w:sz w:val="16"/>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sz w:val="16"/>
              </w:rPr>
            </w:pPr>
            <w:r>
              <w:rPr>
                <w:sz w:val="16"/>
              </w:rPr>
              <w:t>9.3</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Cost of sales</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138,391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125,442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262,029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242,126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sz w:val="16"/>
              </w:rPr>
            </w:pPr>
            <w:r>
              <w:rPr>
                <w:sz w:val="16"/>
              </w:rPr>
              <w:t>Gross profit</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92,611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85,922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176,666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164,686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8.9</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pPr>
            <w:r>
              <w:rPr/>
              <w:t>       </w:t>
            </w:r>
            <w:r>
              <w:rPr>
                <w:sz w:val="16"/>
              </w:rPr>
              <w:t>Administrative expenses</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9,876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sz w:val="16"/>
              </w:rPr>
            </w:pPr>
            <w:r>
              <w:rPr>
                <w:sz w:val="16"/>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10,262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sz w:val="16"/>
              </w:rPr>
            </w:pPr>
            <w:r>
              <w:rPr>
                <w:sz w:val="16"/>
              </w:rPr>
              <w:t>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(3.8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20,063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sz w:val="16"/>
              </w:rPr>
            </w:pPr>
            <w:r>
              <w:rPr>
                <w:sz w:val="16"/>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20,214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sz w:val="16"/>
              </w:rPr>
            </w:pPr>
            <w:r>
              <w:rPr>
                <w:sz w:val="16"/>
              </w:rPr>
              <w:t>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(0.7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pPr>
            <w:r>
              <w:rPr/>
              <w:t>       </w:t>
            </w:r>
            <w:r>
              <w:rPr>
                <w:sz w:val="16"/>
              </w:rPr>
              <w:t>Selling expenses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64,047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sz w:val="16"/>
              </w:rPr>
            </w:pPr>
            <w:r>
              <w:rPr>
                <w:sz w:val="16"/>
              </w:rPr>
              <w:t>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58,147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sz w:val="16"/>
              </w:rPr>
            </w:pPr>
            <w:r>
              <w:rPr>
                <w:sz w:val="16"/>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123,452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sz w:val="16"/>
              </w:rPr>
            </w:pPr>
            <w:r>
              <w:rPr>
                <w:sz w:val="16"/>
              </w:rPr>
              <w:t>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113,460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sz w:val="16"/>
              </w:rPr>
            </w:pPr>
            <w:r>
              <w:rPr>
                <w:sz w:val="16"/>
              </w:rPr>
              <w:t>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b w:val="false"/>
                <w:i w:val="false"/>
                <w:caps w:val="false"/>
                <w:smallCaps w:val="false"/>
                <w:sz w:val="16"/>
              </w:rPr>
            </w:pPr>
            <w:r>
              <w:rPr>
                <w:b w:val="false"/>
                <w:i w:val="false"/>
                <w:caps w:val="false"/>
                <w:smallCaps w:val="false"/>
                <w:sz w:val="16"/>
              </w:rPr>
              <w:t xml:space="preserve">Other operating expenses (income), net </w:t>
            </w:r>
            <w:r>
              <w:rPr>
                <w:rFonts w:ascii="Times New Roman;Times;Serif" w:hAnsi="Times New Roman;Times;Serif"/>
                <w:b w:val="false"/>
                <w:i w:val="false"/>
                <w:caps w:val="false"/>
                <w:smallCaps w:val="false"/>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(422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(318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(270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b w:val="false"/>
                <w:i w:val="false"/>
                <w:caps w:val="false"/>
                <w:smallCaps w:val="false"/>
                <w:sz w:val="16"/>
              </w:rPr>
            </w:pPr>
            <w:r>
              <w:rPr>
                <w:b w:val="false"/>
                <w:i w:val="false"/>
                <w:caps w:val="false"/>
                <w:smallCaps w:val="false"/>
                <w:sz w:val="16"/>
              </w:rPr>
              <w:t xml:space="preserve">Income from operations </w:t>
            </w:r>
            <w:r>
              <w:rPr>
                <w:rFonts w:ascii="Times New Roman;Times;Serif" w:hAnsi="Times New Roman;Times;Serif"/>
                <w:b w:val="false"/>
                <w:i w:val="false"/>
                <w:caps w:val="false"/>
                <w:smallCaps w:val="false"/>
                <w:position w:val="5"/>
                <w:sz w:val="13"/>
                <w:sz w:val="16"/>
              </w:rPr>
              <w:t>(2)</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19,110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17,831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33,421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31,368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11.9</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Other non-operating expenses (income)</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(11,415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16"/>
              </w:rPr>
              <w:t>N.S.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pPr>
            <w:r>
              <w:rPr/>
              <w:t>       </w:t>
            </w:r>
            <w:r>
              <w:rPr>
                <w:sz w:val="16"/>
              </w:rPr>
              <w:t>Interest expense</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pPr>
            <w:r>
              <w:rPr/>
              <w:t>       </w:t>
            </w:r>
            <w:r>
              <w:rPr>
                <w:sz w:val="16"/>
              </w:rPr>
              <w:t>Interest income</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1,508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(26.5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4,183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(35.9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pPr>
            <w:r>
              <w:rPr/>
              <w:t>       </w:t>
            </w:r>
            <w:r>
              <w:rPr>
                <w:sz w:val="16"/>
              </w:rPr>
              <w:t>Interest expense, net</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4,021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8,315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pPr>
            <w:r>
              <w:rPr/>
              <w:t>       </w:t>
            </w:r>
            <w:r>
              <w:rPr>
                <w:sz w:val="16"/>
              </w:rPr>
              <w:t>Foreign exchange loss (gain)</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4,102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(84.0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(70.0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138" w:type="dxa"/>
            <w:tcBorders/>
            <w:shd w:fill="CCEEFF" w:val="clear"/>
            <w:vAlign w:val="center"/>
          </w:tcPr>
          <w:p>
            <w:pPr>
              <w:pStyle w:val="TableContents"/>
              <w:bidi w:val="0"/>
              <w:spacing w:before="0" w:after="283"/>
              <w:jc w:val="left"/>
              <w:rPr/>
            </w:pPr>
            <w:r>
              <w:rPr/>
              <w:t>       </w:t>
            </w:r>
            <w:r>
              <w:rPr>
                <w:sz w:val="16"/>
              </w:rPr>
              <w:t>Other financial expenses (income), net</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(633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(74.2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(1,817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(95.8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Financing expenses, net</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6,719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(32.8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9,338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sz w:val="16"/>
              </w:rPr>
            </w:pPr>
            <w:r>
              <w:rPr>
                <w:sz w:val="16"/>
              </w:rPr>
              <w:t>Income before income tax and participation in associates results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14,087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35,498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22,144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Income tax</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4,905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4,339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8,562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(5.9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sz w:val="16"/>
              </w:rPr>
            </w:pPr>
            <w:r>
              <w:rPr>
                <w:sz w:val="16"/>
              </w:rPr>
              <w:t>Participation in associates results</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(105.0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(844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(92.7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Continued Operations net income (Loss)</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9,221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26,874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sz w:val="16"/>
              </w:rPr>
            </w:pPr>
            <w:r>
              <w:rPr>
                <w:sz w:val="16"/>
              </w:rPr>
              <w:t>Discontinued Operations net income (Loss)</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(157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(100.0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(100.0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(Loss) Consolidated net income</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9,221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26,874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14,533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sz w:val="16"/>
              </w:rPr>
            </w:pPr>
            <w:r>
              <w:rPr>
                <w:sz w:val="16"/>
              </w:rPr>
              <w:t>Net majority income</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20,376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8,516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Net minority income</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6,498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Operative Cash Flow &amp; CAPEX</w:t>
            </w:r>
          </w:p>
        </w:tc>
        <w:tc>
          <w:tcPr>
            <w:tcW w:w="60" w:type="dxa"/>
            <w:tcBorders/>
            <w:shd w:fill="FFFFFF" w:val="clear"/>
            <w:vAlign w:val="center"/>
          </w:tcPr>
          <w:p>
            <w:pPr>
              <w:pStyle w:val="TableContents"/>
              <w:bidi w:val="0"/>
              <w:spacing w:before="0" w:after="283"/>
              <w:jc w:val="center"/>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2026</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w:t>
              <w:br/>
              <w:t>of rev.</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2025</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w:t>
              <w:br/>
              <w:t>of rev.</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 Var.</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w:t>
              <w:br/>
              <w:t xml:space="preserve">Comp. </w:t>
            </w:r>
            <w:r>
              <w:rPr>
                <w:b/>
                <w:position w:val="5"/>
                <w:sz w:val="13"/>
                <w:sz w:val="16"/>
              </w:rPr>
              <w:t>(A)</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2026</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 xml:space="preserve">% </w:t>
              <w:br/>
              <w:t>of rev.</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2025</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w:t>
              <w:br/>
              <w:t>of rev.</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 Var.</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 xml:space="preserve">% </w:t>
              <w:br/>
              <w:t xml:space="preserve">Comp. </w:t>
            </w:r>
            <w:r>
              <w:rPr>
                <w:b/>
                <w:position w:val="5"/>
                <w:sz w:val="13"/>
                <w:sz w:val="16"/>
              </w:rPr>
              <w:t>(A)</w:t>
            </w:r>
          </w:p>
        </w:tc>
        <w:tc>
          <w:tcPr>
            <w:tcW w:w="80" w:type="dxa"/>
            <w:tcBorders/>
            <w:shd w:fill="FFFFFF" w:val="clear"/>
            <w:vAlign w:val="center"/>
          </w:tcPr>
          <w:p>
            <w:pPr>
              <w:pStyle w:val="TableContents"/>
              <w:bidi w:val="0"/>
              <w:spacing w:before="0" w:after="283"/>
              <w:jc w:val="center"/>
              <w:rPr/>
            </w:pPr>
            <w:r>
              <w:rPr/>
              <w:t> </w:t>
            </w:r>
          </w:p>
        </w:tc>
      </w:tr>
      <w:tr>
        <w:trPr/>
        <w:tc>
          <w:tcPr>
            <w:tcW w:w="2138" w:type="dxa"/>
            <w:tcBorders/>
            <w:shd w:fill="CCEEFF" w:val="clear"/>
            <w:vAlign w:val="center"/>
          </w:tcPr>
          <w:p>
            <w:pPr>
              <w:pStyle w:val="TableContents"/>
              <w:bidi w:val="0"/>
              <w:spacing w:before="0" w:after="283"/>
              <w:jc w:val="left"/>
              <w:rPr>
                <w:sz w:val="16"/>
              </w:rPr>
            </w:pPr>
            <w:r>
              <w:rPr>
                <w:sz w:val="16"/>
              </w:rPr>
              <w:t>Income from operations</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19,110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17,831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33,421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31,368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11.9</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Depreciation</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10,703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sz w:val="16"/>
              </w:rPr>
            </w:pPr>
            <w:r>
              <w:rPr>
                <w:sz w:val="16"/>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sz w:val="16"/>
              </w:rPr>
            </w:pPr>
            <w:r>
              <w:rPr>
                <w:sz w:val="16"/>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21,153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sz w:val="16"/>
              </w:rPr>
            </w:pPr>
            <w:r>
              <w:rPr>
                <w:sz w:val="16"/>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19,609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sz w:val="16"/>
              </w:rPr>
            </w:pPr>
            <w:r>
              <w:rPr>
                <w:sz w:val="16"/>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sz w:val="16"/>
              </w:rPr>
            </w:pPr>
            <w:r>
              <w:rPr>
                <w:sz w:val="16"/>
              </w:rPr>
              <w:t>Amortization &amp; other non-cash charges</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38" w:type="dxa"/>
            <w:tcBorders/>
            <w:shd w:fill="FFFFFF" w:val="clear"/>
            <w:vAlign w:val="center"/>
          </w:tcPr>
          <w:p>
            <w:pPr>
              <w:pStyle w:val="TableContents"/>
              <w:bidi w:val="0"/>
              <w:spacing w:before="0" w:after="283"/>
              <w:jc w:val="left"/>
              <w:rPr>
                <w:sz w:val="16"/>
              </w:rPr>
            </w:pPr>
            <w:r>
              <w:rPr>
                <w:sz w:val="16"/>
              </w:rPr>
              <w:t>Adjusted EBITDA</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33,340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29,588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61,455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54,832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15.8</w:t>
            </w:r>
          </w:p>
        </w:tc>
        <w:tc>
          <w:tcPr>
            <w:tcW w:w="80" w:type="dxa"/>
            <w:tcBorders/>
            <w:shd w:fill="FFFFFF" w:val="clear"/>
            <w:vAlign w:val="center"/>
          </w:tcPr>
          <w:p>
            <w:pPr>
              <w:pStyle w:val="TableContents"/>
              <w:bidi w:val="0"/>
              <w:spacing w:before="0" w:after="283"/>
              <w:jc w:val="left"/>
              <w:rPr/>
            </w:pPr>
            <w:r>
              <w:rPr/>
              <w:t> </w:t>
            </w:r>
          </w:p>
        </w:tc>
      </w:tr>
      <w:tr>
        <w:trPr/>
        <w:tc>
          <w:tcPr>
            <w:tcW w:w="2138" w:type="dxa"/>
            <w:tcBorders/>
            <w:shd w:fill="CCEEFF" w:val="clear"/>
            <w:vAlign w:val="center"/>
          </w:tcPr>
          <w:p>
            <w:pPr>
              <w:pStyle w:val="TableContents"/>
              <w:bidi w:val="0"/>
              <w:spacing w:before="0" w:after="283"/>
              <w:jc w:val="left"/>
              <w:rPr>
                <w:sz w:val="16"/>
              </w:rPr>
            </w:pPr>
            <w:r>
              <w:rPr>
                <w:sz w:val="16"/>
              </w:rPr>
              <w:t>CAPEX</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9,203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15,067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17,987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12 for our definition of “comparable” and a description of the factors affecting the comparability of our financial and operating performance.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Other operating expenses (income), net = other operating expenses (income) +(-) equity method from operated associates.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Income from operations = gross profit – administrative and selling expenses – other operating expenses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FEMSA – Consolidated Balance Sheet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              </w:t>
      </w:r>
    </w:p>
    <w:p>
      <w:pPr>
        <w:pStyle w:val="TextBody"/>
        <w:bidi w:val="0"/>
        <w:spacing w:before="0" w:after="283"/>
        <w:jc w:val="left"/>
        <w:rPr/>
      </w:pPr>
      <w:r>
        <w:rPr/>
        <w:t> </w:t>
      </w:r>
    </w:p>
    <w:tbl>
      <w:tblPr>
        <w:tblW w:w="5320" w:type="dxa"/>
        <w:jc w:val="left"/>
        <w:tblInd w:w="0" w:type="dxa"/>
        <w:tblLayout w:type="fixed"/>
        <w:tblCellMar>
          <w:top w:w="0" w:type="dxa"/>
          <w:left w:w="0" w:type="dxa"/>
          <w:bottom w:w="28" w:type="dxa"/>
          <w:right w:w="0" w:type="dxa"/>
        </w:tblCellMar>
      </w:tblPr>
      <w:tblGrid>
        <w:gridCol w:w="2840"/>
        <w:gridCol w:w="60"/>
        <w:gridCol w:w="60"/>
        <w:gridCol w:w="695"/>
        <w:gridCol w:w="60"/>
        <w:gridCol w:w="60"/>
        <w:gridCol w:w="60"/>
        <w:gridCol w:w="695"/>
        <w:gridCol w:w="60"/>
        <w:gridCol w:w="60"/>
        <w:gridCol w:w="69"/>
        <w:gridCol w:w="506"/>
        <w:gridCol w:w="95"/>
      </w:tblGrid>
      <w:tr>
        <w:trPr/>
        <w:tc>
          <w:tcPr>
            <w:tcW w:w="28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Inc.</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107,980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45,281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 Available for sale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189,672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145,506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802,582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795,877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4835"/>
        <w:gridCol w:w="60"/>
        <w:gridCol w:w="60"/>
        <w:gridCol w:w="695"/>
        <w:gridCol w:w="60"/>
        <w:gridCol w:w="60"/>
        <w:gridCol w:w="60"/>
        <w:gridCol w:w="695"/>
        <w:gridCol w:w="60"/>
        <w:gridCol w:w="60"/>
        <w:gridCol w:w="69"/>
        <w:gridCol w:w="506"/>
        <w:gridCol w:w="95"/>
      </w:tblGrid>
      <w:tr>
        <w:trPr/>
        <w:tc>
          <w:tcPr>
            <w:tcW w:w="4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&amp; STOCKHOLDERS’ EQUITY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Inc.</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loans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maturities of long-term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maturities of long-term leases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207,367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172,362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liabilities available for sale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Long-term debt </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leases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Laboral obligations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466,525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300,935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STOCKHOLERS’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802,582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795,877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538" w:type="dxa"/>
        <w:jc w:val="left"/>
        <w:tblInd w:w="0" w:type="dxa"/>
        <w:tblLayout w:type="fixed"/>
        <w:tblCellMar>
          <w:top w:w="0" w:type="dxa"/>
          <w:left w:w="0" w:type="dxa"/>
          <w:bottom w:w="0" w:type="dxa"/>
          <w:right w:w="0" w:type="dxa"/>
        </w:tblCellMar>
      </w:tblPr>
      <w:tblGrid>
        <w:gridCol w:w="1865"/>
        <w:gridCol w:w="60"/>
        <w:gridCol w:w="102"/>
        <w:gridCol w:w="832"/>
        <w:gridCol w:w="215"/>
        <w:gridCol w:w="60"/>
        <w:gridCol w:w="158"/>
        <w:gridCol w:w="1016"/>
        <w:gridCol w:w="23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MIX </w:t>
            </w:r>
            <w:r>
              <w:rPr>
                <w:rFonts w:ascii="Times New Roman;Times;Serif" w:hAnsi="Times New Roman;Times;Serif"/>
                <w:b/>
                <w:i w:val="false"/>
                <w:caps w:val="false"/>
                <w:smallCaps w:val="false"/>
                <w:position w:val="7"/>
                <w:sz w:val="16"/>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Total</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Rate</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Denominated in:</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Mexican pesos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U.S. Dollars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Euros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Swiss Francs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Colombian pesos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Argentine pesos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Brazilian reais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Chilean pesos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Fixed rate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Variable rate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829" w:type="dxa"/>
        <w:jc w:val="left"/>
        <w:tblInd w:w="0" w:type="dxa"/>
        <w:tblLayout w:type="fixed"/>
        <w:tblCellMar>
          <w:top w:w="0" w:type="dxa"/>
          <w:left w:w="0" w:type="dxa"/>
          <w:bottom w:w="28" w:type="dxa"/>
          <w:right w:w="0" w:type="dxa"/>
        </w:tblCellMar>
      </w:tblPr>
      <w:tblGrid>
        <w:gridCol w:w="2600"/>
        <w:gridCol w:w="60"/>
        <w:gridCol w:w="78"/>
        <w:gridCol w:w="362"/>
        <w:gridCol w:w="185"/>
        <w:gridCol w:w="60"/>
        <w:gridCol w:w="78"/>
        <w:gridCol w:w="362"/>
        <w:gridCol w:w="185"/>
        <w:gridCol w:w="60"/>
        <w:gridCol w:w="60"/>
        <w:gridCol w:w="380"/>
        <w:gridCol w:w="185"/>
        <w:gridCol w:w="60"/>
        <w:gridCol w:w="78"/>
        <w:gridCol w:w="362"/>
        <w:gridCol w:w="185"/>
        <w:gridCol w:w="60"/>
        <w:gridCol w:w="60"/>
        <w:gridCol w:w="380"/>
        <w:gridCol w:w="185"/>
        <w:gridCol w:w="60"/>
        <w:gridCol w:w="74"/>
        <w:gridCol w:w="470"/>
        <w:gridCol w:w="200"/>
      </w:tblGrid>
      <w:tr>
        <w:trPr/>
        <w:tc>
          <w:tcPr>
            <w:tcW w:w="26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MATURITY PROFILE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2028</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2030</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w:t>
            </w:r>
          </w:p>
        </w:tc>
        <w:tc>
          <w:tcPr>
            <w:tcW w:w="2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Total Debt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Includes mainly the intangible assets generated by acquisitions.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Includes the effect of derivative financial instruments on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Debt &amp; Adjusted EBITDA ex-KOF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US Dollars (US.)</w:t>
      </w:r>
    </w:p>
    <w:p>
      <w:pPr>
        <w:pStyle w:val="TextBody"/>
        <w:bidi w:val="0"/>
        <w:spacing w:before="0" w:after="0"/>
        <w:ind w:left="0" w:right="0" w:hanging="0"/>
        <w:jc w:val="left"/>
        <w:rPr>
          <w:caps w:val="false"/>
          <w:smallCaps w:val="false"/>
        </w:rPr>
      </w:pPr>
      <w:r>
        <w:rPr>
          <w:caps w:val="false"/>
          <w:smallCaps w:val="false"/>
        </w:rPr>
        <w:t> </w:t>
      </w:r>
    </w:p>
    <w:tbl>
      <w:tblPr>
        <w:tblW w:w="7850" w:type="dxa"/>
        <w:jc w:val="left"/>
        <w:tblInd w:w="0" w:type="dxa"/>
        <w:tblLayout w:type="fixed"/>
        <w:tblCellMar>
          <w:top w:w="0" w:type="dxa"/>
          <w:left w:w="0" w:type="dxa"/>
          <w:bottom w:w="0" w:type="dxa"/>
          <w:right w:w="0" w:type="dxa"/>
        </w:tblCellMar>
      </w:tblPr>
      <w:tblGrid>
        <w:gridCol w:w="3065"/>
        <w:gridCol w:w="60"/>
        <w:gridCol w:w="60"/>
        <w:gridCol w:w="1190"/>
        <w:gridCol w:w="80"/>
        <w:gridCol w:w="60"/>
        <w:gridCol w:w="60"/>
        <w:gridCol w:w="1055"/>
        <w:gridCol w:w="80"/>
        <w:gridCol w:w="60"/>
        <w:gridCol w:w="60"/>
        <w:gridCol w:w="1925"/>
        <w:gridCol w:w="95"/>
      </w:tblGrid>
      <w:tr>
        <w:trPr/>
        <w:tc>
          <w:tcPr>
            <w:tcW w:w="30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Twelve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Adj.</w:t>
              <w:br/>
              <w:t>EBITDA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9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 EBITDA Ex-KOF</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sz w:val="20"/>
              </w:rPr>
            </w:pPr>
            <w:r>
              <w:rPr>
                <w:sz w:val="20"/>
              </w:rPr>
              <w:t>OXXO Mexico, Americas &amp; Mobility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3,219</w:t>
            </w:r>
          </w:p>
        </w:tc>
        <w:tc>
          <w:tcPr>
            <w:tcW w:w="9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sz w:val="20"/>
              </w:rPr>
            </w:pPr>
            <w:r>
              <w:rPr>
                <w:sz w:val="20"/>
              </w:rPr>
              <w:t>Europe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485</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sz w:val="20"/>
              </w:rPr>
            </w:pPr>
            <w:r>
              <w:rPr>
                <w:sz w:val="20"/>
              </w:rPr>
              <w:t>Health Division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513</w:t>
            </w:r>
          </w:p>
        </w:tc>
        <w:tc>
          <w:tcPr>
            <w:tcW w:w="9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sz w:val="20"/>
              </w:rPr>
            </w:pPr>
            <w:r>
              <w:rPr>
                <w:sz w:val="20"/>
              </w:rPr>
              <w:t>Envoy Solutions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Coca-Cola FEMSA</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(3,487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Other</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065" w:type="dxa"/>
            <w:tcBorders/>
            <w:shd w:fill="CCEEFF" w:val="clear"/>
            <w:vAlign w:val="center"/>
          </w:tcPr>
          <w:p>
            <w:pPr>
              <w:pStyle w:val="TableContents"/>
              <w:bidi w:val="0"/>
              <w:spacing w:before="0" w:after="283"/>
              <w:jc w:val="left"/>
              <w:rPr>
                <w:b/>
                <w:sz w:val="20"/>
              </w:rPr>
            </w:pPr>
            <w:r>
              <w:rPr>
                <w:b/>
                <w:sz w:val="20"/>
              </w:rPr>
              <w:t>FEMSA Consolidated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(3,487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4,069</w:t>
            </w:r>
          </w:p>
        </w:tc>
        <w:tc>
          <w:tcPr>
            <w:tcW w:w="9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Dividends Received</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407</w:t>
            </w:r>
          </w:p>
        </w:tc>
        <w:tc>
          <w:tcPr>
            <w:tcW w:w="9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b/>
                <w:sz w:val="20"/>
              </w:rPr>
            </w:pPr>
            <w:r>
              <w:rPr>
                <w:b/>
                <w:sz w:val="20"/>
              </w:rPr>
              <w:t>FEMSA Consolidated ex-KOF</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(3,081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4,475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Translated to USD for readers’ convenience using the exchange rate published by the Federal Reserve Bank of New York for June 30, 2026 which was 17.4490 MXN per USD.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Coca-Cola FEMSA adjustment represents 100% of its LTM EBITDA.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Includes FEMSA Other Businesses (including Bara and Spin), FEMSA corporate expenses, and the effects of consolidation adjustments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Reflects cash dividends received from Coca-Cola FEMSA for approximately US$407 mm during the last twelve months.</w:t>
      </w:r>
    </w:p>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3260"/>
        <w:gridCol w:w="60"/>
        <w:gridCol w:w="60"/>
        <w:gridCol w:w="845"/>
        <w:gridCol w:w="60"/>
        <w:gridCol w:w="60"/>
        <w:gridCol w:w="60"/>
        <w:gridCol w:w="1055"/>
        <w:gridCol w:w="80"/>
        <w:gridCol w:w="60"/>
        <w:gridCol w:w="60"/>
        <w:gridCol w:w="740"/>
        <w:gridCol w:w="75"/>
      </w:tblGrid>
      <w:tr>
        <w:trPr/>
        <w:tc>
          <w:tcPr>
            <w:tcW w:w="3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080" w:type="dxa"/>
            <w:gridSpan w:val="10"/>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As of June 30, 2026</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Reported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Ex-KOF</w:t>
            </w:r>
          </w:p>
        </w:tc>
        <w:tc>
          <w:tcPr>
            <w:tcW w:w="75" w:type="dxa"/>
            <w:tcBorders/>
            <w:vAlign w:val="center"/>
          </w:tcPr>
          <w:p>
            <w:pPr>
              <w:pStyle w:val="TableContents"/>
              <w:bidi w:val="0"/>
              <w:spacing w:before="0" w:after="283"/>
              <w:jc w:val="center"/>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Cash &amp;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4,213</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Coca-Cola FEMSA Cash &amp; Equivalents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(2,466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b/>
                <w:sz w:val="20"/>
              </w:rPr>
            </w:pPr>
            <w:r>
              <w:rPr>
                <w:b/>
                <w:sz w:val="20"/>
              </w:rPr>
              <w:t>Cash &amp;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(2,466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4,213</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Financial Debt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3,103</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Coca-Cola FEMSA Financial Debt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(4,907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6,269</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Coca-Cola FEMSA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b/>
                <w:sz w:val="20"/>
              </w:rPr>
            </w:pPr>
            <w:r>
              <w:rPr>
                <w:b/>
                <w:sz w:val="20"/>
              </w:rPr>
              <w:t>Debt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(5,127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9,372</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b/>
                <w:sz w:val="20"/>
              </w:rPr>
            </w:pPr>
            <w:r>
              <w:rPr>
                <w:b/>
                <w:sz w:val="20"/>
              </w:rPr>
              <w:t>FEMSA Net Debt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(2,661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5,159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EPS with Repurchased Shares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extBody"/>
        <w:bidi w:val="0"/>
        <w:spacing w:before="0" w:after="0"/>
        <w:ind w:left="0" w:right="0" w:hanging="0"/>
        <w:jc w:val="left"/>
        <w:rPr>
          <w:caps w:val="false"/>
          <w:smallCaps w:val="false"/>
        </w:rPr>
      </w:pPr>
      <w:r>
        <w:rPr>
          <w:caps w:val="false"/>
          <w:smallCaps w:val="false"/>
        </w:rPr>
        <w:t> </w:t>
      </w:r>
    </w:p>
    <w:tbl>
      <w:tblPr>
        <w:tblW w:w="4740" w:type="dxa"/>
        <w:jc w:val="left"/>
        <w:tblInd w:w="0" w:type="dxa"/>
        <w:tblLayout w:type="fixed"/>
        <w:tblCellMar>
          <w:top w:w="0" w:type="dxa"/>
          <w:left w:w="0" w:type="dxa"/>
          <w:bottom w:w="28" w:type="dxa"/>
          <w:right w:w="0" w:type="dxa"/>
        </w:tblCellMar>
      </w:tblPr>
      <w:tblGrid>
        <w:gridCol w:w="2570"/>
        <w:gridCol w:w="60"/>
        <w:gridCol w:w="60"/>
        <w:gridCol w:w="590"/>
        <w:gridCol w:w="60"/>
        <w:gridCol w:w="60"/>
        <w:gridCol w:w="60"/>
        <w:gridCol w:w="1205"/>
        <w:gridCol w:w="75"/>
      </w:tblGrid>
      <w:tr>
        <w:trPr/>
        <w:tc>
          <w:tcPr>
            <w:tcW w:w="4740" w:type="dxa"/>
            <w:gridSpan w:val="9"/>
            <w:tcBorders>
              <w:bottom w:val="single" w:sz="8" w:space="0" w:color="000000"/>
            </w:tcBorders>
            <w:vAlign w:val="center"/>
          </w:tcPr>
          <w:p>
            <w:pPr>
              <w:pStyle w:val="TableContents"/>
              <w:bidi w:val="0"/>
              <w:spacing w:before="0" w:after="283"/>
              <w:jc w:val="center"/>
              <w:rPr>
                <w:b/>
                <w:sz w:val="20"/>
              </w:rPr>
            </w:pPr>
            <w:r>
              <w:rPr>
                <w:b/>
                <w:sz w:val="20"/>
              </w:rPr>
              <w:t xml:space="preserve">Total Shares Outstanding </w:t>
            </w:r>
            <w:r>
              <w:rPr>
                <w:b/>
                <w:position w:val="7"/>
                <w:sz w:val="16"/>
                <w:sz w:val="20"/>
              </w:rPr>
              <w:t>(1) (2)</w:t>
            </w:r>
          </w:p>
        </w:tc>
      </w:tr>
      <w:tr>
        <w:trPr/>
        <w:tc>
          <w:tcPr>
            <w:tcW w:w="257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FEMSA Units Outstanding</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sz w:val="20"/>
              </w:rPr>
            </w:pPr>
            <w:r>
              <w:rPr>
                <w:sz w:val="20"/>
              </w:rPr>
              <w:t>3,412,732,415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center"/>
              <w:rPr>
                <w:b/>
                <w:sz w:val="20"/>
              </w:rPr>
            </w:pPr>
            <w:r>
              <w:rPr>
                <w:b/>
                <w:sz w:val="20"/>
              </w:rPr>
              <w:t>YTD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205" w:type="dxa"/>
            <w:tcBorders>
              <w:bottom w:val="single" w:sz="8" w:space="0" w:color="000000"/>
            </w:tcBorders>
            <w:shd w:fill="FFFFFF" w:val="clear"/>
            <w:vAlign w:val="center"/>
          </w:tcPr>
          <w:p>
            <w:pPr>
              <w:pStyle w:val="TableContents"/>
              <w:bidi w:val="0"/>
              <w:spacing w:before="0" w:after="283"/>
              <w:jc w:val="center"/>
              <w:rPr>
                <w:b/>
                <w:sz w:val="20"/>
              </w:rPr>
            </w:pPr>
            <w:r>
              <w:rPr>
                <w:b/>
                <w:sz w:val="20"/>
              </w:rPr>
              <w:t>2Q26</w:t>
            </w:r>
          </w:p>
        </w:tc>
        <w:tc>
          <w:tcPr>
            <w:tcW w:w="7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570" w:type="dxa"/>
            <w:tcBorders/>
            <w:shd w:fill="CCEEFF" w:val="clear"/>
            <w:tcMar>
              <w:bottom w:w="0" w:type="dxa"/>
            </w:tcMar>
            <w:vAlign w:val="center"/>
          </w:tcPr>
          <w:p>
            <w:pPr>
              <w:pStyle w:val="TableContents"/>
              <w:bidi w:val="0"/>
              <w:spacing w:before="0" w:after="283"/>
              <w:jc w:val="left"/>
              <w:rPr>
                <w:sz w:val="20"/>
              </w:rPr>
            </w:pPr>
            <w:r>
              <w:rPr>
                <w:sz w:val="20"/>
              </w:rPr>
              <w:t>Net majority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sz w:val="20"/>
              </w:rPr>
            </w:pPr>
            <w:r>
              <w:rPr>
                <w:sz w:val="20"/>
              </w:rPr>
              <w:t>20,376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sz w:val="20"/>
              </w:rPr>
            </w:pPr>
            <w:r>
              <w:rPr>
                <w:sz w:val="20"/>
              </w:rPr>
              <w:t>5,536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CCEEFF" w:val="clear"/>
            <w:tcMar>
              <w:bottom w:w="0" w:type="dxa"/>
            </w:tcMar>
            <w:vAlign w:val="center"/>
          </w:tcPr>
          <w:p>
            <w:pPr>
              <w:pStyle w:val="TableContents"/>
              <w:bidi w:val="0"/>
              <w:spacing w:before="0" w:after="283"/>
              <w:jc w:val="left"/>
              <w:rPr>
                <w:sz w:val="20"/>
              </w:rPr>
            </w:pPr>
            <w:r>
              <w:rPr>
                <w:sz w:val="20"/>
              </w:rPr>
              <w:t># FEMSA Units Outstanding</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5" w:type="dxa"/>
            <w:gridSpan w:val="5"/>
            <w:tcBorders/>
            <w:shd w:fill="CCEEFF" w:val="clear"/>
            <w:tcMar>
              <w:bottom w:w="0" w:type="dxa"/>
            </w:tcMar>
            <w:vAlign w:val="center"/>
          </w:tcPr>
          <w:p>
            <w:pPr>
              <w:pStyle w:val="TableContents"/>
              <w:bidi w:val="0"/>
              <w:spacing w:before="0" w:after="283"/>
              <w:jc w:val="center"/>
              <w:rPr>
                <w:sz w:val="20"/>
              </w:rPr>
            </w:pPr>
            <w:r>
              <w:rPr>
                <w:sz w:val="20"/>
              </w:rPr>
              <w:t>3,412,732,415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205"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70" w:type="dxa"/>
            <w:tcBorders/>
            <w:shd w:fill="CCEEFF" w:val="clear"/>
            <w:tcMar>
              <w:bottom w:w="0" w:type="dxa"/>
            </w:tcMar>
            <w:vAlign w:val="center"/>
          </w:tcPr>
          <w:p>
            <w:pPr>
              <w:pStyle w:val="TableContents"/>
              <w:bidi w:val="0"/>
              <w:spacing w:before="0" w:after="283"/>
              <w:jc w:val="left"/>
              <w:rPr>
                <w:b/>
                <w:sz w:val="20"/>
              </w:rPr>
            </w:pPr>
            <w:r>
              <w:rPr>
                <w:b/>
                <w:sz w:val="20"/>
              </w:rPr>
              <w:t>EPS (Mxn Ps. / Unit)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5.97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05" w:type="dxa"/>
            <w:tcBorders>
              <w:bottom w:val="single" w:sz="8" w:space="0" w:color="000000"/>
            </w:tcBorders>
            <w:shd w:fill="CCEEFF" w:val="clear"/>
            <w:vAlign w:val="center"/>
          </w:tcPr>
          <w:p>
            <w:pPr>
              <w:pStyle w:val="TableContents"/>
              <w:bidi w:val="0"/>
              <w:spacing w:before="0" w:after="283"/>
              <w:jc w:val="right"/>
              <w:rPr>
                <w:b/>
                <w:sz w:val="20"/>
              </w:rPr>
            </w:pPr>
            <w:r>
              <w:rPr>
                <w:b/>
                <w:sz w:val="20"/>
              </w:rPr>
              <w:t>1.62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Proforma</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28" w:type="dxa"/>
          <w:right w:w="0" w:type="dxa"/>
        </w:tblCellMar>
      </w:tblPr>
      <w:tblGrid>
        <w:gridCol w:w="2420"/>
        <w:gridCol w:w="60"/>
        <w:gridCol w:w="60"/>
        <w:gridCol w:w="590"/>
        <w:gridCol w:w="60"/>
        <w:gridCol w:w="60"/>
        <w:gridCol w:w="60"/>
        <w:gridCol w:w="1205"/>
        <w:gridCol w:w="75"/>
      </w:tblGrid>
      <w:tr>
        <w:trPr/>
        <w:tc>
          <w:tcPr>
            <w:tcW w:w="4590" w:type="dxa"/>
            <w:gridSpan w:val="9"/>
            <w:tcBorders>
              <w:bottom w:val="single" w:sz="8" w:space="0" w:color="000000"/>
            </w:tcBorders>
            <w:vAlign w:val="center"/>
          </w:tcPr>
          <w:p>
            <w:pPr>
              <w:pStyle w:val="TableContents"/>
              <w:bidi w:val="0"/>
              <w:spacing w:before="0" w:after="283"/>
              <w:jc w:val="center"/>
              <w:rPr>
                <w:b/>
                <w:sz w:val="20"/>
              </w:rPr>
            </w:pPr>
            <w:r>
              <w:rPr>
                <w:b/>
                <w:sz w:val="20"/>
              </w:rPr>
              <w:t>Total Shares Excluding Shares in Treasury</w:t>
            </w:r>
          </w:p>
        </w:tc>
      </w:tr>
      <w:tr>
        <w:trPr/>
        <w:tc>
          <w:tcPr>
            <w:tcW w:w="242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FEMSA Units Outstanding</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sz w:val="20"/>
              </w:rPr>
            </w:pPr>
            <w:r>
              <w:rPr>
                <w:sz w:val="20"/>
              </w:rPr>
              <w:t>3,387,194,875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90" w:type="dxa"/>
            <w:gridSpan w:val="9"/>
            <w:tcBorders>
              <w:bottom w:val="single" w:sz="8" w:space="0" w:color="000000"/>
            </w:tcBorders>
            <w:shd w:fill="FFFFFF" w:val="clear"/>
            <w:vAlign w:val="center"/>
          </w:tcPr>
          <w:p>
            <w:pPr>
              <w:pStyle w:val="TableContents"/>
              <w:bidi w:val="0"/>
              <w:spacing w:before="0" w:after="283"/>
              <w:jc w:val="center"/>
              <w:rPr>
                <w:b/>
                <w:sz w:val="20"/>
              </w:rPr>
            </w:pPr>
            <w:r>
              <w:rPr>
                <w:b/>
                <w:sz w:val="20"/>
              </w:rPr>
              <w:t>Shares in Treasury</w:t>
            </w:r>
          </w:p>
        </w:tc>
      </w:tr>
      <w:tr>
        <w:trPr/>
        <w:tc>
          <w:tcPr>
            <w:tcW w:w="242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FEMSA Units Outstanding</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sz w:val="20"/>
              </w:rPr>
            </w:pPr>
            <w:r>
              <w:rPr>
                <w:sz w:val="20"/>
              </w:rPr>
              <w:t>25,537,540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center"/>
              <w:rPr>
                <w:b/>
                <w:sz w:val="20"/>
              </w:rPr>
            </w:pPr>
            <w:r>
              <w:rPr>
                <w:b/>
                <w:sz w:val="20"/>
              </w:rPr>
              <w:t>YTD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205" w:type="dxa"/>
            <w:tcBorders>
              <w:bottom w:val="single" w:sz="8" w:space="0" w:color="000000"/>
            </w:tcBorders>
            <w:shd w:fill="FFFFFF" w:val="clear"/>
            <w:vAlign w:val="center"/>
          </w:tcPr>
          <w:p>
            <w:pPr>
              <w:pStyle w:val="TableContents"/>
              <w:bidi w:val="0"/>
              <w:spacing w:before="0" w:after="283"/>
              <w:jc w:val="center"/>
              <w:rPr>
                <w:b/>
                <w:sz w:val="20"/>
              </w:rPr>
            </w:pPr>
            <w:r>
              <w:rPr>
                <w:b/>
                <w:sz w:val="20"/>
              </w:rPr>
              <w:t>2Q26</w:t>
            </w:r>
          </w:p>
        </w:tc>
        <w:tc>
          <w:tcPr>
            <w:tcW w:w="7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20" w:type="dxa"/>
            <w:tcBorders/>
            <w:shd w:fill="CCEEFF" w:val="clear"/>
            <w:tcMar>
              <w:bottom w:w="0" w:type="dxa"/>
            </w:tcMar>
            <w:vAlign w:val="center"/>
          </w:tcPr>
          <w:p>
            <w:pPr>
              <w:pStyle w:val="TableContents"/>
              <w:bidi w:val="0"/>
              <w:spacing w:before="0" w:after="283"/>
              <w:jc w:val="left"/>
              <w:rPr>
                <w:sz w:val="20"/>
              </w:rPr>
            </w:pPr>
            <w:r>
              <w:rPr>
                <w:sz w:val="20"/>
              </w:rPr>
              <w:t>Net majority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sz w:val="20"/>
              </w:rPr>
            </w:pPr>
            <w:r>
              <w:rPr>
                <w:sz w:val="20"/>
              </w:rPr>
              <w:t>20,376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sz w:val="20"/>
              </w:rPr>
            </w:pPr>
            <w:r>
              <w:rPr>
                <w:sz w:val="20"/>
              </w:rPr>
              <w:t>5,536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sz w:val="20"/>
              </w:rPr>
            </w:pPr>
            <w:r>
              <w:rPr>
                <w:sz w:val="20"/>
              </w:rPr>
              <w:t># FEMSA Units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5" w:type="dxa"/>
            <w:gridSpan w:val="5"/>
            <w:tcBorders/>
            <w:shd w:fill="CCEEFF" w:val="clear"/>
            <w:tcMar>
              <w:bottom w:w="0" w:type="dxa"/>
            </w:tcMar>
            <w:vAlign w:val="center"/>
          </w:tcPr>
          <w:p>
            <w:pPr>
              <w:pStyle w:val="TableContents"/>
              <w:bidi w:val="0"/>
              <w:spacing w:before="0" w:after="283"/>
              <w:jc w:val="center"/>
              <w:rPr>
                <w:sz w:val="20"/>
              </w:rPr>
            </w:pPr>
            <w:r>
              <w:rPr>
                <w:sz w:val="20"/>
              </w:rPr>
              <w:t>3,387,194,875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205"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b/>
                <w:sz w:val="20"/>
              </w:rPr>
            </w:pPr>
            <w:r>
              <w:rPr>
                <w:b/>
                <w:sz w:val="20"/>
              </w:rPr>
              <w:t>EPS (Mxn Ps. / Unit)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05" w:type="dxa"/>
            <w:tcBorders>
              <w:bottom w:val="single" w:sz="8" w:space="0" w:color="000000"/>
            </w:tcBorders>
            <w:shd w:fill="CCEEFF" w:val="clear"/>
            <w:vAlign w:val="center"/>
          </w:tcPr>
          <w:p>
            <w:pPr>
              <w:pStyle w:val="TableContents"/>
              <w:bidi w:val="0"/>
              <w:spacing w:before="0" w:after="283"/>
              <w:jc w:val="right"/>
              <w:rPr>
                <w:b/>
                <w:sz w:val="20"/>
              </w:rPr>
            </w:pPr>
            <w:r>
              <w:rPr>
                <w:b/>
                <w:sz w:val="20"/>
              </w:rPr>
              <w:t>1.63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FEMSA Units Outstanding consist of FEMSA BD Units and FEMSA B Units. The number of FEMSA Units outstanding is equivalent to the total number of FEMSA Shares outstanding as of the same date, divided by 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At our Shareholders meeting held on March 27 of 2026, the cancellation of the shares acquired from the stock repurchase program during the period from April 2025 to March 2026 was approved. The total FEMSA Units Cancelled are for the amount of 56,737,112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OXXO Mexico – Results of Operations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left"/>
        <w:rPr>
          <w:caps w:val="false"/>
          <w:smallCaps w:val="false"/>
        </w:rPr>
      </w:pPr>
      <w:r>
        <w:rPr>
          <w:caps w:val="false"/>
          <w:smallCaps w:val="false"/>
        </w:rPr>
        <w:t> </w:t>
      </w:r>
    </w:p>
    <w:tbl>
      <w:tblPr>
        <w:tblW w:w="9560" w:type="dxa"/>
        <w:jc w:val="left"/>
        <w:tblInd w:w="0" w:type="dxa"/>
        <w:tblLayout w:type="fixed"/>
        <w:tblCellMar>
          <w:top w:w="0" w:type="dxa"/>
          <w:left w:w="0" w:type="dxa"/>
          <w:bottom w:w="0" w:type="dxa"/>
          <w:right w:w="0" w:type="dxa"/>
        </w:tblCellMar>
      </w:tblPr>
      <w:tblGrid>
        <w:gridCol w:w="2900"/>
        <w:gridCol w:w="60"/>
        <w:gridCol w:w="60"/>
        <w:gridCol w:w="560"/>
        <w:gridCol w:w="60"/>
        <w:gridCol w:w="60"/>
        <w:gridCol w:w="500"/>
        <w:gridCol w:w="60"/>
        <w:gridCol w:w="60"/>
        <w:gridCol w:w="560"/>
        <w:gridCol w:w="60"/>
        <w:gridCol w:w="60"/>
        <w:gridCol w:w="500"/>
        <w:gridCol w:w="60"/>
        <w:gridCol w:w="60"/>
        <w:gridCol w:w="590"/>
        <w:gridCol w:w="80"/>
        <w:gridCol w:w="60"/>
        <w:gridCol w:w="605"/>
        <w:gridCol w:w="60"/>
        <w:gridCol w:w="60"/>
        <w:gridCol w:w="500"/>
        <w:gridCol w:w="60"/>
        <w:gridCol w:w="60"/>
        <w:gridCol w:w="605"/>
        <w:gridCol w:w="60"/>
        <w:gridCol w:w="60"/>
        <w:gridCol w:w="500"/>
        <w:gridCol w:w="60"/>
        <w:gridCol w:w="60"/>
        <w:gridCol w:w="425"/>
        <w:gridCol w:w="95"/>
      </w:tblGrid>
      <w:tr>
        <w:trPr/>
        <w:tc>
          <w:tcPr>
            <w:tcW w:w="2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5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second quarter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15"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sz w:val="18"/>
              </w:rPr>
            </w:pPr>
            <w:r>
              <w:rPr>
                <w:b/>
                <w:sz w:val="18"/>
              </w:rPr>
              <w:t xml:space="preserve">% </w:t>
              <w:br/>
              <w:t>of rev.</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sz w:val="18"/>
              </w:rPr>
            </w:pPr>
            <w:r>
              <w:rPr>
                <w:b/>
                <w:sz w:val="18"/>
              </w:rPr>
              <w:t>%</w:t>
              <w:br/>
              <w:t>of rev.</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Var.</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sz w:val="18"/>
              </w:rPr>
            </w:pPr>
            <w:r>
              <w:rPr>
                <w:b/>
                <w:sz w:val="18"/>
              </w:rPr>
              <w:t>%</w:t>
              <w:br/>
              <w:t>of rev.</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sz w:val="18"/>
              </w:rPr>
            </w:pPr>
            <w:r>
              <w:rPr>
                <w:b/>
                <w:sz w:val="18"/>
              </w:rPr>
              <w:t>%</w:t>
              <w:br/>
              <w:t>of rev.</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br/>
              <w:t>Var.</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86,708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161,115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146,304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47,843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42,267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87,892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80,192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38,865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35,272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Selling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28,110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25,408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54,468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49,505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operating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12,387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Amortization &amp; other non-cash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13,239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23,823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20,177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CAPEX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Information of OXXO Stores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stores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24,708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23,876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new convenience stores: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18"/>
              </w:rPr>
              <w:t>vs. Last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18"/>
              </w:rPr>
              <w:t>Year-to-date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18"/>
              </w:rPr>
              <w:t>Last-twelve-months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Same-store data: </w:t>
            </w:r>
            <w:r>
              <w:rPr>
                <w:rFonts w:ascii="Times New Roman;Times;Serif" w:hAnsi="Times New Roman;Times;Serif"/>
                <w:b w:val="false"/>
                <w:i w:val="false"/>
                <w:caps w:val="false"/>
                <w:smallCaps w:val="false"/>
                <w:position w:val="6"/>
                <w:sz w:val="14"/>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18"/>
              </w:rPr>
              <w:t>Sales (thousands of pesos)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w:t>
            </w:r>
          </w:p>
        </w:tc>
        <w:tc>
          <w:tcPr>
            <w:tcW w:w="95" w:type="dxa"/>
            <w:tcBorders/>
            <w:shd w:fill="FFFFFF" w:val="clear"/>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18"/>
              </w:rPr>
              <w:t>Traffic (thousands of transactions)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18"/>
              </w:rPr>
              <w:t>Ticket (pesos)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12 for our definition of “comparable” and a description of the factors affecting the comparability of our financial and operating performance.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Monthly average information per store, considering same stores with more than twelve months of operations, income from services are included.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Americas &amp; Mobility – Results of Operations</w:t>
        <w:br/>
      </w: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6"/>
        <w:gridCol w:w="60"/>
        <w:gridCol w:w="560"/>
        <w:gridCol w:w="60"/>
        <w:gridCol w:w="60"/>
        <w:gridCol w:w="471"/>
        <w:gridCol w:w="60"/>
        <w:gridCol w:w="60"/>
        <w:gridCol w:w="560"/>
        <w:gridCol w:w="60"/>
        <w:gridCol w:w="60"/>
        <w:gridCol w:w="471"/>
        <w:gridCol w:w="60"/>
        <w:gridCol w:w="60"/>
        <w:gridCol w:w="560"/>
        <w:gridCol w:w="80"/>
        <w:gridCol w:w="60"/>
        <w:gridCol w:w="639"/>
        <w:gridCol w:w="80"/>
        <w:gridCol w:w="60"/>
        <w:gridCol w:w="560"/>
        <w:gridCol w:w="60"/>
        <w:gridCol w:w="60"/>
        <w:gridCol w:w="471"/>
        <w:gridCol w:w="60"/>
        <w:gridCol w:w="60"/>
        <w:gridCol w:w="560"/>
        <w:gridCol w:w="60"/>
        <w:gridCol w:w="60"/>
        <w:gridCol w:w="471"/>
        <w:gridCol w:w="60"/>
        <w:gridCol w:w="60"/>
        <w:gridCol w:w="560"/>
        <w:gridCol w:w="80"/>
        <w:gridCol w:w="60"/>
        <w:gridCol w:w="639"/>
        <w:gridCol w:w="77"/>
      </w:tblGrid>
      <w:tr>
        <w:trPr/>
        <w:tc>
          <w:tcPr>
            <w:tcW w:w="21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1" w:type="dxa"/>
            <w:gridSpan w:val="16"/>
            <w:tcBorders>
              <w:bottom w:val="single" w:sz="8" w:space="0" w:color="000000"/>
            </w:tcBorders>
            <w:tcMar>
              <w:bottom w:w="28" w:type="dxa"/>
            </w:tcMar>
            <w:vAlign w:val="center"/>
          </w:tcPr>
          <w:p>
            <w:pPr>
              <w:pStyle w:val="TableContents"/>
              <w:bidi w:val="0"/>
              <w:spacing w:before="0" w:after="283"/>
              <w:jc w:val="center"/>
              <w:rPr>
                <w:b/>
                <w:sz w:val="16"/>
              </w:rPr>
            </w:pPr>
            <w:r>
              <w:rPr>
                <w:b/>
                <w:sz w:val="16"/>
              </w:rPr>
              <w:t>For the second quarter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1" w:type="dxa"/>
            <w:gridSpan w:val="16"/>
            <w:tcBorders>
              <w:bottom w:val="single" w:sz="8" w:space="0" w:color="000000"/>
            </w:tcBorders>
            <w:tcMar>
              <w:bottom w:w="28" w:type="dxa"/>
            </w:tcMar>
            <w:vAlign w:val="center"/>
          </w:tcPr>
          <w:p>
            <w:pPr>
              <w:pStyle w:val="TableContents"/>
              <w:bidi w:val="0"/>
              <w:spacing w:before="0" w:after="283"/>
              <w:jc w:val="center"/>
              <w:rPr>
                <w:b/>
                <w:sz w:val="16"/>
              </w:rPr>
            </w:pPr>
            <w:r>
              <w:rPr>
                <w:b/>
                <w:sz w:val="16"/>
              </w:rPr>
              <w:t>For the six months of:</w:t>
            </w:r>
          </w:p>
        </w:tc>
        <w:tc>
          <w:tcPr>
            <w:tcW w:w="77" w:type="dxa"/>
            <w:tcBorders/>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of rev.</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of rev.</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 Var.</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9"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 xml:space="preserve">Comp. </w:t>
            </w:r>
            <w:r>
              <w:rPr>
                <w:b/>
                <w:position w:val="5"/>
                <w:sz w:val="13"/>
                <w:sz w:val="16"/>
              </w:rPr>
              <w:t>(A)</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of rev.</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of rev.</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 Var.</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9"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br/>
              <w:t xml:space="preserve">Comp. </w:t>
            </w:r>
            <w:r>
              <w:rPr>
                <w:b/>
                <w:position w:val="5"/>
                <w:sz w:val="13"/>
                <w:sz w:val="16"/>
              </w:rPr>
              <w:t>(A)</w:t>
            </w:r>
          </w:p>
        </w:tc>
        <w:tc>
          <w:tcPr>
            <w:tcW w:w="77" w:type="dxa"/>
            <w:tcBorders/>
            <w:vAlign w:val="center"/>
          </w:tcPr>
          <w:p>
            <w:pPr>
              <w:pStyle w:val="TableContents"/>
              <w:bidi w:val="0"/>
              <w:spacing w:before="0" w:after="283"/>
              <w:jc w:val="center"/>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Total revenues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28,567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sz w:val="16"/>
              </w:rPr>
            </w:pPr>
            <w:r>
              <w:rPr>
                <w:sz w:val="16"/>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24,325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sz w:val="16"/>
              </w:rPr>
            </w:pPr>
            <w:r>
              <w:rPr>
                <w:sz w:val="16"/>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sz w:val="16"/>
              </w:rPr>
            </w:pPr>
            <w:r>
              <w:rPr>
                <w:sz w:val="16"/>
              </w:rPr>
              <w:t>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53,555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sz w:val="16"/>
              </w:rPr>
            </w:pPr>
            <w:r>
              <w:rPr>
                <w:sz w:val="16"/>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46,446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sz w:val="16"/>
              </w:rPr>
            </w:pPr>
            <w:r>
              <w:rPr>
                <w:sz w:val="16"/>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sz w:val="16"/>
              </w:rPr>
            </w:pPr>
            <w:r>
              <w:rPr>
                <w:sz w:val="16"/>
              </w:rPr>
              <w:t>11.1</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6"/>
              </w:rPr>
            </w:pPr>
            <w:r>
              <w:rPr>
                <w:sz w:val="16"/>
              </w:rPr>
              <w:t>Cost of sales</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23,970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20,393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44,661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39,108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Gross profit</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12.9</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6"/>
              </w:rPr>
            </w:pPr>
            <w:r>
              <w:rPr>
                <w:sz w:val="16"/>
              </w:rPr>
              <w:t>Administrative expenses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sz w:val="16"/>
              </w:rPr>
            </w:pPr>
            <w:r>
              <w:rPr>
                <w:sz w:val="16"/>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sz w:val="16"/>
              </w:rPr>
            </w:pPr>
            <w:r>
              <w:rPr>
                <w:sz w:val="16"/>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sz w:val="16"/>
              </w:rPr>
            </w:pPr>
            <w:r>
              <w:rPr>
                <w:sz w:val="16"/>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sz w:val="16"/>
              </w:rPr>
            </w:pPr>
            <w:r>
              <w:rPr>
                <w:sz w:val="16"/>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Selling expenses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3,807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sz w:val="16"/>
              </w:rPr>
            </w:pPr>
            <w:r>
              <w:rPr>
                <w:sz w:val="16"/>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2,737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sz w:val="16"/>
              </w:rPr>
            </w:pPr>
            <w:r>
              <w:rPr>
                <w:sz w:val="16"/>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7,075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sz w:val="16"/>
              </w:rPr>
            </w:pPr>
            <w:r>
              <w:rPr>
                <w:sz w:val="16"/>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5,414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sz w:val="16"/>
              </w:rPr>
            </w:pPr>
            <w:r>
              <w:rPr>
                <w:sz w:val="16"/>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6"/>
              </w:rPr>
            </w:pPr>
            <w:r>
              <w:rPr>
                <w:sz w:val="16"/>
              </w:rPr>
              <w:t>Other operating expenses (income), net</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Income from operations</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(88.0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(57.7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8.1</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6"/>
              </w:rPr>
            </w:pPr>
            <w:r>
              <w:rPr>
                <w:sz w:val="16"/>
              </w:rPr>
              <w:t>Depreciation</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sz w:val="16"/>
              </w:rPr>
            </w:pPr>
            <w:r>
              <w:rPr>
                <w:sz w:val="16"/>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sz w:val="16"/>
              </w:rPr>
            </w:pPr>
            <w:r>
              <w:rPr>
                <w:sz w:val="16"/>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sz w:val="16"/>
              </w:rPr>
            </w:pPr>
            <w:r>
              <w:rPr>
                <w:sz w:val="16"/>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sz w:val="16"/>
              </w:rPr>
            </w:pPr>
            <w:r>
              <w:rPr>
                <w:sz w:val="16"/>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Amortization &amp; other non-cash charges</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6"/>
              </w:rPr>
            </w:pPr>
            <w:r>
              <w:rPr>
                <w:sz w:val="16"/>
              </w:rPr>
              <w:t>Adjusted EBITDA</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16.8</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CAPEX</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b/>
                <w:sz w:val="16"/>
              </w:rPr>
            </w:pPr>
            <w:r>
              <w:rPr>
                <w:b/>
                <w:sz w:val="16"/>
              </w:rPr>
              <w:t>Information of Stores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b/>
                <w:sz w:val="16"/>
              </w:rPr>
            </w:pPr>
            <w:r>
              <w:rPr>
                <w:b/>
                <w:sz w:val="16"/>
              </w:rPr>
              <w:t>Total stores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Stores Brazil</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6"/>
              </w:rPr>
            </w:pPr>
            <w:r>
              <w:rPr>
                <w:sz w:val="16"/>
              </w:rPr>
              <w:t>Stores Colombia</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Stores Chile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6"/>
              </w:rPr>
            </w:pPr>
            <w:r>
              <w:rPr>
                <w:sz w:val="16"/>
              </w:rPr>
              <w:t>Stores Peru</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Stores USA</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6"/>
              </w:rPr>
            </w:pPr>
            <w:r>
              <w:rPr>
                <w:sz w:val="16"/>
              </w:rPr>
              <w:t>Net new stores: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4"/>
              </w:rPr>
            </w:pPr>
            <w:r>
              <w:rPr>
                <w:sz w:val="14"/>
              </w:rPr>
              <w:t>vs. Last quarter</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16"/>
              </w:rPr>
            </w:pPr>
            <w:r>
              <w:rPr>
                <w:sz w:val="16"/>
              </w:rPr>
              <w:t>(15.4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sz w:val="14"/>
              </w:rPr>
            </w:pPr>
            <w:r>
              <w:rPr>
                <w:sz w:val="14"/>
              </w:rPr>
              <w:t>Year-to-date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sz w:val="14"/>
              </w:rPr>
            </w:pPr>
            <w:r>
              <w:rPr>
                <w:sz w:val="14"/>
              </w:rPr>
              <w:t>Last-twelve-months</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(87.2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b w:val="false"/>
                <w:i w:val="false"/>
                <w:caps w:val="false"/>
                <w:smallCaps w:val="false"/>
                <w:sz w:val="16"/>
              </w:rPr>
            </w:pPr>
            <w:r>
              <w:rPr>
                <w:b w:val="false"/>
                <w:i w:val="false"/>
                <w:caps w:val="false"/>
                <w:smallCaps w:val="false"/>
                <w:sz w:val="16"/>
              </w:rPr>
              <w:t xml:space="preserve">Same-store data: </w:t>
            </w:r>
            <w:r>
              <w:rPr>
                <w:rFonts w:ascii="Times New Roman;Times;Serif" w:hAnsi="Times New Roman;Times;Serif"/>
                <w:b w:val="false"/>
                <w:i w:val="false"/>
                <w:caps w:val="false"/>
                <w:smallCaps w:val="false"/>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360"/>
              <w:jc w:val="left"/>
              <w:rPr/>
            </w:pPr>
            <w:r>
              <w:rPr/>
              <w:t> </w:t>
            </w:r>
          </w:p>
        </w:tc>
      </w:tr>
      <w:tr>
        <w:trPr/>
        <w:tc>
          <w:tcPr>
            <w:tcW w:w="2166" w:type="dxa"/>
            <w:tcBorders/>
            <w:shd w:fill="CCEEFF" w:val="clear"/>
            <w:vAlign w:val="center"/>
          </w:tcPr>
          <w:p>
            <w:pPr>
              <w:pStyle w:val="TableContents"/>
              <w:bidi w:val="0"/>
              <w:spacing w:before="0" w:after="283"/>
              <w:jc w:val="left"/>
              <w:rPr>
                <w:sz w:val="14"/>
              </w:rPr>
            </w:pPr>
            <w:r>
              <w:rPr>
                <w:sz w:val="14"/>
              </w:rPr>
              <w:t>Sales (thousands of pesos)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1,141.2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1,024.8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sz w:val="16"/>
              </w:rPr>
            </w:pPr>
            <w:r>
              <w:rPr>
                <w:sz w:val="16"/>
              </w:rPr>
              <w:t>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1,094.6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1,011.7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sz w:val="16"/>
              </w:rPr>
            </w:pPr>
            <w:r>
              <w:rPr>
                <w:sz w:val="16"/>
              </w:rPr>
              <w:t>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sz w:val="16"/>
              </w:rPr>
            </w:pPr>
            <w:r>
              <w:rPr>
                <w:sz w:val="16"/>
              </w:rPr>
              <w:t>16.6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Neutral</w:t>
      </w:r>
    </w:p>
    <w:p>
      <w:pPr>
        <w:pStyle w:val="TextBody"/>
        <w:bidi w:val="0"/>
        <w:spacing w:before="0" w:after="0"/>
        <w:ind w:left="0" w:right="0" w:hanging="0"/>
        <w:jc w:val="both"/>
        <w:rPr>
          <w:caps w:val="false"/>
          <w:smallCaps w:val="false"/>
        </w:rPr>
      </w:pPr>
      <w:r>
        <w:rPr>
          <w:caps w:val="false"/>
          <w:smallCaps w:val="false"/>
        </w:rPr>
        <w:t>  </w:t>
      </w:r>
    </w:p>
    <w:tbl>
      <w:tblPr>
        <w:tblW w:w="5512" w:type="dxa"/>
        <w:jc w:val="left"/>
        <w:tblInd w:w="0" w:type="dxa"/>
        <w:tblLayout w:type="fixed"/>
        <w:tblCellMar>
          <w:top w:w="0" w:type="dxa"/>
          <w:left w:w="0" w:type="dxa"/>
          <w:bottom w:w="0" w:type="dxa"/>
          <w:right w:w="0" w:type="dxa"/>
        </w:tblCellMar>
      </w:tblPr>
      <w:tblGrid>
        <w:gridCol w:w="1460"/>
        <w:gridCol w:w="60"/>
        <w:gridCol w:w="168"/>
        <w:gridCol w:w="1081"/>
        <w:gridCol w:w="60"/>
        <w:gridCol w:w="60"/>
        <w:gridCol w:w="135"/>
        <w:gridCol w:w="754"/>
        <w:gridCol w:w="245"/>
        <w:gridCol w:w="60"/>
        <w:gridCol w:w="183"/>
        <w:gridCol w:w="1171"/>
        <w:gridCol w:w="75"/>
      </w:tblGrid>
      <w:tr>
        <w:trPr/>
        <w:tc>
          <w:tcPr>
            <w:tcW w:w="1460" w:type="dxa"/>
            <w:tcBorders/>
            <w:shd w:fill="FFFFFF" w:val="clear"/>
            <w:vAlign w:val="center"/>
          </w:tcPr>
          <w:p>
            <w:pPr>
              <w:pStyle w:val="TableContents"/>
              <w:bidi w:val="0"/>
              <w:spacing w:before="0" w:after="283"/>
              <w:jc w:val="left"/>
              <w:rPr>
                <w:color w:val="FFFFFF"/>
              </w:rPr>
            </w:pPr>
            <w:r>
              <w:rPr>
                <w:color w:val="FFFFFF"/>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i w:val="false"/>
                <w:caps w:val="false"/>
                <w:smallCaps w:val="false"/>
                <w:sz w:val="20"/>
              </w:rPr>
            </w:pPr>
            <w:r>
              <w:rPr>
                <w:b/>
                <w:i w:val="false"/>
                <w:caps w:val="false"/>
                <w:smallCaps w:val="false"/>
                <w:sz w:val="20"/>
              </w:rPr>
              <w:t>Total Revenue</w:t>
              <w:br/>
              <w:t>Growth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8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Total Unit</w:t>
              <w:br/>
              <w:t>Growth</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i w:val="false"/>
                <w:caps w:val="false"/>
                <w:smallCaps w:val="false"/>
                <w:sz w:val="20"/>
              </w:rPr>
            </w:pPr>
            <w:r>
              <w:rPr>
                <w:b/>
                <w:i w:val="false"/>
                <w:caps w:val="false"/>
                <w:smallCaps w:val="false"/>
                <w:sz w:val="20"/>
              </w:rPr>
              <w:t>Same-Store</w:t>
              <w:br/>
              <w:t>Sales Growth</w:t>
            </w:r>
            <w:r>
              <w:rPr>
                <w:rFonts w:ascii="Times New Roman;Times;Serif" w:hAnsi="Times New Roman;Times;Serif"/>
                <w:b/>
                <w:i w:val="false"/>
                <w:caps w:val="false"/>
                <w:smallCaps w:val="false"/>
                <w:position w:val="7"/>
                <w:sz w:val="16"/>
                <w:sz w:val="20"/>
              </w:rPr>
              <w:t>(2)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shd w:fill="CCEEFF" w:val="clear"/>
            <w:vAlign w:val="center"/>
          </w:tcPr>
          <w:p>
            <w:pPr>
              <w:pStyle w:val="TableContents"/>
              <w:bidi w:val="0"/>
              <w:spacing w:before="0" w:after="283"/>
              <w:jc w:val="left"/>
              <w:rPr>
                <w:b/>
                <w:sz w:val="20"/>
              </w:rPr>
            </w:pPr>
            <w:r>
              <w:rPr>
                <w:b/>
                <w:sz w:val="20"/>
              </w:rPr>
              <w:t>OXXO Americas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b/>
                <w:sz w:val="20"/>
              </w:rPr>
            </w:pPr>
            <w:r>
              <w:rPr>
                <w:b/>
                <w:sz w:val="20"/>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b/>
                <w:sz w:val="20"/>
              </w:rPr>
            </w:pPr>
            <w:r>
              <w:rPr>
                <w:b/>
                <w:sz w:val="20"/>
              </w:rPr>
              <w:t>2.4</w:t>
            </w:r>
          </w:p>
        </w:tc>
        <w:tc>
          <w:tcPr>
            <w:tcW w:w="24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b/>
                <w:sz w:val="20"/>
              </w:rPr>
            </w:pPr>
            <w:r>
              <w:rPr>
                <w:b/>
                <w:sz w:val="20"/>
              </w:rPr>
              <w:t>17.6</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Brazil</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sz w:val="20"/>
              </w:rPr>
            </w:pPr>
            <w:r>
              <w:rPr>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20"/>
              </w:rPr>
            </w:pPr>
            <w:r>
              <w:rPr>
                <w:sz w:val="20"/>
              </w:rPr>
              <w:t>5.1</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sz w:val="20"/>
              </w:rPr>
            </w:pPr>
            <w:r>
              <w:rPr>
                <w:sz w:val="20"/>
              </w:rPr>
              <w:t>11.6</w:t>
            </w:r>
          </w:p>
        </w:tc>
        <w:tc>
          <w:tcPr>
            <w:tcW w:w="75"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Latam</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sz w:val="20"/>
              </w:rPr>
            </w:pPr>
            <w:r>
              <w:rPr>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sz w:val="20"/>
              </w:rPr>
            </w:pPr>
            <w:r>
              <w:rPr>
                <w:sz w:val="20"/>
              </w:rPr>
              <w:t>2.3</w:t>
            </w:r>
          </w:p>
        </w:tc>
        <w:tc>
          <w:tcPr>
            <w:tcW w:w="24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sz w:val="20"/>
              </w:rPr>
            </w:pPr>
            <w:r>
              <w:rPr>
                <w:sz w:val="20"/>
              </w:rPr>
              <w:t>24.9</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USA</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45" w:type="dxa"/>
        <w:jc w:val="left"/>
        <w:tblInd w:w="0" w:type="dxa"/>
        <w:tblLayout w:type="fixed"/>
        <w:tblCellMar>
          <w:top w:w="0" w:type="dxa"/>
          <w:left w:w="0" w:type="dxa"/>
          <w:bottom w:w="28" w:type="dxa"/>
          <w:right w:w="0" w:type="dxa"/>
        </w:tblCellMar>
      </w:tblPr>
      <w:tblGrid>
        <w:gridCol w:w="3485"/>
        <w:gridCol w:w="60"/>
        <w:gridCol w:w="60"/>
        <w:gridCol w:w="485"/>
        <w:gridCol w:w="80"/>
        <w:gridCol w:w="60"/>
        <w:gridCol w:w="60"/>
        <w:gridCol w:w="485"/>
        <w:gridCol w:w="80"/>
        <w:gridCol w:w="60"/>
        <w:gridCol w:w="62"/>
        <w:gridCol w:w="573"/>
        <w:gridCol w:w="95"/>
      </w:tblGrid>
      <w:tr>
        <w:trPr/>
        <w:tc>
          <w:tcPr>
            <w:tcW w:w="3485" w:type="dxa"/>
            <w:tcBorders>
              <w:bottom w:val="single" w:sz="8" w:space="0" w:color="000000"/>
            </w:tcBorders>
            <w:shd w:fill="FFFFFF" w:val="clear"/>
            <w:vAlign w:val="center"/>
          </w:tcPr>
          <w:p>
            <w:pPr>
              <w:pStyle w:val="TableContents"/>
              <w:bidi w:val="0"/>
              <w:spacing w:before="0" w:after="283"/>
              <w:jc w:val="left"/>
              <w:rPr>
                <w:b/>
                <w:sz w:val="20"/>
              </w:rPr>
            </w:pPr>
            <w:r>
              <w:rPr>
                <w:b/>
                <w:sz w:val="20"/>
              </w:rPr>
              <w:t>Information of Gas Stations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 w:type="dxa"/>
            <w:gridSpan w:val="2"/>
            <w:tcBorders>
              <w:bottom w:val="single" w:sz="8" w:space="0" w:color="000000"/>
            </w:tcBorders>
            <w:shd w:fill="FFFFFF" w:val="clear"/>
            <w:vAlign w:val="center"/>
          </w:tcPr>
          <w:p>
            <w:pPr>
              <w:pStyle w:val="TableContents"/>
              <w:bidi w:val="0"/>
              <w:spacing w:before="0" w:after="283"/>
              <w:jc w:val="center"/>
              <w:rPr>
                <w:b/>
                <w:sz w:val="20"/>
              </w:rPr>
            </w:pPr>
            <w:r>
              <w:rPr>
                <w:b/>
                <w:sz w:val="20"/>
              </w:rPr>
              <w:t>2026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 w:type="dxa"/>
            <w:gridSpan w:val="2"/>
            <w:tcBorders>
              <w:bottom w:val="single" w:sz="8" w:space="0" w:color="000000"/>
            </w:tcBorders>
            <w:shd w:fill="FFFFFF" w:val="clear"/>
            <w:vAlign w:val="center"/>
          </w:tcPr>
          <w:p>
            <w:pPr>
              <w:pStyle w:val="TableContents"/>
              <w:bidi w:val="0"/>
              <w:spacing w:before="0" w:after="283"/>
              <w:jc w:val="center"/>
              <w:rPr>
                <w:b/>
                <w:sz w:val="20"/>
              </w:rPr>
            </w:pPr>
            <w:r>
              <w:rPr>
                <w:b/>
                <w:sz w:val="20"/>
              </w:rPr>
              <w:t>2025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shd w:fill="FFFFFF" w:val="clear"/>
            <w:vAlign w:val="center"/>
          </w:tcPr>
          <w:p>
            <w:pPr>
              <w:pStyle w:val="TableContents"/>
              <w:bidi w:val="0"/>
              <w:spacing w:before="0" w:after="283"/>
              <w:jc w:val="center"/>
              <w:rPr>
                <w:b/>
                <w:sz w:val="20"/>
              </w:rPr>
            </w:pPr>
            <w:r>
              <w:rPr>
                <w:b/>
                <w:sz w:val="20"/>
              </w:rPr>
              <w:t>% Var.</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b/>
                <w:sz w:val="20"/>
              </w:rPr>
            </w:pPr>
            <w:r>
              <w:rPr>
                <w:b/>
                <w:sz w:val="20"/>
              </w:rPr>
              <w:t>Total stations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b/>
                <w:sz w:val="20"/>
              </w:rPr>
            </w:pPr>
            <w:r>
              <w:rPr>
                <w:b/>
                <w:sz w:val="20"/>
              </w:rPr>
              <w:t>781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b/>
                <w:sz w:val="20"/>
              </w:rPr>
            </w:pPr>
            <w:r>
              <w:rPr>
                <w:b/>
                <w:sz w:val="20"/>
              </w:rPr>
              <w:t>804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b/>
                <w:sz w:val="20"/>
              </w:rPr>
            </w:pPr>
            <w:r>
              <w:rPr>
                <w:b/>
                <w:sz w:val="20"/>
              </w:rPr>
              <w:t>(2.9</w:t>
            </w:r>
          </w:p>
        </w:tc>
        <w:tc>
          <w:tcPr>
            <w:tcW w:w="95" w:type="dxa"/>
            <w:tcBorders/>
            <w:shd w:fill="CCEEFF" w:val="clear"/>
            <w:tcMar>
              <w:bottom w:w="0" w:type="dxa"/>
            </w:tcMar>
            <w:vAlign w:val="center"/>
          </w:tcPr>
          <w:p>
            <w:pPr>
              <w:pStyle w:val="TableContents"/>
              <w:bidi w:val="0"/>
              <w:spacing w:before="0" w:after="283"/>
              <w:jc w:val="left"/>
              <w:rPr>
                <w:b/>
                <w:sz w:val="20"/>
              </w:rPr>
            </w:pPr>
            <w:r>
              <w:rPr>
                <w:b/>
                <w:sz w:val="20"/>
              </w:rPr>
              <w:t>)</w:t>
            </w:r>
          </w:p>
        </w:tc>
      </w:tr>
      <w:tr>
        <w:trPr/>
        <w:tc>
          <w:tcPr>
            <w:tcW w:w="3485" w:type="dxa"/>
            <w:tcBorders/>
            <w:shd w:fill="FFFFFF" w:val="clear"/>
            <w:tcMar>
              <w:bottom w:w="0" w:type="dxa"/>
            </w:tcMar>
            <w:vAlign w:val="center"/>
          </w:tcPr>
          <w:p>
            <w:pPr>
              <w:pStyle w:val="TableContents"/>
              <w:bidi w:val="0"/>
              <w:spacing w:before="0" w:after="283"/>
              <w:jc w:val="left"/>
              <w:rPr>
                <w:sz w:val="20"/>
              </w:rPr>
            </w:pPr>
            <w:r>
              <w:rPr>
                <w:sz w:val="20"/>
              </w:rPr>
              <w:t>Mexico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sz w:val="20"/>
              </w:rPr>
            </w:pPr>
            <w:r>
              <w:rPr>
                <w:sz w:val="20"/>
              </w:rPr>
              <w:t>544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sz w:val="20"/>
              </w:rPr>
            </w:pPr>
            <w:r>
              <w:rPr>
                <w:sz w:val="20"/>
              </w:rPr>
              <w:t>559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right"/>
              <w:rPr>
                <w:sz w:val="20"/>
              </w:rPr>
            </w:pPr>
            <w:r>
              <w:rPr>
                <w:sz w:val="20"/>
              </w:rPr>
              <w:t>(2.7</w:t>
            </w:r>
          </w:p>
        </w:tc>
        <w:tc>
          <w:tcPr>
            <w:tcW w:w="9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485" w:type="dxa"/>
            <w:tcBorders/>
            <w:shd w:fill="CCEEFF" w:val="clear"/>
            <w:tcMar>
              <w:bottom w:w="0" w:type="dxa"/>
            </w:tcMar>
            <w:vAlign w:val="center"/>
          </w:tcPr>
          <w:p>
            <w:pPr>
              <w:pStyle w:val="TableContents"/>
              <w:bidi w:val="0"/>
              <w:spacing w:before="0" w:after="283"/>
              <w:jc w:val="left"/>
              <w:rPr>
                <w:sz w:val="20"/>
              </w:rPr>
            </w:pPr>
            <w:r>
              <w:rPr>
                <w:sz w:val="20"/>
              </w:rPr>
              <w:t>USA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85" w:type="dxa"/>
            <w:tcBorders>
              <w:bottom w:val="single" w:sz="8" w:space="0" w:color="000000"/>
            </w:tcBorders>
            <w:shd w:fill="CCEEFF" w:val="clear"/>
            <w:vAlign w:val="center"/>
          </w:tcPr>
          <w:p>
            <w:pPr>
              <w:pStyle w:val="TableContents"/>
              <w:bidi w:val="0"/>
              <w:spacing w:before="0" w:after="283"/>
              <w:jc w:val="right"/>
              <w:rPr>
                <w:sz w:val="20"/>
              </w:rPr>
            </w:pPr>
            <w:r>
              <w:rPr>
                <w:sz w:val="20"/>
              </w:rPr>
              <w:t>237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85" w:type="dxa"/>
            <w:tcBorders>
              <w:bottom w:val="single" w:sz="8" w:space="0" w:color="000000"/>
            </w:tcBorders>
            <w:shd w:fill="CCEEFF" w:val="clear"/>
            <w:vAlign w:val="center"/>
          </w:tcPr>
          <w:p>
            <w:pPr>
              <w:pStyle w:val="TableContents"/>
              <w:bidi w:val="0"/>
              <w:spacing w:before="0" w:after="283"/>
              <w:jc w:val="right"/>
              <w:rPr>
                <w:sz w:val="20"/>
              </w:rPr>
            </w:pPr>
            <w:r>
              <w:rPr>
                <w:sz w:val="20"/>
              </w:rPr>
              <w:t>245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573" w:type="dxa"/>
            <w:tcBorders>
              <w:bottom w:val="single" w:sz="8" w:space="0" w:color="000000"/>
            </w:tcBorders>
            <w:shd w:fill="CCEEFF" w:val="clear"/>
            <w:vAlign w:val="center"/>
          </w:tcPr>
          <w:p>
            <w:pPr>
              <w:pStyle w:val="TableContents"/>
              <w:bidi w:val="0"/>
              <w:spacing w:before="0" w:after="283"/>
              <w:jc w:val="right"/>
              <w:rPr>
                <w:sz w:val="20"/>
              </w:rPr>
            </w:pPr>
            <w:r>
              <w:rPr>
                <w:sz w:val="20"/>
              </w:rPr>
              <w:t>(3.3</w:t>
            </w:r>
          </w:p>
        </w:tc>
        <w:tc>
          <w:tcPr>
            <w:tcW w:w="9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4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sz w:val="20"/>
              </w:rPr>
            </w:pPr>
            <w:r>
              <w:rPr>
                <w:sz w:val="20"/>
              </w:rPr>
              <w:t>Net new service stores: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pPr>
            <w:r>
              <w:rPr/>
              <w:t>       </w:t>
            </w:r>
            <w:r>
              <w:rPr>
                <w:sz w:val="20"/>
              </w:rPr>
              <w:t>vs. Last quarter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sz w:val="20"/>
              </w:rPr>
            </w:pPr>
            <w:r>
              <w:rPr>
                <w:sz w:val="20"/>
              </w:rPr>
              <w:t>(1</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sz w:val="20"/>
              </w:rPr>
            </w:pPr>
            <w:r>
              <w:rPr>
                <w:sz w:val="20"/>
              </w:rPr>
              <w:t>(3</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right"/>
              <w:rPr>
                <w:sz w:val="20"/>
              </w:rPr>
            </w:pPr>
            <w:r>
              <w:rPr>
                <w:sz w:val="20"/>
              </w:rPr>
              <w:t>(66.7</w:t>
            </w:r>
          </w:p>
        </w:tc>
        <w:tc>
          <w:tcPr>
            <w:tcW w:w="9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485" w:type="dxa"/>
            <w:tcBorders/>
            <w:shd w:fill="CCEEFF" w:val="clear"/>
            <w:tcMar>
              <w:bottom w:w="0" w:type="dxa"/>
            </w:tcMar>
            <w:vAlign w:val="center"/>
          </w:tcPr>
          <w:p>
            <w:pPr>
              <w:pStyle w:val="TableContents"/>
              <w:bidi w:val="0"/>
              <w:spacing w:before="0" w:after="283"/>
              <w:jc w:val="left"/>
              <w:rPr/>
            </w:pPr>
            <w:r>
              <w:rPr/>
              <w:t>       </w:t>
            </w:r>
            <w:r>
              <w:rPr>
                <w:sz w:val="20"/>
              </w:rPr>
              <w:t>Year-to-date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sz w:val="20"/>
              </w:rPr>
            </w:pPr>
            <w:r>
              <w:rPr>
                <w:sz w:val="20"/>
              </w:rPr>
              <w:t>(9</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sz w:val="20"/>
              </w:rPr>
            </w:pPr>
            <w:r>
              <w:rPr>
                <w:sz w:val="20"/>
              </w:rPr>
              <w:t>(12</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sz w:val="20"/>
              </w:rPr>
            </w:pPr>
            <w:r>
              <w:rPr>
                <w:sz w:val="20"/>
              </w:rPr>
              <w:t>(25.0</w:t>
            </w:r>
          </w:p>
        </w:tc>
        <w:tc>
          <w:tcPr>
            <w:tcW w:w="9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485" w:type="dxa"/>
            <w:tcBorders/>
            <w:shd w:fill="FFFFFF" w:val="clear"/>
            <w:tcMar>
              <w:bottom w:w="0" w:type="dxa"/>
            </w:tcMar>
            <w:vAlign w:val="center"/>
          </w:tcPr>
          <w:p>
            <w:pPr>
              <w:pStyle w:val="TableContents"/>
              <w:bidi w:val="0"/>
              <w:spacing w:before="0" w:after="283"/>
              <w:jc w:val="left"/>
              <w:rPr/>
            </w:pPr>
            <w:r>
              <w:rPr/>
              <w:t>       </w:t>
            </w:r>
            <w:r>
              <w:rPr>
                <w:sz w:val="20"/>
              </w:rPr>
              <w:t>Last-twelve-months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85" w:type="dxa"/>
            <w:tcBorders>
              <w:bottom w:val="single" w:sz="8" w:space="0" w:color="000000"/>
            </w:tcBorders>
            <w:shd w:fill="FFFFFF" w:val="clear"/>
            <w:vAlign w:val="center"/>
          </w:tcPr>
          <w:p>
            <w:pPr>
              <w:pStyle w:val="TableContents"/>
              <w:bidi w:val="0"/>
              <w:spacing w:before="0" w:after="283"/>
              <w:jc w:val="right"/>
              <w:rPr>
                <w:sz w:val="20"/>
              </w:rPr>
            </w:pPr>
            <w:r>
              <w:rPr>
                <w:sz w:val="20"/>
              </w:rPr>
              <w:t>(23</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85" w:type="dxa"/>
            <w:tcBorders>
              <w:bottom w:val="single" w:sz="8" w:space="0" w:color="000000"/>
            </w:tcBorders>
            <w:shd w:fill="FFFFFF" w:val="clear"/>
            <w:vAlign w:val="center"/>
          </w:tcPr>
          <w:p>
            <w:pPr>
              <w:pStyle w:val="TableContents"/>
              <w:bidi w:val="0"/>
              <w:spacing w:before="0" w:after="283"/>
              <w:jc w:val="right"/>
              <w:rPr>
                <w:sz w:val="20"/>
              </w:rPr>
            </w:pPr>
            <w:r>
              <w:rPr>
                <w:sz w:val="20"/>
              </w:rPr>
              <w:t>234.0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73" w:type="dxa"/>
            <w:tcBorders>
              <w:bottom w:val="single" w:sz="8" w:space="0" w:color="000000"/>
            </w:tcBorders>
            <w:shd w:fill="FFFFFF" w:val="clear"/>
            <w:vAlign w:val="center"/>
          </w:tcPr>
          <w:p>
            <w:pPr>
              <w:pStyle w:val="TableContents"/>
              <w:bidi w:val="0"/>
              <w:spacing w:before="0" w:after="283"/>
              <w:jc w:val="right"/>
              <w:rPr>
                <w:sz w:val="20"/>
              </w:rPr>
            </w:pPr>
            <w:r>
              <w:rPr>
                <w:sz w:val="20"/>
              </w:rPr>
              <w:t>(109.8</w:t>
            </w:r>
          </w:p>
        </w:tc>
        <w:tc>
          <w:tcPr>
            <w:tcW w:w="9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Volume (millions of liters) total stations</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85" w:type="dxa"/>
            <w:tcBorders>
              <w:bottom w:val="single" w:sz="8" w:space="0" w:color="000000"/>
            </w:tcBorders>
            <w:shd w:fill="FFFFFF" w:val="clear"/>
            <w:vAlign w:val="center"/>
          </w:tcPr>
          <w:p>
            <w:pPr>
              <w:pStyle w:val="TableContents"/>
              <w:bidi w:val="0"/>
              <w:spacing w:before="0" w:after="283"/>
              <w:jc w:val="right"/>
              <w:rPr>
                <w:sz w:val="20"/>
              </w:rPr>
            </w:pPr>
            <w:r>
              <w:rPr>
                <w:sz w:val="20"/>
              </w:rPr>
              <w:t>956.6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85" w:type="dxa"/>
            <w:tcBorders>
              <w:bottom w:val="single" w:sz="8" w:space="0" w:color="000000"/>
            </w:tcBorders>
            <w:shd w:fill="FFFFFF" w:val="clear"/>
            <w:vAlign w:val="center"/>
          </w:tcPr>
          <w:p>
            <w:pPr>
              <w:pStyle w:val="TableContents"/>
              <w:bidi w:val="0"/>
              <w:spacing w:before="0" w:after="283"/>
              <w:jc w:val="right"/>
              <w:rPr>
                <w:sz w:val="20"/>
              </w:rPr>
            </w:pPr>
            <w:r>
              <w:rPr>
                <w:sz w:val="20"/>
              </w:rPr>
              <w:t>922.3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73" w:type="dxa"/>
            <w:tcBorders>
              <w:bottom w:val="single" w:sz="8" w:space="0" w:color="000000"/>
            </w:tcBorders>
            <w:shd w:fill="FFFFFF" w:val="clear"/>
            <w:vAlign w:val="center"/>
          </w:tcPr>
          <w:p>
            <w:pPr>
              <w:pStyle w:val="TableContents"/>
              <w:bidi w:val="0"/>
              <w:spacing w:before="0" w:after="283"/>
              <w:jc w:val="right"/>
              <w:rPr>
                <w:sz w:val="20"/>
              </w:rPr>
            </w:pPr>
            <w:r>
              <w:rPr>
                <w:sz w:val="20"/>
              </w:rPr>
              <w:t>3.7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Unit margin (pesos per liter)</w:t>
            </w:r>
            <w:r>
              <w:rPr>
                <w:rFonts w:ascii="Times New Roman;Times;Serif" w:hAnsi="Times New Roman;Times;Serif"/>
                <w:b w:val="false"/>
                <w:i w:val="false"/>
                <w:caps w:val="false"/>
                <w:smallCaps w:val="false"/>
                <w:position w:val="7"/>
                <w:sz w:val="16"/>
                <w:sz w:val="20"/>
              </w:rPr>
              <w:t>(6)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85" w:type="dxa"/>
            <w:tcBorders>
              <w:bottom w:val="single" w:sz="8" w:space="0" w:color="000000"/>
            </w:tcBorders>
            <w:shd w:fill="FFFFFF" w:val="clear"/>
            <w:vAlign w:val="center"/>
          </w:tcPr>
          <w:p>
            <w:pPr>
              <w:pStyle w:val="TableContents"/>
              <w:bidi w:val="0"/>
              <w:spacing w:before="0" w:after="283"/>
              <w:jc w:val="right"/>
              <w:rPr>
                <w:sz w:val="20"/>
              </w:rPr>
            </w:pPr>
            <w:r>
              <w:rPr>
                <w:sz w:val="20"/>
              </w:rPr>
              <w:t>2.27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85" w:type="dxa"/>
            <w:tcBorders>
              <w:bottom w:val="single" w:sz="8" w:space="0" w:color="000000"/>
            </w:tcBorders>
            <w:shd w:fill="FFFFFF" w:val="clear"/>
            <w:vAlign w:val="center"/>
          </w:tcPr>
          <w:p>
            <w:pPr>
              <w:pStyle w:val="TableContents"/>
              <w:bidi w:val="0"/>
              <w:spacing w:before="0" w:after="283"/>
              <w:jc w:val="right"/>
              <w:rPr>
                <w:sz w:val="20"/>
              </w:rPr>
            </w:pPr>
            <w:r>
              <w:rPr>
                <w:sz w:val="20"/>
              </w:rPr>
              <w:t>2.65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573" w:type="dxa"/>
            <w:tcBorders>
              <w:bottom w:val="single" w:sz="8" w:space="0" w:color="000000"/>
            </w:tcBorders>
            <w:shd w:fill="FFFFFF" w:val="clear"/>
            <w:vAlign w:val="center"/>
          </w:tcPr>
          <w:p>
            <w:pPr>
              <w:pStyle w:val="TableContents"/>
              <w:bidi w:val="0"/>
              <w:spacing w:before="0" w:after="283"/>
              <w:jc w:val="right"/>
              <w:rPr>
                <w:sz w:val="20"/>
              </w:rPr>
            </w:pPr>
            <w:r>
              <w:rPr>
                <w:sz w:val="20"/>
              </w:rPr>
              <w:t>(14.5</w:t>
            </w:r>
          </w:p>
        </w:tc>
        <w:tc>
          <w:tcPr>
            <w:tcW w:w="95" w:type="dxa"/>
            <w:tcBorders/>
            <w:shd w:fill="FFFF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both"/>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Please refer to page 12 for our definition of “comparable” and a description of the factors affecting the comparability of our financial and operating performance.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Monthly average information per store, considering same stores with more than twelve months of operations, income from services are included.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Same-store Sales OXXO Americas (Colombia, Chile, Peru and the U.S.A.).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Local currency (BRL).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Includes a weighted average of OXXO Colombia, Chile and Peru.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Local currency (USD).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Includes fuel operations in Mexico and in the US, with U.S. volumes converted to Liters.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For readers’ convenience in calculating the equivalent price in U.S. cents per gallon, please refer to the exchange rate of 17.4490 MXN per USD, as published by the Federal Reserve Bank of New York for June 30, 2026, and a conversion factor of 3.785 liters per US gallon.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Europe – Results of Operations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3"/>
        <w:gridCol w:w="60"/>
        <w:gridCol w:w="60"/>
        <w:gridCol w:w="515"/>
        <w:gridCol w:w="80"/>
        <w:gridCol w:w="60"/>
        <w:gridCol w:w="425"/>
        <w:gridCol w:w="80"/>
        <w:gridCol w:w="60"/>
        <w:gridCol w:w="515"/>
        <w:gridCol w:w="80"/>
        <w:gridCol w:w="60"/>
        <w:gridCol w:w="425"/>
        <w:gridCol w:w="80"/>
        <w:gridCol w:w="73"/>
        <w:gridCol w:w="487"/>
        <w:gridCol w:w="80"/>
        <w:gridCol w:w="107"/>
        <w:gridCol w:w="550"/>
        <w:gridCol w:w="80"/>
        <w:gridCol w:w="60"/>
        <w:gridCol w:w="515"/>
        <w:gridCol w:w="80"/>
        <w:gridCol w:w="60"/>
        <w:gridCol w:w="425"/>
        <w:gridCol w:w="80"/>
        <w:gridCol w:w="60"/>
        <w:gridCol w:w="515"/>
        <w:gridCol w:w="80"/>
        <w:gridCol w:w="60"/>
        <w:gridCol w:w="425"/>
        <w:gridCol w:w="80"/>
        <w:gridCol w:w="73"/>
        <w:gridCol w:w="487"/>
        <w:gridCol w:w="80"/>
        <w:gridCol w:w="128"/>
        <w:gridCol w:w="529"/>
        <w:gridCol w:w="78"/>
      </w:tblGrid>
      <w:tr>
        <w:trPr/>
        <w:tc>
          <w:tcPr>
            <w:tcW w:w="25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37"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second quarter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37"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of:</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of </w:t>
              <w:br/>
              <w:t>rev.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rev.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Var.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w:t>
              <w:br/>
              <w:t>Comp.</w:t>
            </w:r>
            <w:r>
              <w:rPr>
                <w:rFonts w:ascii="Times New Roman;Times;Serif" w:hAnsi="Times New Roman;Times;Serif"/>
                <w:b/>
                <w:i w:val="false"/>
                <w:caps w:val="false"/>
                <w:smallCaps w:val="false"/>
                <w:position w:val="5"/>
                <w:sz w:val="13"/>
                <w:sz w:val="16"/>
              </w:rPr>
              <w:t>(A)</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of </w:t>
              <w:br/>
              <w:t>rev.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rev.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Var.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br/>
              <w:t>Comp.</w:t>
            </w:r>
            <w:r>
              <w:rPr>
                <w:rFonts w:ascii="Times New Roman;Times;Serif" w:hAnsi="Times New Roman;Times;Serif"/>
                <w:b/>
                <w:i w:val="false"/>
                <w:caps w:val="false"/>
                <w:smallCaps w:val="false"/>
                <w:position w:val="5"/>
                <w:sz w:val="13"/>
                <w:sz w:val="16"/>
              </w:rPr>
              <w:t>(A)</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8"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8"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operating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8"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&amp; other non-cash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CAPEX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254" w:type="dxa"/>
        <w:jc w:val="left"/>
        <w:tblInd w:w="0" w:type="dxa"/>
        <w:tblLayout w:type="fixed"/>
        <w:tblCellMar>
          <w:top w:w="0" w:type="dxa"/>
          <w:left w:w="0" w:type="dxa"/>
          <w:bottom w:w="0" w:type="dxa"/>
          <w:right w:w="0" w:type="dxa"/>
        </w:tblCellMar>
      </w:tblPr>
      <w:tblGrid>
        <w:gridCol w:w="1850"/>
        <w:gridCol w:w="60"/>
        <w:gridCol w:w="60"/>
        <w:gridCol w:w="560"/>
        <w:gridCol w:w="60"/>
        <w:gridCol w:w="60"/>
        <w:gridCol w:w="60"/>
        <w:gridCol w:w="560"/>
        <w:gridCol w:w="60"/>
        <w:gridCol w:w="60"/>
        <w:gridCol w:w="60"/>
        <w:gridCol w:w="305"/>
        <w:gridCol w:w="80"/>
        <w:gridCol w:w="60"/>
        <w:gridCol w:w="60"/>
        <w:gridCol w:w="245"/>
        <w:gridCol w:w="60"/>
        <w:gridCol w:w="60"/>
        <w:gridCol w:w="60"/>
        <w:gridCol w:w="560"/>
        <w:gridCol w:w="60"/>
        <w:gridCol w:w="60"/>
        <w:gridCol w:w="60"/>
        <w:gridCol w:w="560"/>
        <w:gridCol w:w="60"/>
        <w:gridCol w:w="60"/>
        <w:gridCol w:w="92"/>
        <w:gridCol w:w="468"/>
        <w:gridCol w:w="80"/>
        <w:gridCol w:w="60"/>
        <w:gridCol w:w="133"/>
        <w:gridCol w:w="546"/>
        <w:gridCol w:w="75"/>
      </w:tblGrid>
      <w:tr>
        <w:trPr/>
        <w:tc>
          <w:tcPr>
            <w:tcW w:w="2590" w:type="dxa"/>
            <w:gridSpan w:val="5"/>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Information of Stores</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Var.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w:t>
              <w:br/>
              <w:t>Comp.</w:t>
            </w:r>
            <w:r>
              <w:rPr>
                <w:rFonts w:ascii="Times New Roman;Times;Serif" w:hAnsi="Times New Roman;Times;Serif"/>
                <w:b/>
                <w:i w:val="false"/>
                <w:caps w:val="false"/>
                <w:smallCaps w:val="false"/>
                <w:position w:val="5"/>
                <w:sz w:val="13"/>
                <w:sz w:val="16"/>
              </w:rPr>
              <w:t>(A)</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stores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Same-store data: </w:t>
            </w:r>
            <w:r>
              <w:rPr>
                <w:rFonts w:ascii="Times New Roman;Times;Serif" w:hAnsi="Times New Roman;Times;Serif"/>
                <w:b w:val="false"/>
                <w:i w:val="false"/>
                <w:caps w:val="false"/>
                <w:smallCaps w:val="false"/>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(thousands of pesos)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5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(A)</w:t>
      </w:r>
      <w:r>
        <w:rPr>
          <w:rFonts w:ascii="Times New Roman;Times;Serif" w:hAnsi="Times New Roman;Times;Serif"/>
          <w:b w:val="false"/>
          <w:i w:val="false"/>
          <w:caps w:val="false"/>
          <w:smallCaps w:val="false"/>
          <w:sz w:val="16"/>
        </w:rPr>
        <w:t xml:space="preserve"> Refer to page 12 for our definition of “comparable” and a description of the factors affecting the comparability of our financial and operating performance.</w:t>
      </w:r>
    </w:p>
    <w:p>
      <w:pPr>
        <w:pStyle w:val="TextBody"/>
        <w:bidi w:val="0"/>
        <w:spacing w:before="0" w:after="0"/>
        <w:ind w:left="45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(1)</w:t>
      </w:r>
      <w:r>
        <w:rPr>
          <w:rFonts w:ascii="Times New Roman;Times;Serif" w:hAnsi="Times New Roman;Times;Serif"/>
          <w:b w:val="false"/>
          <w:i w:val="false"/>
          <w:caps w:val="false"/>
          <w:smallCaps w:val="false"/>
          <w:sz w:val="16"/>
        </w:rPr>
        <w:t xml:space="preserve"> Monthly average information per store. Same-store Sales reflect a weighted average from our foodservice and retail operations.</w:t>
      </w:r>
    </w:p>
    <w:p>
      <w:pPr>
        <w:pStyle w:val="TextBody"/>
        <w:bidi w:val="0"/>
        <w:spacing w:before="0" w:after="0"/>
        <w:ind w:left="450" w:right="0" w:hanging="0"/>
        <w:jc w:val="left"/>
        <w:rPr>
          <w:caps w:val="false"/>
          <w:smallCaps w:val="false"/>
        </w:rPr>
      </w:pPr>
      <w:r>
        <w:rPr>
          <w:caps w:val="false"/>
          <w:smallCaps w:val="false"/>
        </w:rPr>
        <w:t> </w:t>
      </w:r>
    </w:p>
    <w:p>
      <w:pPr>
        <w:pStyle w:val="TextBody"/>
        <w:bidi w:val="0"/>
        <w:spacing w:before="0" w:after="0"/>
        <w:ind w:left="45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20</w:t>
      </w:r>
    </w:p>
    <w:p>
      <w:pPr>
        <w:pStyle w:val="TextBody"/>
        <w:bidi w:val="0"/>
        <w:spacing w:before="0" w:after="0"/>
        <w:ind w:left="0" w:right="0" w:hanging="0"/>
        <w:jc w:val="left"/>
        <w:rPr/>
      </w:pPr>
      <w:r>
        <w:rPr/>
        <w:t> </w:t>
      </w:r>
    </w:p>
    <w:p>
      <w:pPr>
        <w:pStyle w:val="TextBody"/>
        <w:bidi w:val="0"/>
        <w:spacing w:before="0" w:after="0"/>
        <w:ind w:left="45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Health – Results of Operations</w:t>
        <w:br/>
      </w: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5"/>
        <w:gridCol w:w="60"/>
        <w:gridCol w:w="60"/>
        <w:gridCol w:w="515"/>
        <w:gridCol w:w="60"/>
        <w:gridCol w:w="60"/>
        <w:gridCol w:w="425"/>
        <w:gridCol w:w="60"/>
        <w:gridCol w:w="60"/>
        <w:gridCol w:w="515"/>
        <w:gridCol w:w="80"/>
        <w:gridCol w:w="60"/>
        <w:gridCol w:w="425"/>
        <w:gridCol w:w="80"/>
        <w:gridCol w:w="61"/>
        <w:gridCol w:w="499"/>
        <w:gridCol w:w="80"/>
        <w:gridCol w:w="85"/>
        <w:gridCol w:w="576"/>
        <w:gridCol w:w="80"/>
        <w:gridCol w:w="60"/>
        <w:gridCol w:w="515"/>
        <w:gridCol w:w="60"/>
        <w:gridCol w:w="60"/>
        <w:gridCol w:w="425"/>
        <w:gridCol w:w="60"/>
        <w:gridCol w:w="60"/>
        <w:gridCol w:w="515"/>
        <w:gridCol w:w="80"/>
        <w:gridCol w:w="60"/>
        <w:gridCol w:w="425"/>
        <w:gridCol w:w="80"/>
        <w:gridCol w:w="61"/>
        <w:gridCol w:w="499"/>
        <w:gridCol w:w="80"/>
        <w:gridCol w:w="85"/>
        <w:gridCol w:w="576"/>
        <w:gridCol w:w="98"/>
      </w:tblGrid>
      <w:tr>
        <w:trPr/>
        <w:tc>
          <w:tcPr>
            <w:tcW w:w="2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01"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second quarter of:</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3701"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of: </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of </w:t>
              <w:br/>
              <w:t>rev.</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of </w:t>
              <w:br/>
              <w:t>rev.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Var.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w:t>
              <w:br/>
              <w:t>Comp.</w:t>
            </w:r>
            <w:r>
              <w:rPr>
                <w:rFonts w:ascii="Times New Roman;Times;Serif" w:hAnsi="Times New Roman;Times;Serif"/>
                <w:b/>
                <w:i w:val="false"/>
                <w:caps w:val="false"/>
                <w:smallCaps w:val="false"/>
                <w:position w:val="5"/>
                <w:sz w:val="13"/>
                <w:sz w:val="16"/>
              </w:rPr>
              <w:t>(A)</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rev.</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rev.</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Var.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w:t>
              <w:br/>
              <w:t>Comp.</w:t>
            </w:r>
            <w:r>
              <w:rPr>
                <w:rFonts w:ascii="Times New Roman;Times;Serif" w:hAnsi="Times New Roman;Times;Serif"/>
                <w:b/>
                <w:i w:val="false"/>
                <w:caps w:val="false"/>
                <w:smallCaps w:val="false"/>
                <w:position w:val="5"/>
                <w:sz w:val="13"/>
                <w:sz w:val="16"/>
              </w:rPr>
              <w:t>(A)</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44,502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43,822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32,763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30,873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operating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(30.6</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&amp; other non-cash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CAPEX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850"/>
        <w:gridCol w:w="60"/>
        <w:gridCol w:w="60"/>
        <w:gridCol w:w="560"/>
        <w:gridCol w:w="60"/>
        <w:gridCol w:w="60"/>
        <w:gridCol w:w="60"/>
        <w:gridCol w:w="560"/>
        <w:gridCol w:w="80"/>
        <w:gridCol w:w="60"/>
        <w:gridCol w:w="60"/>
        <w:gridCol w:w="275"/>
        <w:gridCol w:w="60"/>
        <w:gridCol w:w="60"/>
        <w:gridCol w:w="60"/>
        <w:gridCol w:w="245"/>
        <w:gridCol w:w="60"/>
        <w:gridCol w:w="60"/>
        <w:gridCol w:w="60"/>
        <w:gridCol w:w="560"/>
        <w:gridCol w:w="60"/>
        <w:gridCol w:w="60"/>
        <w:gridCol w:w="60"/>
        <w:gridCol w:w="560"/>
        <w:gridCol w:w="60"/>
        <w:gridCol w:w="60"/>
        <w:gridCol w:w="60"/>
        <w:gridCol w:w="305"/>
        <w:gridCol w:w="80"/>
        <w:gridCol w:w="60"/>
        <w:gridCol w:w="60"/>
        <w:gridCol w:w="245"/>
        <w:gridCol w:w="75"/>
      </w:tblGrid>
      <w:tr>
        <w:trPr/>
        <w:tc>
          <w:tcPr>
            <w:tcW w:w="19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Information of Stores</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stores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Stores Mexico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Stores South America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new stores: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vs. Last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Year-to-date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Last-twelve-months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Same-store data: </w:t>
            </w:r>
            <w:r>
              <w:rPr>
                <w:rFonts w:ascii="Times New Roman;Times;Serif" w:hAnsi="Times New Roman;Times;Serif"/>
                <w:b w:val="false"/>
                <w:i w:val="false"/>
                <w:caps w:val="false"/>
                <w:smallCaps w:val="false"/>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(thousands of pesos)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1325"/>
        <w:gridCol w:w="60"/>
        <w:gridCol w:w="60"/>
        <w:gridCol w:w="1835"/>
        <w:gridCol w:w="215"/>
        <w:gridCol w:w="60"/>
        <w:gridCol w:w="60"/>
        <w:gridCol w:w="1385"/>
        <w:gridCol w:w="80"/>
        <w:gridCol w:w="60"/>
        <w:gridCol w:w="60"/>
        <w:gridCol w:w="2075"/>
        <w:gridCol w:w="95"/>
      </w:tblGrid>
      <w:tr>
        <w:trPr/>
        <w:tc>
          <w:tcPr>
            <w:tcW w:w="1325" w:type="dxa"/>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Currency Neutral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83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Total Revenue Growth  </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Unit Growth</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20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Same-Store Sales Growth</w:t>
            </w:r>
            <w:r>
              <w:rPr>
                <w:rFonts w:ascii="Times New Roman;Times;Serif" w:hAnsi="Times New Roman;Times;Serif"/>
                <w:b/>
                <w:i w:val="false"/>
                <w:caps w:val="false"/>
                <w:smallCaps w:val="false"/>
                <w:position w:val="5"/>
                <w:sz w:val="13"/>
                <w:sz w:val="16"/>
              </w:rPr>
              <w:t xml:space="preserve">(6)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Health</w:t>
            </w:r>
            <w:r>
              <w:rPr>
                <w:rFonts w:ascii="Times New Roman;Times;Serif" w:hAnsi="Times New Roman;Times;Serif"/>
                <w:b/>
                <w:i w:val="false"/>
                <w:caps w:val="false"/>
                <w:smallCaps w:val="false"/>
                <w:position w:val="5"/>
                <w:sz w:val="13"/>
                <w:sz w:val="16"/>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Mexico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Chile</w:t>
            </w:r>
            <w:r>
              <w:rPr>
                <w:rFonts w:ascii="Times New Roman;Times;Serif" w:hAnsi="Times New Roman;Times;Serif"/>
                <w:b w:val="false"/>
                <w:i w:val="false"/>
                <w:caps w:val="false"/>
                <w:smallCaps w:val="false"/>
                <w:position w:val="5"/>
                <w:sz w:val="13"/>
                <w:sz w:val="16"/>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Colombia</w:t>
            </w:r>
            <w:r>
              <w:rPr>
                <w:rFonts w:ascii="Times New Roman;Times;Serif" w:hAnsi="Times New Roman;Times;Serif"/>
                <w:b w:val="false"/>
                <w:i w:val="false"/>
                <w:caps w:val="false"/>
                <w:smallCaps w:val="false"/>
                <w:position w:val="5"/>
                <w:sz w:val="13"/>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Ecuador</w:t>
            </w:r>
            <w:r>
              <w:rPr>
                <w:rFonts w:ascii="Times New Roman;Times;Serif" w:hAnsi="Times New Roman;Times;Serif"/>
                <w:b w:val="false"/>
                <w:i w:val="false"/>
                <w:caps w:val="false"/>
                <w:smallCaps w:val="false"/>
                <w:position w:val="5"/>
                <w:sz w:val="13"/>
                <w:sz w:val="16"/>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sz w:val="16"/>
        </w:rPr>
      </w:pPr>
      <w:r>
        <w:rPr>
          <w:position w:val="5"/>
          <w:sz w:val="13"/>
          <w:sz w:val="16"/>
        </w:rPr>
        <w:t>(A)</w:t>
      </w:r>
      <w:r>
        <w:rPr>
          <w:sz w:val="16"/>
        </w:rPr>
        <w:t xml:space="preserve"> Please refer to page 12 for our definition of “comparable” and a description of the factors affecting the comparability of our financial and operating performance.</w:t>
      </w:r>
    </w:p>
    <w:p>
      <w:pPr>
        <w:pStyle w:val="TextBody"/>
        <w:bidi w:val="0"/>
        <w:jc w:val="left"/>
        <w:rPr>
          <w:sz w:val="16"/>
        </w:rPr>
      </w:pPr>
      <w:r>
        <w:rPr>
          <w:position w:val="5"/>
          <w:sz w:val="13"/>
          <w:sz w:val="16"/>
        </w:rPr>
        <w:t>(1)</w:t>
      </w:r>
      <w:r>
        <w:rPr>
          <w:sz w:val="16"/>
        </w:rPr>
        <w:t xml:space="preserve"> Monthly average information per location, considering same locations with more than twelve months of all the operations of the Health Division.</w:t>
        <w:br/>
      </w:r>
      <w:r>
        <w:rPr>
          <w:position w:val="5"/>
          <w:sz w:val="13"/>
          <w:sz w:val="16"/>
        </w:rPr>
        <w:t>(2)</w:t>
      </w:r>
      <w:r>
        <w:rPr>
          <w:sz w:val="16"/>
        </w:rPr>
        <w:t xml:space="preserve"> Local currency weighted average.  </w:t>
      </w:r>
    </w:p>
    <w:p>
      <w:pPr>
        <w:pStyle w:val="TextBody"/>
        <w:bidi w:val="0"/>
        <w:jc w:val="left"/>
        <w:rPr>
          <w:sz w:val="16"/>
        </w:rPr>
      </w:pPr>
      <w:r>
        <w:rPr>
          <w:position w:val="5"/>
          <w:sz w:val="13"/>
          <w:sz w:val="16"/>
        </w:rPr>
        <w:t>(3)</w:t>
      </w:r>
      <w:r>
        <w:rPr>
          <w:sz w:val="16"/>
        </w:rPr>
        <w:t xml:space="preserve"> Local currency (CLP).</w:t>
      </w:r>
    </w:p>
    <w:p>
      <w:pPr>
        <w:pStyle w:val="TextBody"/>
        <w:bidi w:val="0"/>
        <w:jc w:val="left"/>
        <w:rPr>
          <w:sz w:val="16"/>
        </w:rPr>
      </w:pPr>
      <w:r>
        <w:rPr>
          <w:position w:val="5"/>
          <w:sz w:val="13"/>
          <w:sz w:val="16"/>
        </w:rPr>
        <w:t>(4)</w:t>
      </w:r>
      <w:r>
        <w:rPr>
          <w:sz w:val="16"/>
        </w:rPr>
        <w:t xml:space="preserve"> Local currency (COP).</w:t>
      </w:r>
    </w:p>
    <w:p>
      <w:pPr>
        <w:pStyle w:val="TextBody"/>
        <w:bidi w:val="0"/>
        <w:jc w:val="left"/>
        <w:rPr>
          <w:sz w:val="16"/>
        </w:rPr>
      </w:pPr>
      <w:r>
        <w:rPr>
          <w:position w:val="5"/>
          <w:sz w:val="13"/>
          <w:sz w:val="16"/>
        </w:rPr>
        <w:t>(5)</w:t>
      </w:r>
      <w:r>
        <w:rPr>
          <w:sz w:val="16"/>
        </w:rPr>
        <w:t xml:space="preserve"> Local currency (USD).</w:t>
      </w:r>
    </w:p>
    <w:p>
      <w:pPr>
        <w:pStyle w:val="TextBody"/>
        <w:bidi w:val="0"/>
        <w:jc w:val="left"/>
        <w:rPr>
          <w:sz w:val="16"/>
        </w:rPr>
      </w:pPr>
      <w:r>
        <w:rPr>
          <w:position w:val="5"/>
          <w:sz w:val="13"/>
          <w:sz w:val="16"/>
        </w:rPr>
        <w:t>(6)</w:t>
      </w:r>
      <w:r>
        <w:rPr>
          <w:sz w:val="16"/>
        </w:rPr>
        <w:t xml:space="preserve"> Only includes retail sales. In Ecuador, includes franchised stores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21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Coca-Cola FEMSA – Results of Operations</w:t>
        <w:br/>
      </w:r>
      <w:r>
        <w:rPr>
          <w:rFonts w:ascii="Times New Roman;Times;Serif" w:hAnsi="Times New Roman;Times;Serif"/>
          <w:b w:val="false"/>
          <w:i w:val="false"/>
          <w:caps w:val="false"/>
          <w:smallCaps w:val="false"/>
          <w:sz w:val="20"/>
        </w:rPr>
        <w:t>Amounts expressed in millions of Mexican Pesos (Ps.)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4"/>
        <w:gridCol w:w="60"/>
        <w:gridCol w:w="60"/>
        <w:gridCol w:w="515"/>
        <w:gridCol w:w="80"/>
        <w:gridCol w:w="60"/>
        <w:gridCol w:w="425"/>
        <w:gridCol w:w="80"/>
        <w:gridCol w:w="60"/>
        <w:gridCol w:w="515"/>
        <w:gridCol w:w="80"/>
        <w:gridCol w:w="60"/>
        <w:gridCol w:w="425"/>
        <w:gridCol w:w="80"/>
        <w:gridCol w:w="69"/>
        <w:gridCol w:w="491"/>
        <w:gridCol w:w="80"/>
        <w:gridCol w:w="97"/>
        <w:gridCol w:w="550"/>
        <w:gridCol w:w="60"/>
        <w:gridCol w:w="60"/>
        <w:gridCol w:w="605"/>
        <w:gridCol w:w="80"/>
        <w:gridCol w:w="60"/>
        <w:gridCol w:w="425"/>
        <w:gridCol w:w="80"/>
        <w:gridCol w:w="60"/>
        <w:gridCol w:w="605"/>
        <w:gridCol w:w="80"/>
        <w:gridCol w:w="60"/>
        <w:gridCol w:w="425"/>
        <w:gridCol w:w="80"/>
        <w:gridCol w:w="73"/>
        <w:gridCol w:w="487"/>
        <w:gridCol w:w="80"/>
        <w:gridCol w:w="97"/>
        <w:gridCol w:w="550"/>
        <w:gridCol w:w="77"/>
      </w:tblGrid>
      <w:tr>
        <w:trPr/>
        <w:tc>
          <w:tcPr>
            <w:tcW w:w="23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27"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second quarter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07"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of:</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 of </w:t>
              <w:br/>
              <w:t>rev.</w:t>
            </w:r>
          </w:p>
        </w:tc>
        <w:tc>
          <w:tcPr>
            <w:tcW w:w="80" w:type="dxa"/>
            <w:tcBorders/>
            <w:vAlign w:val="center"/>
          </w:tcPr>
          <w:p>
            <w:pPr>
              <w:pStyle w:val="TableContents"/>
              <w:bidi w:val="0"/>
              <w:spacing w:before="0" w:after="283"/>
              <w:jc w:val="center"/>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 of </w:t>
              <w:br/>
              <w:t>rev.</w:t>
            </w:r>
          </w:p>
        </w:tc>
        <w:tc>
          <w:tcPr>
            <w:tcW w:w="8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Var.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 </w:t>
              <w:br/>
              <w:t>Comp.</w:t>
            </w:r>
            <w:r>
              <w:rPr>
                <w:rFonts w:ascii="Times New Roman;Times;Serif" w:hAnsi="Times New Roman;Times;Serif"/>
                <w:b/>
                <w:i w:val="false"/>
                <w:caps w:val="false"/>
                <w:smallCaps w:val="false"/>
                <w:position w:val="5"/>
                <w:sz w:val="13"/>
                <w:sz w:val="16"/>
              </w:rPr>
              <w: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 of </w:t>
              <w:br/>
              <w:t>rev.</w:t>
            </w:r>
          </w:p>
        </w:tc>
        <w:tc>
          <w:tcPr>
            <w:tcW w:w="80" w:type="dxa"/>
            <w:tcBorders/>
            <w:vAlign w:val="center"/>
          </w:tcPr>
          <w:p>
            <w:pPr>
              <w:pStyle w:val="TableContents"/>
              <w:bidi w:val="0"/>
              <w:spacing w:before="0" w:after="283"/>
              <w:jc w:val="center"/>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of</w:t>
              <w:br/>
              <w:t>rev.</w:t>
            </w:r>
          </w:p>
        </w:tc>
        <w:tc>
          <w:tcPr>
            <w:tcW w:w="8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Var.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br/>
              <w:t>Comp.</w:t>
            </w:r>
            <w:r>
              <w:rPr>
                <w:rFonts w:ascii="Times New Roman;Times;Serif" w:hAnsi="Times New Roman;Times;Serif"/>
                <w:b/>
                <w:i w:val="false"/>
                <w:caps w:val="false"/>
                <w:smallCaps w:val="false"/>
                <w:position w:val="5"/>
                <w:sz w:val="13"/>
                <w:sz w:val="16"/>
              </w:rPr>
              <w:t>(A)</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76,318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72,917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142,703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77,987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35,938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64,716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operating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&amp; other non-cash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3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CAPEX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2030"/>
        <w:gridCol w:w="60"/>
        <w:gridCol w:w="60"/>
        <w:gridCol w:w="560"/>
        <w:gridCol w:w="60"/>
        <w:gridCol w:w="60"/>
        <w:gridCol w:w="425"/>
        <w:gridCol w:w="60"/>
        <w:gridCol w:w="60"/>
        <w:gridCol w:w="560"/>
        <w:gridCol w:w="60"/>
        <w:gridCol w:w="60"/>
        <w:gridCol w:w="425"/>
        <w:gridCol w:w="60"/>
        <w:gridCol w:w="60"/>
        <w:gridCol w:w="335"/>
        <w:gridCol w:w="60"/>
        <w:gridCol w:w="60"/>
        <w:gridCol w:w="560"/>
        <w:gridCol w:w="60"/>
        <w:gridCol w:w="60"/>
        <w:gridCol w:w="425"/>
        <w:gridCol w:w="60"/>
        <w:gridCol w:w="60"/>
        <w:gridCol w:w="560"/>
        <w:gridCol w:w="60"/>
        <w:gridCol w:w="60"/>
        <w:gridCol w:w="425"/>
        <w:gridCol w:w="60"/>
        <w:gridCol w:w="60"/>
        <w:gridCol w:w="245"/>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15" w:type="dxa"/>
            <w:gridSpan w:val="8"/>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Sales Volumes</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15" w:type="dxa"/>
            <w:gridSpan w:val="8"/>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(Millions of unit cases)</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Mexico and Central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Brazil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1,071.8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2,070.2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 Please refer to page 11 for our definition of “comparable” and a description of the factors affecting the comparability of our financial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FEMSA Macroeconomic Information</w:t>
      </w:r>
    </w:p>
    <w:p>
      <w:pPr>
        <w:pStyle w:val="TextBody"/>
        <w:bidi w:val="0"/>
        <w:spacing w:before="0" w:after="0"/>
        <w:ind w:left="0" w:right="0" w:hanging="0"/>
        <w:jc w:val="left"/>
        <w:rPr>
          <w:caps w:val="false"/>
          <w:smallCaps w:val="false"/>
        </w:rPr>
      </w:pPr>
      <w:r>
        <w:rPr>
          <w:caps w:val="false"/>
          <w:smallCaps w:val="false"/>
        </w:rPr>
        <w:t> </w:t>
      </w:r>
    </w:p>
    <w:tbl>
      <w:tblPr>
        <w:tblW w:w="3593" w:type="dxa"/>
        <w:jc w:val="left"/>
        <w:tblInd w:w="0" w:type="dxa"/>
        <w:tblLayout w:type="fixed"/>
        <w:tblCellMar>
          <w:top w:w="0" w:type="dxa"/>
          <w:left w:w="0" w:type="dxa"/>
          <w:bottom w:w="0" w:type="dxa"/>
          <w:right w:w="0" w:type="dxa"/>
        </w:tblCellMar>
      </w:tblPr>
      <w:tblGrid>
        <w:gridCol w:w="995"/>
        <w:gridCol w:w="60"/>
        <w:gridCol w:w="88"/>
        <w:gridCol w:w="651"/>
        <w:gridCol w:w="185"/>
        <w:gridCol w:w="60"/>
        <w:gridCol w:w="149"/>
        <w:gridCol w:w="1205"/>
        <w:gridCol w:w="200"/>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LTM </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 xml:space="preserve"> Jun-26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Argentina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 Zone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995"/>
        <w:gridCol w:w="60"/>
        <w:gridCol w:w="60"/>
        <w:gridCol w:w="740"/>
        <w:gridCol w:w="60"/>
        <w:gridCol w:w="60"/>
        <w:gridCol w:w="60"/>
        <w:gridCol w:w="815"/>
        <w:gridCol w:w="60"/>
        <w:gridCol w:w="60"/>
        <w:gridCol w:w="60"/>
        <w:gridCol w:w="740"/>
        <w:gridCol w:w="60"/>
        <w:gridCol w:w="60"/>
        <w:gridCol w:w="60"/>
        <w:gridCol w:w="815"/>
        <w:gridCol w:w="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Exchange Rates for each Period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USD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MXN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USD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MXN</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3,504.64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4,115.88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Argentina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 Zone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995"/>
        <w:gridCol w:w="60"/>
        <w:gridCol w:w="60"/>
        <w:gridCol w:w="740"/>
        <w:gridCol w:w="60"/>
        <w:gridCol w:w="60"/>
        <w:gridCol w:w="60"/>
        <w:gridCol w:w="815"/>
        <w:gridCol w:w="60"/>
        <w:gridCol w:w="60"/>
        <w:gridCol w:w="60"/>
        <w:gridCol w:w="740"/>
        <w:gridCol w:w="60"/>
        <w:gridCol w:w="60"/>
        <w:gridCol w:w="60"/>
        <w:gridCol w:w="815"/>
        <w:gridCol w:w="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End-of-Period Exchange Rates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USD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MXN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USD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MXN</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Colombia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Argentina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 Zone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LTM = Last twelve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July 28, 2026 | Page 23</w:t>
      </w:r>
    </w:p>
    <w:p>
      <w:pPr>
        <w:pStyle w:val="TextBody"/>
        <w:bidi w:val="0"/>
        <w:spacing w:before="0" w:after="0"/>
        <w:ind w:left="0" w:right="0" w:hanging="0"/>
        <w:jc w:val="left"/>
        <w:rPr/>
      </w:pPr>
      <w:r>
        <w:rPr/>
        <w:t> </w:t>
      </w:r>
    </w:p>
    <w:p>
      <w:pPr>
        <w:pStyle w:val="TextBody"/>
        <w:bidi w:val="0"/>
        <w:ind w:left="0" w:right="0" w:firstLine="720"/>
        <w:jc w:val="left"/>
        <w:rPr/>
      </w:pPr>
      <w:r>
        <w:rPr/>
        <w:t> </w:t>
      </w:r>
    </w:p>
    <w:p>
      <w:pPr>
        <w:pStyle w:val="TextBody"/>
        <w:bidi w:val="0"/>
        <w:jc w:val="center"/>
        <w:rPr/>
      </w:pPr>
      <w:r>
        <w:rPr/>
        <w:drawing>
          <wp:inline distT="0" distB="0" distL="0" distR="0">
            <wp:extent cx="8096250" cy="9439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96250" cy="9439275"/>
                    </a:xfrm>
                    <a:prstGeom prst="rect">
                      <a:avLst/>
                    </a:prstGeom>
                  </pic:spPr>
                </pic:pic>
              </a:graphicData>
            </a:graphic>
          </wp:inline>
        </w:drawing>
      </w: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sz w:val="20"/>
        </w:rPr>
      </w:pPr>
      <w:r>
        <w:rPr>
          <w:sz w:val="20"/>
        </w:rPr>
        <w:t>Mexico City, July 27, 2026, Coca-Cola FEMSA, S.A.B. de C.V. (BMV: KOFUBL, NYSE: KOF) (“Coca-Cola FEMSA”, “KOF” or the “Company”), the largest Coca-Cola franchise bottler in the world by sales volume, announces results for the second quarter of 2026.</w:t>
      </w:r>
    </w:p>
    <w:p>
      <w:pPr>
        <w:pStyle w:val="TextBody"/>
        <w:bidi w:val="0"/>
        <w:spacing w:before="0" w:after="0"/>
        <w:ind w:left="284" w:right="0" w:hanging="0"/>
        <w:jc w:val="left"/>
        <w:rPr>
          <w:caps w:val="false"/>
          <w:smallCaps w:val="false"/>
        </w:rPr>
      </w:pPr>
      <w:r>
        <w:rPr>
          <w:caps w:val="false"/>
          <w:smallCaps w:val="false"/>
        </w:rPr>
        <w:t> </w:t>
      </w:r>
    </w:p>
    <w:p>
      <w:pPr>
        <w:pStyle w:val="TextBody"/>
        <w:bidi w:val="0"/>
        <w:jc w:val="center"/>
        <w:rPr>
          <w:sz w:val="20"/>
        </w:rPr>
      </w:pPr>
      <w:r>
        <w:rPr>
          <w:b/>
          <w:sz w:val="20"/>
        </w:rPr>
        <w:t>SECOND QUARTER HIGHLIGHTS</w:t>
      </w:r>
      <w:r>
        <w:rPr>
          <w:sz w:val="20"/>
        </w:rPr>
        <w:t xml:space="preserve">   </w:t>
      </w:r>
    </w:p>
    <w:p>
      <w:pPr>
        <w:pStyle w:val="TextBody"/>
        <w:bidi w:val="0"/>
        <w:spacing w:before="0" w:after="0"/>
        <w:ind w:left="785"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1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000" w:type="dxa"/>
            <w:tcBorders/>
            <w:vAlign w:val="center"/>
          </w:tcPr>
          <w:p>
            <w:pPr>
              <w:pStyle w:val="TableContents"/>
              <w:bidi w:val="0"/>
              <w:spacing w:before="0" w:after="283"/>
              <w:jc w:val="both"/>
              <w:rPr>
                <w:sz w:val="20"/>
              </w:rPr>
            </w:pPr>
            <w:r>
              <w:rPr>
                <w:sz w:val="20"/>
              </w:rPr>
              <w:t>Volume increased 3.5%.</w:t>
            </w:r>
          </w:p>
        </w:tc>
      </w:tr>
    </w:tbl>
    <w:tbl>
      <w:tblPr>
        <w:tblW w:w="6123" w:type="dxa"/>
        <w:jc w:val="left"/>
        <w:tblInd w:w="0" w:type="dxa"/>
        <w:tblLayout w:type="fixed"/>
        <w:tblCellMar>
          <w:top w:w="0" w:type="dxa"/>
          <w:left w:w="0" w:type="dxa"/>
          <w:bottom w:w="0" w:type="dxa"/>
          <w:right w:w="0" w:type="dxa"/>
        </w:tblCellMar>
      </w:tblPr>
      <w:tblGrid>
        <w:gridCol w:w="38"/>
        <w:gridCol w:w="11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sz w:val="20"/>
              </w:rPr>
            </w:pPr>
            <w:r>
              <w:rPr>
                <w:sz w:val="20"/>
              </w:rPr>
              <w:t>Revenue increased 4.7%; on a currency neutral basis, revenue grew 6.6%.</w:t>
            </w:r>
          </w:p>
        </w:tc>
      </w:tr>
    </w:tbl>
    <w:tbl>
      <w:tblPr>
        <w:tblW w:w="8118" w:type="dxa"/>
        <w:jc w:val="left"/>
        <w:tblInd w:w="0" w:type="dxa"/>
        <w:tblLayout w:type="fixed"/>
        <w:tblCellMar>
          <w:top w:w="0" w:type="dxa"/>
          <w:left w:w="0" w:type="dxa"/>
          <w:bottom w:w="0" w:type="dxa"/>
          <w:right w:w="0" w:type="dxa"/>
        </w:tblCellMar>
      </w:tblPr>
      <w:tblGrid>
        <w:gridCol w:w="38"/>
        <w:gridCol w:w="11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70" w:type="dxa"/>
            <w:tcBorders/>
            <w:vAlign w:val="center"/>
          </w:tcPr>
          <w:p>
            <w:pPr>
              <w:pStyle w:val="TableContents"/>
              <w:bidi w:val="0"/>
              <w:spacing w:before="0" w:after="283"/>
              <w:jc w:val="both"/>
              <w:rPr>
                <w:sz w:val="20"/>
              </w:rPr>
            </w:pPr>
            <w:r>
              <w:rPr>
                <w:sz w:val="20"/>
              </w:rPr>
              <w:t>Operating income increased 9.1%; on a currency neutral basis, operating income increased 11.1%.</w:t>
            </w:r>
          </w:p>
        </w:tc>
      </w:tr>
    </w:tbl>
    <w:tbl>
      <w:tblPr>
        <w:tblW w:w="7698" w:type="dxa"/>
        <w:jc w:val="left"/>
        <w:tblInd w:w="0" w:type="dxa"/>
        <w:tblLayout w:type="fixed"/>
        <w:tblCellMar>
          <w:top w:w="0" w:type="dxa"/>
          <w:left w:w="0" w:type="dxa"/>
          <w:bottom w:w="0" w:type="dxa"/>
          <w:right w:w="0" w:type="dxa"/>
        </w:tblCellMar>
      </w:tblPr>
      <w:tblGrid>
        <w:gridCol w:w="38"/>
        <w:gridCol w:w="11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50" w:type="dxa"/>
            <w:tcBorders/>
            <w:vAlign w:val="center"/>
          </w:tcPr>
          <w:p>
            <w:pPr>
              <w:pStyle w:val="TableContents"/>
              <w:bidi w:val="0"/>
              <w:spacing w:before="0" w:after="283"/>
              <w:jc w:val="both"/>
              <w:rPr>
                <w:sz w:val="20"/>
              </w:rPr>
            </w:pPr>
            <w:r>
              <w:rPr>
                <w:sz w:val="20"/>
              </w:rPr>
              <w:t>Majority net income increased 16.9%, driven mainly by an increase in our operating income.</w:t>
            </w:r>
          </w:p>
        </w:tc>
      </w:tr>
    </w:tbl>
    <w:tbl>
      <w:tblPr>
        <w:tblW w:w="7863" w:type="dxa"/>
        <w:jc w:val="left"/>
        <w:tblInd w:w="0" w:type="dxa"/>
        <w:tblLayout w:type="fixed"/>
        <w:tblCellMar>
          <w:top w:w="0" w:type="dxa"/>
          <w:left w:w="0" w:type="dxa"/>
          <w:bottom w:w="0" w:type="dxa"/>
          <w:right w:w="0" w:type="dxa"/>
        </w:tblCellMar>
      </w:tblPr>
      <w:tblGrid>
        <w:gridCol w:w="38"/>
        <w:gridCol w:w="11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15" w:type="dxa"/>
            <w:tcBorders/>
            <w:vAlign w:val="center"/>
          </w:tcPr>
          <w:p>
            <w:pPr>
              <w:pStyle w:val="TableContents"/>
              <w:bidi w:val="0"/>
              <w:spacing w:before="0" w:after="283"/>
              <w:jc w:val="both"/>
              <w:rPr>
                <w:sz w:val="20"/>
              </w:rPr>
            </w:pPr>
            <w:r>
              <w:rPr>
                <w:sz w:val="20"/>
              </w:rPr>
              <w:t>Earnings per share</w:t>
            </w:r>
            <w:r>
              <w:rPr>
                <w:position w:val="7"/>
                <w:sz w:val="16"/>
                <w:sz w:val="20"/>
              </w:rPr>
              <w:t>1</w:t>
            </w:r>
            <w:r>
              <w:rPr>
                <w:sz w:val="20"/>
              </w:rPr>
              <w:t xml:space="preserve"> were Ps. 0.37 (Earnings per unit were Ps. 2.96 and per ADS were Ps. 29.57.).</w:t>
            </w:r>
          </w:p>
        </w:tc>
      </w:tr>
    </w:tbl>
    <w:p>
      <w:pPr>
        <w:pStyle w:val="TextBody"/>
        <w:bidi w:val="0"/>
        <w:spacing w:before="0" w:after="0"/>
        <w:jc w:val="left"/>
        <w:rPr>
          <w:caps w:val="false"/>
          <w:smallCaps w:val="false"/>
        </w:rPr>
      </w:pPr>
      <w:r>
        <w:rPr>
          <w:caps w:val="false"/>
          <w:smallCaps w:val="false"/>
        </w:rPr>
        <w:t> </w:t>
      </w:r>
    </w:p>
    <w:p>
      <w:pPr>
        <w:pStyle w:val="TextBody"/>
        <w:bidi w:val="0"/>
        <w:jc w:val="center"/>
        <w:rPr>
          <w:b/>
          <w:sz w:val="20"/>
        </w:rPr>
      </w:pPr>
      <w:r>
        <w:rPr>
          <w:b/>
          <w:sz w:val="20"/>
        </w:rPr>
        <w:t>FIRST SIX MONTHS HIGHLIGHTS</w:t>
      </w:r>
    </w:p>
    <w:p>
      <w:pPr>
        <w:pStyle w:val="TextBody"/>
        <w:bidi w:val="0"/>
        <w:jc w:val="center"/>
        <w:rPr/>
      </w:pPr>
      <w:r>
        <w:rPr/>
        <w:t> </w:t>
      </w:r>
    </w:p>
    <w:tbl>
      <w:tblPr>
        <w:tblW w:w="2148" w:type="dxa"/>
        <w:jc w:val="left"/>
        <w:tblInd w:w="0" w:type="dxa"/>
        <w:tblLayout w:type="fixed"/>
        <w:tblCellMar>
          <w:top w:w="0" w:type="dxa"/>
          <w:left w:w="0" w:type="dxa"/>
          <w:bottom w:w="0" w:type="dxa"/>
          <w:right w:w="0" w:type="dxa"/>
        </w:tblCellMar>
      </w:tblPr>
      <w:tblGrid>
        <w:gridCol w:w="38"/>
        <w:gridCol w:w="11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000" w:type="dxa"/>
            <w:tcBorders/>
            <w:vAlign w:val="center"/>
          </w:tcPr>
          <w:p>
            <w:pPr>
              <w:pStyle w:val="TableContents"/>
              <w:bidi w:val="0"/>
              <w:spacing w:before="0" w:after="283"/>
              <w:jc w:val="both"/>
              <w:rPr>
                <w:sz w:val="20"/>
              </w:rPr>
            </w:pPr>
            <w:r>
              <w:rPr>
                <w:sz w:val="20"/>
              </w:rPr>
              <w:t>Volume increased 2.4%.</w:t>
            </w:r>
          </w:p>
        </w:tc>
      </w:tr>
    </w:tbl>
    <w:tbl>
      <w:tblPr>
        <w:tblW w:w="6123" w:type="dxa"/>
        <w:jc w:val="left"/>
        <w:tblInd w:w="0" w:type="dxa"/>
        <w:tblLayout w:type="fixed"/>
        <w:tblCellMar>
          <w:top w:w="0" w:type="dxa"/>
          <w:left w:w="0" w:type="dxa"/>
          <w:bottom w:w="0" w:type="dxa"/>
          <w:right w:w="0" w:type="dxa"/>
        </w:tblCellMar>
      </w:tblPr>
      <w:tblGrid>
        <w:gridCol w:w="38"/>
        <w:gridCol w:w="11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sz w:val="20"/>
              </w:rPr>
            </w:pPr>
            <w:r>
              <w:rPr>
                <w:sz w:val="20"/>
              </w:rPr>
              <w:t>Revenue increased 3.1%; on a currency neutral basis, revenue grew 8.1%.</w:t>
            </w:r>
          </w:p>
        </w:tc>
      </w:tr>
    </w:tbl>
    <w:tbl>
      <w:tblPr>
        <w:tblW w:w="7638" w:type="dxa"/>
        <w:jc w:val="left"/>
        <w:tblInd w:w="0" w:type="dxa"/>
        <w:tblLayout w:type="fixed"/>
        <w:tblCellMar>
          <w:top w:w="0" w:type="dxa"/>
          <w:left w:w="0" w:type="dxa"/>
          <w:bottom w:w="0" w:type="dxa"/>
          <w:right w:w="0" w:type="dxa"/>
        </w:tblCellMar>
      </w:tblPr>
      <w:tblGrid>
        <w:gridCol w:w="38"/>
        <w:gridCol w:w="11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90" w:type="dxa"/>
            <w:tcBorders/>
            <w:vAlign w:val="center"/>
          </w:tcPr>
          <w:p>
            <w:pPr>
              <w:pStyle w:val="TableContents"/>
              <w:bidi w:val="0"/>
              <w:spacing w:before="0" w:after="283"/>
              <w:jc w:val="both"/>
              <w:rPr>
                <w:sz w:val="20"/>
              </w:rPr>
            </w:pPr>
            <w:r>
              <w:rPr>
                <w:sz w:val="20"/>
              </w:rPr>
              <w:t>Operating income increased 3.6%; on a currency neutral basis, operating income grew 8.2%.</w:t>
            </w:r>
          </w:p>
        </w:tc>
      </w:tr>
    </w:tbl>
    <w:tbl>
      <w:tblPr>
        <w:tblW w:w="3168" w:type="dxa"/>
        <w:jc w:val="left"/>
        <w:tblInd w:w="0" w:type="dxa"/>
        <w:tblLayout w:type="fixed"/>
        <w:tblCellMar>
          <w:top w:w="0" w:type="dxa"/>
          <w:left w:w="0" w:type="dxa"/>
          <w:bottom w:w="0" w:type="dxa"/>
          <w:right w:w="0" w:type="dxa"/>
        </w:tblCellMar>
      </w:tblPr>
      <w:tblGrid>
        <w:gridCol w:w="38"/>
        <w:gridCol w:w="11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20" w:type="dxa"/>
            <w:tcBorders/>
            <w:vAlign w:val="center"/>
          </w:tcPr>
          <w:p>
            <w:pPr>
              <w:pStyle w:val="TableContents"/>
              <w:bidi w:val="0"/>
              <w:spacing w:before="0" w:after="283"/>
              <w:jc w:val="both"/>
              <w:rPr>
                <w:sz w:val="20"/>
              </w:rPr>
            </w:pPr>
            <w:r>
              <w:rPr>
                <w:sz w:val="20"/>
              </w:rPr>
              <w:t>Majority net income increased 1.0%.</w:t>
            </w:r>
          </w:p>
        </w:tc>
      </w:tr>
    </w:tbl>
    <w:tbl>
      <w:tblPr>
        <w:tblW w:w="7863" w:type="dxa"/>
        <w:jc w:val="left"/>
        <w:tblInd w:w="0" w:type="dxa"/>
        <w:tblLayout w:type="fixed"/>
        <w:tblCellMar>
          <w:top w:w="0" w:type="dxa"/>
          <w:left w:w="0" w:type="dxa"/>
          <w:bottom w:w="0" w:type="dxa"/>
          <w:right w:w="0" w:type="dxa"/>
        </w:tblCellMar>
      </w:tblPr>
      <w:tblGrid>
        <w:gridCol w:w="38"/>
        <w:gridCol w:w="11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15" w:type="dxa"/>
            <w:tcBorders/>
            <w:vAlign w:val="center"/>
          </w:tcPr>
          <w:p>
            <w:pPr>
              <w:pStyle w:val="TableContents"/>
              <w:bidi w:val="0"/>
              <w:spacing w:before="0" w:after="283"/>
              <w:jc w:val="both"/>
              <w:rPr>
                <w:sz w:val="20"/>
              </w:rPr>
            </w:pPr>
            <w:r>
              <w:rPr>
                <w:sz w:val="20"/>
              </w:rPr>
              <w:t>Earnings per share</w:t>
            </w:r>
            <w:r>
              <w:rPr>
                <w:position w:val="7"/>
                <w:sz w:val="16"/>
                <w:sz w:val="20"/>
              </w:rPr>
              <w:t>1</w:t>
            </w:r>
            <w:r>
              <w:rPr>
                <w:sz w:val="20"/>
              </w:rPr>
              <w:t xml:space="preserve"> were Ps. 0.63 (Earnings per unit were Ps. 5.02 and per ADS were Ps. 50.23.).</w:t>
            </w:r>
          </w:p>
        </w:tc>
      </w:tr>
    </w:tbl>
    <w:p>
      <w:pPr>
        <w:pStyle w:val="TextBody"/>
        <w:bidi w:val="0"/>
        <w:spacing w:before="0" w:after="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FINANCIAL SUMMARY FOR THE SECOND QUARTER RESULTS</w:t>
      </w:r>
    </w:p>
    <w:p>
      <w:pPr>
        <w:pStyle w:val="TextBody"/>
        <w:bidi w:val="0"/>
        <w:spacing w:before="0" w:after="0"/>
        <w:jc w:val="left"/>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Change vs. same period of last year</w:t>
      </w:r>
    </w:p>
    <w:p>
      <w:pPr>
        <w:pStyle w:val="TextBody"/>
        <w:bidi w:val="0"/>
        <w:spacing w:before="0" w:after="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1128"/>
        <w:gridCol w:w="60"/>
        <w:gridCol w:w="60"/>
        <w:gridCol w:w="1858"/>
        <w:gridCol w:w="60"/>
        <w:gridCol w:w="60"/>
        <w:gridCol w:w="60"/>
        <w:gridCol w:w="425"/>
        <w:gridCol w:w="155"/>
        <w:gridCol w:w="60"/>
        <w:gridCol w:w="60"/>
        <w:gridCol w:w="738"/>
        <w:gridCol w:w="210"/>
        <w:gridCol w:w="60"/>
        <w:gridCol w:w="60"/>
        <w:gridCol w:w="425"/>
        <w:gridCol w:w="155"/>
        <w:gridCol w:w="60"/>
        <w:gridCol w:w="60"/>
        <w:gridCol w:w="738"/>
        <w:gridCol w:w="155"/>
        <w:gridCol w:w="60"/>
        <w:gridCol w:w="60"/>
        <w:gridCol w:w="425"/>
        <w:gridCol w:w="210"/>
        <w:gridCol w:w="60"/>
        <w:gridCol w:w="60"/>
        <w:gridCol w:w="740"/>
        <w:gridCol w:w="210"/>
        <w:gridCol w:w="60"/>
        <w:gridCol w:w="60"/>
        <w:gridCol w:w="425"/>
        <w:gridCol w:w="155"/>
        <w:gridCol w:w="60"/>
        <w:gridCol w:w="60"/>
        <w:gridCol w:w="738"/>
        <w:gridCol w:w="175"/>
      </w:tblGrid>
      <w:tr>
        <w:trPr/>
        <w:tc>
          <w:tcPr>
            <w:tcW w:w="11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6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Revenues</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9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Gross Profit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Operating Income</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6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Majority Net Income</w:t>
            </w:r>
          </w:p>
        </w:tc>
      </w:tr>
      <w:tr>
        <w:trPr/>
        <w:tc>
          <w:tcPr>
            <w:tcW w:w="11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2Q26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YTD 2026</w:t>
            </w:r>
          </w:p>
        </w:tc>
        <w:tc>
          <w:tcPr>
            <w:tcW w:w="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2Q26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YTD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2Q26</w:t>
            </w:r>
          </w:p>
        </w:tc>
        <w:tc>
          <w:tcPr>
            <w:tcW w:w="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YTD 2026</w:t>
            </w:r>
          </w:p>
        </w:tc>
        <w:tc>
          <w:tcPr>
            <w:tcW w:w="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2Q26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YTD 2026</w:t>
            </w:r>
          </w:p>
        </w:tc>
        <w:tc>
          <w:tcPr>
            <w:tcW w:w="175" w:type="dxa"/>
            <w:tcBorders/>
            <w:vAlign w:val="center"/>
          </w:tcPr>
          <w:p>
            <w:pPr>
              <w:pStyle w:val="TableContents"/>
              <w:bidi w:val="0"/>
              <w:spacing w:before="0" w:after="283"/>
              <w:jc w:val="center"/>
              <w:rPr/>
            </w:pPr>
            <w:r>
              <w:rPr/>
              <w:t> </w:t>
            </w:r>
          </w:p>
        </w:tc>
      </w:tr>
      <w:tr>
        <w:trPr/>
        <w:tc>
          <w:tcPr>
            <w:tcW w:w="1128" w:type="dxa"/>
            <w:tcBorders/>
            <w:shd w:fill="CCEE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Consolidated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w:t>
            </w:r>
          </w:p>
        </w:tc>
        <w:tc>
          <w:tcPr>
            <w:tcW w:w="1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Mexico &amp; Central America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(0.5</w:t>
            </w:r>
          </w:p>
        </w:tc>
        <w:tc>
          <w:tcPr>
            <w:tcW w:w="2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w:t>
            </w:r>
          </w:p>
        </w:tc>
        <w:tc>
          <w:tcPr>
            <w:tcW w:w="2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2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11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South America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8.4</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46.5</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1128" w:type="dxa"/>
            <w:tcBorders/>
            <w:shd w:fill="CCEE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Comparable </w:t>
            </w:r>
            <w:r>
              <w:rPr>
                <w:rFonts w:ascii="Times New Roman;Times;Serif" w:hAnsi="Times New Roman;Times;Serif"/>
                <w:b/>
                <w:position w:val="5"/>
                <w:sz w:val="13"/>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Consolidated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Mexico &amp; Central America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w:t>
            </w:r>
          </w:p>
        </w:tc>
        <w:tc>
          <w:tcPr>
            <w:tcW w:w="2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w:t>
            </w:r>
          </w:p>
        </w:tc>
        <w:tc>
          <w:tcPr>
            <w:tcW w:w="2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w:t>
            </w:r>
          </w:p>
        </w:tc>
        <w:tc>
          <w:tcPr>
            <w:tcW w:w="2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11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South America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18.1</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49.4</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41.4</w:t>
            </w:r>
          </w:p>
        </w:tc>
        <w:tc>
          <w:tcPr>
            <w:tcW w:w="2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Ian Craig, Coca-Cola FEMSA’s CEO, commented:</w:t>
      </w:r>
    </w:p>
    <w:p>
      <w:pPr>
        <w:pStyle w:val="TextBody"/>
        <w:bidi w:val="0"/>
        <w:spacing w:before="0" w:after="0"/>
        <w:ind w:left="0" w:right="0" w:firstLine="284"/>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Before commenting on our quarterly results, I would like to express our deepest condolences to everyone affected by the earthquakes in Venezuela. Our thoughts are with the impacted communities, as we provide support to people in need and first responders including Coca-Cola FEMSA de Venezuela employees and their families.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we delivered a sequential recovery that highlights the strength of Coca-Cola FEMSA’s diversified market presence. Across our territories, we continued to grow the beverage industry, gain market share, and advance our digital agenda. We also leveraged the FIFA World Cup, strengthening brand equity and reinforcing our connection with consumers.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Mexico continued to navigate a challenging consumer environment and the effects of the excise tax increase, our affordability strategy, segmentation, and disciplined commercial execution enabled us to further strengthen our competitive position. At the same time, South America delivered a solid quarter, with Colombia, Guatemala, and Brazil achieving record second-quarter volumes that ultimately resulted in double digit operating income growth in the business unit.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to the second half of the year, we remain focused on adapting to the evolving consumer environment, accelerating our digital transformation, and leveraging our revenue growth management capabilities. We are confident that these initiatives, together with our disciplined execution and diversified footprint, will enable us to navigate near-term challenges while continuing to generate sustainable long-term growth.”</w:t>
      </w:r>
    </w:p>
    <w:p>
      <w:pPr>
        <w:pStyle w:val="TextBody"/>
        <w:bidi w:val="0"/>
        <w:spacing w:before="0" w:after="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i/>
                <w:position w:val="5"/>
                <w:sz w:val="13"/>
                <w:sz w:val="16"/>
              </w:rPr>
            </w:pPr>
            <w:r>
              <w:rPr>
                <w:i/>
                <w:position w:val="5"/>
                <w:sz w:val="13"/>
                <w:sz w:val="16"/>
              </w:rPr>
              <w:t>(1)</w:t>
            </w:r>
          </w:p>
        </w:tc>
        <w:tc>
          <w:tcPr>
            <w:tcW w:w="10010" w:type="dxa"/>
            <w:tcBorders/>
            <w:vAlign w:val="center"/>
          </w:tcPr>
          <w:p>
            <w:pPr>
              <w:pStyle w:val="TableContents"/>
              <w:bidi w:val="0"/>
              <w:spacing w:before="0" w:after="283"/>
              <w:jc w:val="both"/>
              <w:rPr>
                <w:i/>
                <w:sz w:val="16"/>
              </w:rPr>
            </w:pPr>
            <w:r>
              <w:rPr>
                <w:i/>
                <w:sz w:val="16"/>
              </w:rPr>
              <w:t>Quarterly earnings / outstanding shares. Earnings per share (EPS) were calculated using 16,806.7 million shares outstanding. For the convenience of the reader, as a KOFUBL Unit is comprised of 8 shares (3 Series B shares and 5 Series L shares), earnings per unit are equal to EPS multiplied by 8. Each ADS represents 10 KOFUBL Units.</w:t>
            </w:r>
          </w:p>
        </w:tc>
      </w:tr>
    </w:tbl>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i/>
                <w:position w:val="5"/>
                <w:sz w:val="13"/>
                <w:sz w:val="16"/>
              </w:rPr>
            </w:pPr>
            <w:r>
              <w:rPr>
                <w:i/>
                <w:position w:val="5"/>
                <w:sz w:val="13"/>
                <w:sz w:val="16"/>
              </w:rPr>
              <w:t>(2)</w:t>
            </w:r>
          </w:p>
        </w:tc>
        <w:tc>
          <w:tcPr>
            <w:tcW w:w="9988" w:type="dxa"/>
            <w:tcBorders/>
            <w:vAlign w:val="center"/>
          </w:tcPr>
          <w:p>
            <w:pPr>
              <w:pStyle w:val="TableContents"/>
              <w:bidi w:val="0"/>
              <w:spacing w:before="0" w:after="283"/>
              <w:jc w:val="both"/>
              <w:rPr>
                <w:i/>
                <w:sz w:val="16"/>
              </w:rPr>
            </w:pPr>
            <w:r>
              <w:rPr>
                <w:i/>
                <w:sz w:val="16"/>
              </w:rPr>
              <w:t>Please refer to page 10 for our definition of “comparable” and a description of the factors affecting the comparability of our financial and operating performance.</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515"/>
        <w:gridCol w:w="1055"/>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055" w:type="dxa"/>
            <w:tcBorders/>
            <w:vAlign w:val="center"/>
          </w:tcPr>
          <w:p>
            <w:pPr>
              <w:pStyle w:val="TableContents"/>
              <w:bidi w:val="0"/>
              <w:spacing w:before="0" w:after="283"/>
              <w:jc w:val="right"/>
              <w:rPr>
                <w:b/>
                <w:sz w:val="20"/>
              </w:rPr>
            </w:pPr>
            <w:r>
              <w:rPr>
                <w:b/>
                <w:sz w:val="20"/>
              </w:rPr>
              <w:t>Page 2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RECENT DEVELOPMENTS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On July 16, 2026, Coca-Cola FEMSA paid the second installment of the ordinary dividend approved for Ps. 0.241875 per share, for a total cash distribution of Ps. 4,065.1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Coca-Cola FEMSA announces the appointment of Pamela Ortiz as Investor Relations Director, effective August 1, 2026. She previously served as Investor Relations Manager at FEMSA and has extensive experience in capital markets and stakeholder engagement. For his part, Jorge Collazo, who has served as Investor Relations Director since 2022 and has been part of the Investor Relations team since 2016, is assuming a new role as Strategic Planning Director for Coca-Cola FEMSA Brazil.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The Mexican Stock Exchange (BMV) awarded Coca</w:t>
            </w:r>
            <w:r>
              <w:rPr>
                <w:rFonts w:ascii="Times New Roman;Times;Serif" w:hAnsi="Times New Roman;Times;Serif"/>
                <w:sz w:val="20"/>
              </w:rPr>
              <w:t>-</w:t>
            </w:r>
            <w:r>
              <w:rPr>
                <w:sz w:val="20"/>
              </w:rPr>
              <w:t>Cola FEMSA the prestigious “Best Total Score in Mexico CSA 2025” award, reaffirming our position as the leading sustainability performer among all listed companies evaluated. The Company also received the “Best Total Environmental CSA Score” and the “Best Total Governance &amp; Economic CSA Score” distinctions, based on our strong performance in S&amp;P Global’s Corporate Sustainability Assessment (CSA), one of the world’s most rigorous sustainability evaluations. These recognitions reflect the consistent execution of our sustainability strategy and its integration across our operations, governance, and growth agenda, as well as our commitment to creating long-term value through disciplined management, transparency, and sustainable business practices.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CONFERENCE CALL INFORMATION</w:t>
      </w:r>
    </w:p>
    <w:p>
      <w:pPr>
        <w:pStyle w:val="TextBody"/>
        <w:bidi w:val="0"/>
        <w:spacing w:before="0" w:after="0"/>
        <w:ind w:left="284"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2105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96250" cy="2105025"/>
                    </a:xfrm>
                    <a:prstGeom prst="rect">
                      <a:avLst/>
                    </a:prstGeom>
                  </pic:spPr>
                </pic:pic>
              </a:graphicData>
            </a:graphic>
          </wp:inline>
        </w:drawing>
      </w: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515"/>
        <w:gridCol w:w="1055"/>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055" w:type="dxa"/>
            <w:tcBorders/>
            <w:vAlign w:val="center"/>
          </w:tcPr>
          <w:p>
            <w:pPr>
              <w:pStyle w:val="TableContents"/>
              <w:bidi w:val="0"/>
              <w:spacing w:before="0" w:after="283"/>
              <w:jc w:val="right"/>
              <w:rPr>
                <w:b/>
                <w:sz w:val="20"/>
              </w:rPr>
            </w:pPr>
            <w:r>
              <w:rPr>
                <w:b/>
                <w:sz w:val="20"/>
              </w:rPr>
              <w:t>Page 3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28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CONSOLIDATED SECOND QUARTER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972425" cy="1962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972425" cy="1962150"/>
                    </a:xfrm>
                    <a:prstGeom prst="rect">
                      <a:avLst/>
                    </a:prstGeom>
                  </pic:spPr>
                </pic:pic>
              </a:graphicData>
            </a:graphic>
          </wp:inline>
        </w:drawing>
      </w:r>
      <w:r>
        <w:rPr>
          <w:caps w:val="false"/>
          <w:smallCaps w:val="false"/>
        </w:rPr>
        <w:t> </w:t>
      </w:r>
    </w:p>
    <w:p>
      <w:pPr>
        <w:pStyle w:val="TextBody"/>
        <w:bidi w:val="0"/>
        <w:ind w:left="0" w:right="0" w:hanging="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CONSOLIDATED SECOND QUARTER RESULTS </w:t>
      </w:r>
    </w:p>
    <w:p>
      <w:pPr>
        <w:pStyle w:val="TextBody"/>
        <w:bidi w:val="0"/>
        <w:spacing w:before="0" w:after="0"/>
        <w:ind w:left="0" w:right="0" w:hanging="0"/>
        <w:jc w:val="left"/>
        <w:rPr>
          <w:caps w:val="false"/>
          <w:smallCaps w:val="false"/>
        </w:rPr>
      </w:pPr>
      <w:r>
        <w:rPr>
          <w:caps w:val="false"/>
          <w:smallCaps w:val="false"/>
        </w:rPr>
        <w:t> </w:t>
      </w:r>
    </w:p>
    <w:tbl>
      <w:tblPr>
        <w:tblW w:w="7232" w:type="dxa"/>
        <w:jc w:val="left"/>
        <w:tblInd w:w="0" w:type="dxa"/>
        <w:tblLayout w:type="fixed"/>
        <w:tblCellMar>
          <w:top w:w="0" w:type="dxa"/>
          <w:left w:w="0" w:type="dxa"/>
          <w:bottom w:w="0" w:type="dxa"/>
          <w:right w:w="0" w:type="dxa"/>
        </w:tblCellMar>
      </w:tblPr>
      <w:tblGrid>
        <w:gridCol w:w="3230"/>
        <w:gridCol w:w="60"/>
        <w:gridCol w:w="68"/>
        <w:gridCol w:w="671"/>
        <w:gridCol w:w="60"/>
        <w:gridCol w:w="60"/>
        <w:gridCol w:w="68"/>
        <w:gridCol w:w="671"/>
        <w:gridCol w:w="60"/>
        <w:gridCol w:w="60"/>
        <w:gridCol w:w="60"/>
        <w:gridCol w:w="380"/>
        <w:gridCol w:w="185"/>
        <w:gridCol w:w="60"/>
        <w:gridCol w:w="181"/>
        <w:gridCol w:w="1158"/>
        <w:gridCol w:w="20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Comparable </w:t>
            </w:r>
            <w:r>
              <w:rPr>
                <w:rFonts w:ascii="Times New Roman;Times;Serif" w:hAnsi="Times New Roman;Times;Serif"/>
                <w:b/>
                <w:i w:val="false"/>
                <w:caps w:val="false"/>
                <w:smallCaps w:val="false"/>
                <w:position w:val="7"/>
                <w:sz w:val="16"/>
                <w:sz w:val="20"/>
              </w:rPr>
              <w:t>(1)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Mexican pesos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 EBITDA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Volume</w:t>
      </w:r>
      <w:r>
        <w:rPr>
          <w:rFonts w:ascii="Times New Roman;Times;Serif" w:hAnsi="Times New Roman;Times;Serif"/>
          <w:b w:val="false"/>
          <w:i w:val="false"/>
          <w:caps w:val="false"/>
          <w:smallCaps w:val="false"/>
          <w:sz w:val="20"/>
        </w:rPr>
        <w:t xml:space="preserve"> increased 3.5% to 1,071.8 million-unit cases, driven by volume growth in most of our operations that was partially offset by a decline in Argentina.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revenues </w:t>
      </w:r>
      <w:r>
        <w:rPr>
          <w:rFonts w:ascii="Times New Roman;Times;Serif" w:hAnsi="Times New Roman;Times;Serif"/>
          <w:b w:val="false"/>
          <w:i w:val="false"/>
          <w:caps w:val="false"/>
          <w:smallCaps w:val="false"/>
          <w:sz w:val="20"/>
        </w:rPr>
        <w:t>increased 4.7% to Ps. 76,318 million. This increase was driven mainly by volume growth, coupled with revenue management initiatives, which were partially offset by unfavorable mix and negative translation effects from most our operating currencies into Mexican pesos. Excluding currency translation effects, total revenues increased 6.6%.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profit </w:t>
      </w:r>
      <w:r>
        <w:rPr>
          <w:rFonts w:ascii="Times New Roman;Times;Serif" w:hAnsi="Times New Roman;Times;Serif"/>
          <w:b w:val="false"/>
          <w:i w:val="false"/>
          <w:caps w:val="false"/>
          <w:smallCaps w:val="false"/>
          <w:sz w:val="20"/>
        </w:rPr>
        <w:t>increased 8.8% to Ps. 35,938 million, and gross margin expanded 180 basis points to 47.1%. This expansion was driven mainly by lower sweetener and PET costs supported our raw material hedging initiatives, coupled with the appreciation of most of our operating currencies as applied to our U.S. dollar-denominated raw material costs. These effects were partially offset by higher aluminum costs, coupled with unfavorable mix effects. Excluding currency translation effects, gross profit increased 10.7%.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w:t>
      </w:r>
      <w:r>
        <w:rPr>
          <w:rFonts w:ascii="Times New Roman;Times;Serif" w:hAnsi="Times New Roman;Times;Serif"/>
          <w:b w:val="false"/>
          <w:i w:val="false"/>
          <w:caps w:val="false"/>
          <w:smallCaps w:val="false"/>
          <w:sz w:val="20"/>
        </w:rPr>
        <w:t xml:space="preserve"> increased 9.1% to Ps. 10,654 million, and operating margin expanded 60 basis points to 14.0%. This margin expansion was driven mainly by operating leverage and expense efficiencies such as labor and rent. These effects were partially offset by an increase in freight, marketing, and depreciation. Moreover, we registered a lower operative foreign exchange gain in the quarter as compared to the same period of the previous year. In addition, this quarter we recognized an income of Ps. 265 million, net of expenses, related to insurance claims in Brazil. Excluding currency translation effects, operating income increased 11.1%.</w:t>
      </w:r>
    </w:p>
    <w:p>
      <w:pPr>
        <w:pStyle w:val="TextBody"/>
        <w:bidi w:val="0"/>
        <w:spacing w:before="0" w:after="0"/>
        <w:ind w:left="284"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i/>
                <w:position w:val="7"/>
                <w:sz w:val="16"/>
                <w:sz w:val="20"/>
              </w:rPr>
            </w:pPr>
            <w:r>
              <w:rPr>
                <w:i/>
                <w:position w:val="7"/>
                <w:sz w:val="16"/>
                <w:sz w:val="20"/>
              </w:rPr>
              <w:t>(1)</w:t>
            </w:r>
          </w:p>
        </w:tc>
        <w:tc>
          <w:tcPr>
            <w:tcW w:w="9955" w:type="dxa"/>
            <w:tcBorders/>
            <w:vAlign w:val="center"/>
          </w:tcPr>
          <w:p>
            <w:pPr>
              <w:pStyle w:val="TableContents"/>
              <w:bidi w:val="0"/>
              <w:spacing w:before="0" w:after="283"/>
              <w:jc w:val="both"/>
              <w:rPr>
                <w:i/>
                <w:sz w:val="20"/>
              </w:rPr>
            </w:pPr>
            <w:r>
              <w:rPr>
                <w:i/>
                <w:sz w:val="20"/>
              </w:rPr>
              <w:t xml:space="preserve">Please refer to page 10 for our definition of “comparable” and a description of the factors affecting the comparability of our financial and operating performance. </w:t>
            </w:r>
          </w:p>
        </w:tc>
      </w:tr>
    </w:tbl>
    <w:tbl>
      <w:tblPr>
        <w:tblW w:w="9003" w:type="dxa"/>
        <w:jc w:val="left"/>
        <w:tblInd w:w="0" w:type="dxa"/>
        <w:tblLayout w:type="fixed"/>
        <w:tblCellMar>
          <w:top w:w="0" w:type="dxa"/>
          <w:left w:w="0" w:type="dxa"/>
          <w:bottom w:w="0" w:type="dxa"/>
          <w:right w:w="0" w:type="dxa"/>
        </w:tblCellMar>
      </w:tblPr>
      <w:tblGrid>
        <w:gridCol w:w="38"/>
        <w:gridCol w:w="23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(2)</w:t>
            </w:r>
          </w:p>
        </w:tc>
        <w:tc>
          <w:tcPr>
            <w:tcW w:w="8735" w:type="dxa"/>
            <w:tcBorders/>
            <w:vAlign w:val="center"/>
          </w:tcPr>
          <w:p>
            <w:pPr>
              <w:pStyle w:val="TableContents"/>
              <w:bidi w:val="0"/>
              <w:spacing w:before="0" w:after="283"/>
              <w:jc w:val="both"/>
              <w:rPr>
                <w:i/>
                <w:sz w:val="20"/>
              </w:rPr>
            </w:pPr>
            <w:r>
              <w:rPr>
                <w:i/>
                <w:sz w:val="20"/>
              </w:rPr>
              <w:t>Adjusted EBITDA = operating income + depreciation + amortization &amp; other operating non-cash charges.</w:t>
            </w:r>
          </w:p>
        </w:tc>
      </w:tr>
    </w:tbl>
    <w:p>
      <w:pPr>
        <w:pStyle w:val="TextBody"/>
        <w:bidi w:val="0"/>
        <w:spacing w:before="0" w:after="0"/>
        <w:ind w:left="284"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515"/>
        <w:gridCol w:w="1055"/>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055" w:type="dxa"/>
            <w:tcBorders/>
            <w:vAlign w:val="center"/>
          </w:tcPr>
          <w:p>
            <w:pPr>
              <w:pStyle w:val="TableContents"/>
              <w:bidi w:val="0"/>
              <w:spacing w:before="0" w:after="283"/>
              <w:jc w:val="right"/>
              <w:rPr>
                <w:b/>
                <w:sz w:val="20"/>
              </w:rPr>
            </w:pPr>
            <w:r>
              <w:rPr>
                <w:b/>
                <w:sz w:val="20"/>
              </w:rPr>
              <w:t>Page 4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Comprehensive financing result</w:t>
      </w:r>
      <w:r>
        <w:rPr>
          <w:rFonts w:ascii="Times New Roman;Times;Serif" w:hAnsi="Times New Roman;Times;Serif"/>
          <w:b w:val="false"/>
          <w:i w:val="false"/>
          <w:caps w:val="false"/>
          <w:smallCaps w:val="false"/>
          <w:sz w:val="20"/>
        </w:rPr>
        <w:t xml:space="preserve"> recorded an expense of Ps. 1,331 million, compared to an expense of Ps. 1,189 million in the previous year. This increase was driven mainly by a higher interest expense, net, resulting from the issuance of a new debt during the first quarter of 2026 in Mexican pesos. Moreover, we recorded an increase in interest income because of a higher cash position in key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recorded a lower gain in financial instruments of Ps. 88 million, as compared to a gain of Ps. 154 million recorded in the same period of the previous year. This lower gain was driven mainly by the valuation of matured financial instruments and lower rates in Brazil.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recognized a gain in monetary positions in inflationary subsidiaries related to Argentina for Ps. 74 million as compared to a gain of Ps. 77 million recorded in the same period of the previous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effects were partially offset by a foreign exchange gain of Ps. 96 million in the second quarter of 2026 as compared to a gain of Ps. 55 million in the same period of the previous year. The gain this year was driven mainly by the quarterly appreciation of the Mexican peso as applied to our U.S. dollar-denominated net debt position.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tax </w:t>
      </w:r>
      <w:r>
        <w:rPr>
          <w:rFonts w:ascii="Times New Roman;Times;Serif" w:hAnsi="Times New Roman;Times;Serif"/>
          <w:b w:val="false"/>
          <w:i w:val="false"/>
          <w:caps w:val="false"/>
          <w:smallCaps w:val="false"/>
          <w:sz w:val="20"/>
        </w:rPr>
        <w:t>as a percentage of income before taxes was 30.2% as compared to 36.2% during the same period of 2025. This decrease was driven mainly by non-recurring effects that resulted in higher income tax in the previous year, coupled with higher tax recovery.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attributable to equity holders of the company</w:t>
      </w:r>
      <w:r>
        <w:rPr>
          <w:rFonts w:ascii="Times New Roman;Times;Serif" w:hAnsi="Times New Roman;Times;Serif"/>
          <w:b w:val="false"/>
          <w:i w:val="false"/>
          <w:caps w:val="false"/>
          <w:smallCaps w:val="false"/>
          <w:sz w:val="20"/>
        </w:rPr>
        <w:t xml:space="preserve"> increased 16.9% to reach Ps. 6,211 million. This increase was driven mainly by an increase in our operating income and a lower income tax, partially offset by an increase in our comprehensive financing result. Earnings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were Ps. 0.37 (Earnings per unit were Ps. 2.96 and per ADS were Ps. 29.57.).</w:t>
      </w:r>
    </w:p>
    <w:p>
      <w:pPr>
        <w:pStyle w:val="TextBody"/>
        <w:bidi w:val="0"/>
        <w:spacing w:before="0" w:after="0"/>
        <w:ind w:left="284" w:right="0" w:hanging="0"/>
        <w:jc w:val="both"/>
        <w:rPr>
          <w:caps w:val="false"/>
          <w:smallCaps w:val="false"/>
        </w:rPr>
      </w:pPr>
      <w:r>
        <w:rPr>
          <w:caps w:val="false"/>
          <w:smallCaps w:val="false"/>
        </w:rPr>
        <w:t> </w:t>
      </w:r>
    </w:p>
    <w:p>
      <w:pPr>
        <w:pStyle w:val="TextBody"/>
        <w:bidi w:val="0"/>
        <w:spacing w:before="60" w:after="60"/>
        <w:ind w:left="284"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i/>
                <w:position w:val="7"/>
                <w:sz w:val="16"/>
                <w:sz w:val="20"/>
              </w:rPr>
            </w:pPr>
            <w:r>
              <w:rPr>
                <w:i/>
                <w:position w:val="7"/>
                <w:sz w:val="16"/>
                <w:sz w:val="20"/>
              </w:rPr>
              <w:t>(1)</w:t>
            </w:r>
          </w:p>
        </w:tc>
        <w:tc>
          <w:tcPr>
            <w:tcW w:w="9977" w:type="dxa"/>
            <w:tcBorders/>
            <w:vAlign w:val="center"/>
          </w:tcPr>
          <w:p>
            <w:pPr>
              <w:pStyle w:val="TableContents"/>
              <w:bidi w:val="0"/>
              <w:spacing w:before="0" w:after="283"/>
              <w:jc w:val="both"/>
              <w:rPr>
                <w:i/>
                <w:sz w:val="20"/>
              </w:rPr>
            </w:pPr>
            <w:r>
              <w:rPr>
                <w:i/>
                <w:sz w:val="20"/>
              </w:rPr>
              <w:t>Quarterly earnings / outstanding shares. Earnings per share (EPS) were calculated using 16,806.7 million shares outstanding. For the convenience of the reader, as a KOFUBL Unit is comprised of 8 shares (3 Series B shares and 5 Series L shares), earnings per unit are equal to EPS multiplied by 8. Each ADS represents 10 KOFUBL Units.</w:t>
            </w:r>
          </w:p>
        </w:tc>
      </w:tr>
    </w:tbl>
    <w:p>
      <w:pPr>
        <w:pStyle w:val="TextBody"/>
        <w:bidi w:val="0"/>
        <w:spacing w:before="0" w:after="0"/>
        <w:ind w:left="72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515"/>
        <w:gridCol w:w="1055"/>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055" w:type="dxa"/>
            <w:tcBorders/>
            <w:vAlign w:val="center"/>
          </w:tcPr>
          <w:p>
            <w:pPr>
              <w:pStyle w:val="TableContents"/>
              <w:bidi w:val="0"/>
              <w:spacing w:before="0" w:after="283"/>
              <w:jc w:val="right"/>
              <w:rPr>
                <w:b/>
                <w:sz w:val="20"/>
              </w:rPr>
            </w:pPr>
            <w:r>
              <w:rPr>
                <w:b/>
                <w:sz w:val="20"/>
              </w:rPr>
              <w:t>Page 5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CONSOLIDATED FIRST SIX MONTHS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096250" cy="2057400"/>
                    </a:xfrm>
                    <a:prstGeom prst="rect">
                      <a:avLst/>
                    </a:prstGeom>
                  </pic:spPr>
                </pic:pic>
              </a:graphicData>
            </a:graphic>
          </wp:inline>
        </w:drawing>
      </w:r>
      <w:r>
        <w:rPr>
          <w:caps w:val="false"/>
          <w:smallCaps w:val="false"/>
        </w:rPr>
        <w:t>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CONSOLIDATED FIRST SIX MONTHS RESULTS </w:t>
      </w:r>
    </w:p>
    <w:p>
      <w:pPr>
        <w:pStyle w:val="TextBody"/>
        <w:bidi w:val="0"/>
        <w:spacing w:before="0" w:after="0"/>
        <w:ind w:left="0" w:right="0" w:hanging="0"/>
        <w:jc w:val="left"/>
        <w:rPr>
          <w:caps w:val="false"/>
          <w:smallCaps w:val="false"/>
        </w:rPr>
      </w:pPr>
      <w:r>
        <w:rPr>
          <w:caps w:val="false"/>
          <w:smallCaps w:val="false"/>
        </w:rPr>
        <w:t> </w:t>
      </w:r>
    </w:p>
    <w:tbl>
      <w:tblPr>
        <w:tblW w:w="7427" w:type="dxa"/>
        <w:jc w:val="left"/>
        <w:tblInd w:w="0" w:type="dxa"/>
        <w:tblLayout w:type="fixed"/>
        <w:tblCellMar>
          <w:top w:w="0" w:type="dxa"/>
          <w:left w:w="0" w:type="dxa"/>
          <w:bottom w:w="0" w:type="dxa"/>
          <w:right w:w="0" w:type="dxa"/>
        </w:tblCellMar>
      </w:tblPr>
      <w:tblGrid>
        <w:gridCol w:w="3230"/>
        <w:gridCol w:w="60"/>
        <w:gridCol w:w="70"/>
        <w:gridCol w:w="819"/>
        <w:gridCol w:w="60"/>
        <w:gridCol w:w="60"/>
        <w:gridCol w:w="70"/>
        <w:gridCol w:w="819"/>
        <w:gridCol w:w="60"/>
        <w:gridCol w:w="60"/>
        <w:gridCol w:w="60"/>
        <w:gridCol w:w="275"/>
        <w:gridCol w:w="185"/>
        <w:gridCol w:w="60"/>
        <w:gridCol w:w="181"/>
        <w:gridCol w:w="1158"/>
        <w:gridCol w:w="20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5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Comparable </w:t>
            </w:r>
            <w:r>
              <w:rPr>
                <w:rFonts w:ascii="Times New Roman;Times;Serif" w:hAnsi="Times New Roman;Times;Serif"/>
                <w:b/>
                <w:i w:val="false"/>
                <w:caps w:val="false"/>
                <w:smallCaps w:val="false"/>
                <w:position w:val="7"/>
                <w:sz w:val="16"/>
                <w:sz w:val="20"/>
              </w:rPr>
              <w:t>(1)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Mexican pesos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 EBITDA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Volume</w:t>
      </w:r>
      <w:r>
        <w:rPr>
          <w:rFonts w:ascii="Times New Roman;Times;Serif" w:hAnsi="Times New Roman;Times;Serif"/>
          <w:b w:val="false"/>
          <w:i w:val="false"/>
          <w:caps w:val="false"/>
          <w:smallCaps w:val="false"/>
          <w:sz w:val="20"/>
        </w:rPr>
        <w:t xml:space="preserve"> increased 2.4% to 2,070.2 million-unit cases, driven mainly by volume increases in most of our operations, partially offset by a slight volume decline in Mexico.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revenues </w:t>
      </w:r>
      <w:r>
        <w:rPr>
          <w:rFonts w:ascii="Times New Roman;Times;Serif" w:hAnsi="Times New Roman;Times;Serif"/>
          <w:b w:val="false"/>
          <w:i w:val="false"/>
          <w:caps w:val="false"/>
          <w:smallCaps w:val="false"/>
          <w:sz w:val="20"/>
        </w:rPr>
        <w:t>increased 3.1% to Ps. 147,153 million. This increase was driven mainly by volume growth, partially offset by unfavorable currency translation effects from most of our operating currencies into Mexican pesos and mix effects. Excluding currency translation effects, total revenues increased 8.1%.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profit </w:t>
      </w:r>
      <w:r>
        <w:rPr>
          <w:rFonts w:ascii="Times New Roman;Times;Serif" w:hAnsi="Times New Roman;Times;Serif"/>
          <w:b w:val="false"/>
          <w:i w:val="false"/>
          <w:caps w:val="false"/>
          <w:smallCaps w:val="false"/>
          <w:sz w:val="20"/>
        </w:rPr>
        <w:t>increased 6.9% to Ps. 69,153 million, and gross margin expanded 160 basis points to 47.0%. This performance was driven mainly by lower sweetener costs, top-line growth, raw material hedging initiatives, and the appreciation of most of our operating currencies as applied to our U.S. dollar-denominated raw material costs. Excluding currency translation effects, gross profit increased 11.9%.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w:t>
      </w:r>
      <w:r>
        <w:rPr>
          <w:rFonts w:ascii="Times New Roman;Times;Serif" w:hAnsi="Times New Roman;Times;Serif"/>
          <w:b w:val="false"/>
          <w:i w:val="false"/>
          <w:caps w:val="false"/>
          <w:smallCaps w:val="false"/>
          <w:sz w:val="20"/>
        </w:rPr>
        <w:t xml:space="preserve"> increased 3.6% to Ps. 19,678 million, and operating margin expanded 10 basis points to 13.4%. This margin expansion was driven mainly by higher operating leverage; in addition, we recognized an income related to insurance claims in Brazil and Mexico for a total of Ps. 360 million. These effects were offset by higher marketing, depreciation, freight, and maintenance expenses. Moreover, we registered a lower operative foreign exchange gain in the period as compared to the same period of the previous year. Excluding currency translation effects, operating income increased 8.2%.</w:t>
      </w:r>
    </w:p>
    <w:p>
      <w:pPr>
        <w:pStyle w:val="TextBody"/>
        <w:bidi w:val="0"/>
        <w:spacing w:before="0" w:after="0"/>
        <w:ind w:left="284"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i/>
                <w:position w:val="7"/>
                <w:sz w:val="16"/>
                <w:sz w:val="20"/>
              </w:rPr>
            </w:pPr>
            <w:r>
              <w:rPr>
                <w:i/>
                <w:position w:val="7"/>
                <w:sz w:val="16"/>
                <w:sz w:val="20"/>
              </w:rPr>
              <w:t>(1)</w:t>
            </w:r>
          </w:p>
        </w:tc>
        <w:tc>
          <w:tcPr>
            <w:tcW w:w="9954" w:type="dxa"/>
            <w:tcBorders/>
            <w:vAlign w:val="center"/>
          </w:tcPr>
          <w:p>
            <w:pPr>
              <w:pStyle w:val="TableContents"/>
              <w:bidi w:val="0"/>
              <w:spacing w:before="0" w:after="283"/>
              <w:jc w:val="both"/>
              <w:rPr>
                <w:i/>
                <w:sz w:val="20"/>
              </w:rPr>
            </w:pPr>
            <w:r>
              <w:rPr>
                <w:i/>
                <w:sz w:val="20"/>
              </w:rPr>
              <w:t>Please refer to page 10 for our definition of “comparable” and a description of the factors affecting the comparability of our financial and operating performance.</w:t>
            </w:r>
          </w:p>
        </w:tc>
      </w:tr>
    </w:tbl>
    <w:tbl>
      <w:tblPr>
        <w:tblW w:w="9048" w:type="dxa"/>
        <w:jc w:val="left"/>
        <w:tblInd w:w="0" w:type="dxa"/>
        <w:tblLayout w:type="fixed"/>
        <w:tblCellMar>
          <w:top w:w="0" w:type="dxa"/>
          <w:left w:w="0" w:type="dxa"/>
          <w:bottom w:w="0" w:type="dxa"/>
          <w:right w:w="0" w:type="dxa"/>
        </w:tblCellMar>
      </w:tblPr>
      <w:tblGrid>
        <w:gridCol w:w="38"/>
        <w:gridCol w:w="23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(2)</w:t>
            </w:r>
          </w:p>
        </w:tc>
        <w:tc>
          <w:tcPr>
            <w:tcW w:w="8780" w:type="dxa"/>
            <w:tcBorders/>
            <w:vAlign w:val="center"/>
          </w:tcPr>
          <w:p>
            <w:pPr>
              <w:pStyle w:val="TableContents"/>
              <w:bidi w:val="0"/>
              <w:spacing w:before="0" w:after="283"/>
              <w:jc w:val="both"/>
              <w:rPr>
                <w:i/>
                <w:sz w:val="20"/>
              </w:rPr>
            </w:pPr>
            <w:r>
              <w:rPr>
                <w:i/>
                <w:sz w:val="20"/>
              </w:rPr>
              <w:t xml:space="preserve">Adjusted EBITDA = operating income + depreciation + amortization &amp; other operating non-cash charges. </w:t>
            </w:r>
          </w:p>
        </w:tc>
      </w:tr>
    </w:tbl>
    <w:p>
      <w:pPr>
        <w:pStyle w:val="TextBody"/>
        <w:bidi w:val="0"/>
        <w:spacing w:before="0" w:after="283"/>
        <w:jc w:val="left"/>
        <w:rPr/>
      </w:pPr>
      <w:r>
        <w:rPr/>
        <w:t> </w:t>
      </w:r>
    </w:p>
    <w:tbl>
      <w:tblPr>
        <w:tblW w:w="5020" w:type="dxa"/>
        <w:jc w:val="left"/>
        <w:tblInd w:w="0" w:type="dxa"/>
        <w:tblLayout w:type="fixed"/>
        <w:tblCellMar>
          <w:top w:w="0" w:type="dxa"/>
          <w:left w:w="0" w:type="dxa"/>
          <w:bottom w:w="0" w:type="dxa"/>
          <w:right w:w="0" w:type="dxa"/>
        </w:tblCellMar>
      </w:tblPr>
      <w:tblGrid>
        <w:gridCol w:w="3515"/>
        <w:gridCol w:w="1055"/>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055" w:type="dxa"/>
            <w:tcBorders/>
            <w:vAlign w:val="center"/>
          </w:tcPr>
          <w:p>
            <w:pPr>
              <w:pStyle w:val="TableContents"/>
              <w:bidi w:val="0"/>
              <w:spacing w:before="0" w:after="283"/>
              <w:jc w:val="right"/>
              <w:rPr>
                <w:b/>
                <w:sz w:val="20"/>
              </w:rPr>
            </w:pPr>
            <w:r>
              <w:rPr>
                <w:b/>
                <w:sz w:val="20"/>
              </w:rPr>
              <w:t>Page 6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Comprehensive financing result</w:t>
      </w:r>
      <w:r>
        <w:rPr>
          <w:rFonts w:ascii="Times New Roman;Times;Serif" w:hAnsi="Times New Roman;Times;Serif"/>
          <w:b w:val="false"/>
          <w:i w:val="false"/>
          <w:caps w:val="false"/>
          <w:smallCaps w:val="false"/>
          <w:sz w:val="20"/>
        </w:rPr>
        <w:t xml:space="preserve"> recorded an expense of Ps. 3,083 million, compared to an expense of Ps. 2,308 million in the same period of the previous year. This increase was driven mainly by a higher interest expense, net, of Ps. 3,159 million as compared to Ps. 2,749 million in the same period of the previous year resulting from higher interest expense, driven mainly by new debt issued during the second quarter of 2025 and the first quarter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recorded a loss in financial instruments of Ps. 79 million as compared to a gain of Ps. 288 million in the same period of the previous year, resulting from the market value of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effects were partially offset by a higher gain in monetary positions in inflationary subsidiaries related to Argentina for Ps. 175 million as compared to a gain of Ps. 154 million in the same period of the previous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tax </w:t>
      </w:r>
      <w:r>
        <w:rPr>
          <w:rFonts w:ascii="Times New Roman;Times;Serif" w:hAnsi="Times New Roman;Times;Serif"/>
          <w:b w:val="false"/>
          <w:i w:val="false"/>
          <w:caps w:val="false"/>
          <w:smallCaps w:val="false"/>
          <w:sz w:val="20"/>
        </w:rPr>
        <w:t>as a percentage of income before taxes was 33.1% as compared to 34.8% during the same period of 2025. This decrease was driven mainly by non-recurring effects that resulted in higher income tax in the previous year, coupled with higher tax recovery.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attributable to equity holders of the company</w:t>
      </w:r>
      <w:r>
        <w:rPr>
          <w:rFonts w:ascii="Times New Roman;Times;Serif" w:hAnsi="Times New Roman;Times;Serif"/>
          <w:b w:val="false"/>
          <w:i w:val="false"/>
          <w:caps w:val="false"/>
          <w:smallCaps w:val="false"/>
          <w:sz w:val="20"/>
        </w:rPr>
        <w:t xml:space="preserve"> was Ps. 10,553 million as compared to Ps 10,450 million during the same period of the previous year. This increase was driven mainly by an increase in our operating income, partially offset by a higher comprehensive financing result. Earnings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were Ps. 0.63 (Earnings per unit were Ps. 5.02 and per ADS were Ps. 50.23.).</w:t>
      </w:r>
    </w:p>
    <w:p>
      <w:pPr>
        <w:pStyle w:val="TextBody"/>
        <w:bidi w:val="0"/>
        <w:spacing w:before="0" w:after="0"/>
        <w:ind w:left="0" w:right="0" w:hanging="0"/>
        <w:jc w:val="left"/>
        <w:rPr>
          <w:caps/>
        </w:rPr>
      </w:pPr>
      <w:r>
        <w:rPr>
          <w:caps/>
        </w:rPr>
        <w:t> </w:t>
      </w:r>
    </w:p>
    <w:tbl>
      <w:tblPr>
        <w:tblW w:w="5020" w:type="dxa"/>
        <w:jc w:val="left"/>
        <w:tblInd w:w="0" w:type="dxa"/>
        <w:tblLayout w:type="fixed"/>
        <w:tblCellMar>
          <w:top w:w="0" w:type="dxa"/>
          <w:left w:w="0" w:type="dxa"/>
          <w:bottom w:w="0" w:type="dxa"/>
          <w:right w:w="0" w:type="dxa"/>
        </w:tblCellMar>
      </w:tblPr>
      <w:tblGrid>
        <w:gridCol w:w="3515"/>
        <w:gridCol w:w="1055"/>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055" w:type="dxa"/>
            <w:tcBorders/>
            <w:vAlign w:val="center"/>
          </w:tcPr>
          <w:p>
            <w:pPr>
              <w:pStyle w:val="TableContents"/>
              <w:bidi w:val="0"/>
              <w:spacing w:before="0" w:after="283"/>
              <w:jc w:val="right"/>
              <w:rPr>
                <w:b/>
                <w:sz w:val="20"/>
              </w:rPr>
            </w:pPr>
            <w:r>
              <w:rPr>
                <w:b/>
                <w:sz w:val="20"/>
              </w:rPr>
              <w:t>Page 7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MEXICO &amp; CENTRAL AMERICA DIVISION SECOND QUARTER RESULTS</w:t>
      </w:r>
    </w:p>
    <w:p>
      <w:pPr>
        <w:pStyle w:val="TextBody"/>
        <w:bidi w:val="0"/>
        <w:spacing w:before="0" w:after="0"/>
        <w:ind w:left="0" w:right="0" w:hanging="0"/>
        <w:jc w:val="left"/>
        <w:rPr>
          <w:caps w:val="false"/>
          <w:smallCaps w:val="false"/>
        </w:rPr>
      </w:pPr>
      <w:r>
        <w:rPr>
          <w:caps w:val="false"/>
          <w:smallCaps w:val="false"/>
        </w:rPr>
        <w:t> </w:t>
      </w:r>
    </w:p>
    <w:tbl>
      <w:tblPr>
        <w:tblW w:w="7640" w:type="dxa"/>
        <w:jc w:val="left"/>
        <w:tblInd w:w="0" w:type="dxa"/>
        <w:tblLayout w:type="fixed"/>
        <w:tblCellMar>
          <w:top w:w="0" w:type="dxa"/>
          <w:left w:w="0" w:type="dxa"/>
          <w:bottom w:w="0" w:type="dxa"/>
          <w:right w:w="0" w:type="dxa"/>
        </w:tblCellMar>
      </w:tblPr>
      <w:tblGrid>
        <w:gridCol w:w="4700"/>
        <w:gridCol w:w="2940"/>
      </w:tblGrid>
      <w:tr>
        <w:trPr/>
        <w:tc>
          <w:tcPr>
            <w:tcW w:w="4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 Guatemala, Costa Rica, Panama, and Nicaragua)</w:t>
            </w:r>
          </w:p>
        </w:tc>
        <w:tc>
          <w:tcPr>
            <w:tcW w:w="2940" w:type="dxa"/>
            <w:tcBorders/>
            <w:vAlign w:val="center"/>
          </w:tcPr>
          <w:p>
            <w:pPr>
              <w:pStyle w:val="TableContents"/>
              <w:bidi w:val="0"/>
              <w:spacing w:before="0" w:after="283"/>
              <w:jc w:val="right"/>
              <w:rPr/>
            </w:pPr>
            <w:r>
              <w:rPr/>
              <w:drawing>
                <wp:inline distT="0" distB="0" distL="0" distR="0">
                  <wp:extent cx="1819275" cy="3238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819275" cy="323850"/>
                          </a:xfrm>
                          <a:prstGeom prst="rect">
                            <a:avLst/>
                          </a:prstGeom>
                        </pic:spPr>
                      </pic:pic>
                    </a:graphicData>
                  </a:graphic>
                </wp:inline>
              </w:drawing>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1419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096250" cy="1419225"/>
                    </a:xfrm>
                    <a:prstGeom prst="rect">
                      <a:avLst/>
                    </a:prstGeom>
                  </pic:spPr>
                </pic:pic>
              </a:graphicData>
            </a:graphic>
          </wp:inline>
        </w:drawing>
      </w: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MEXICO &amp; CENTRAL AMERICA DIVISION RESULTS </w:t>
      </w:r>
    </w:p>
    <w:p>
      <w:pPr>
        <w:pStyle w:val="TextBody"/>
        <w:bidi w:val="0"/>
        <w:spacing w:before="0" w:after="0"/>
        <w:ind w:left="0" w:right="0" w:hanging="0"/>
        <w:jc w:val="left"/>
        <w:rPr>
          <w:caps w:val="false"/>
          <w:smallCaps w:val="false"/>
        </w:rPr>
      </w:pPr>
      <w:r>
        <w:rPr>
          <w:caps w:val="false"/>
          <w:smallCaps w:val="false"/>
        </w:rPr>
        <w:t> </w:t>
      </w:r>
    </w:p>
    <w:tbl>
      <w:tblPr>
        <w:tblW w:w="7307" w:type="dxa"/>
        <w:jc w:val="left"/>
        <w:tblInd w:w="0" w:type="dxa"/>
        <w:tblLayout w:type="fixed"/>
        <w:tblCellMar>
          <w:top w:w="0" w:type="dxa"/>
          <w:left w:w="0" w:type="dxa"/>
          <w:bottom w:w="0" w:type="dxa"/>
          <w:right w:w="0" w:type="dxa"/>
        </w:tblCellMar>
      </w:tblPr>
      <w:tblGrid>
        <w:gridCol w:w="3230"/>
        <w:gridCol w:w="60"/>
        <w:gridCol w:w="68"/>
        <w:gridCol w:w="671"/>
        <w:gridCol w:w="60"/>
        <w:gridCol w:w="60"/>
        <w:gridCol w:w="68"/>
        <w:gridCol w:w="671"/>
        <w:gridCol w:w="60"/>
        <w:gridCol w:w="60"/>
        <w:gridCol w:w="60"/>
        <w:gridCol w:w="335"/>
        <w:gridCol w:w="245"/>
        <w:gridCol w:w="60"/>
        <w:gridCol w:w="202"/>
        <w:gridCol w:w="1137"/>
        <w:gridCol w:w="26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Comparable </w:t>
            </w:r>
            <w:r>
              <w:rPr>
                <w:rFonts w:ascii="Times New Roman;Times;Serif" w:hAnsi="Times New Roman;Times;Serif"/>
                <w:b/>
                <w:i w:val="false"/>
                <w:caps w:val="false"/>
                <w:smallCaps w:val="false"/>
                <w:position w:val="7"/>
                <w:sz w:val="16"/>
                <w:sz w:val="20"/>
              </w:rPr>
              <w:t>(1)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Mexican pesos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 EBITDA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Volume</w:t>
      </w:r>
      <w:r>
        <w:rPr>
          <w:rFonts w:ascii="Times New Roman;Times;Serif" w:hAnsi="Times New Roman;Times;Serif"/>
          <w:b w:val="false"/>
          <w:i w:val="false"/>
          <w:caps w:val="false"/>
          <w:smallCaps w:val="false"/>
          <w:sz w:val="20"/>
        </w:rPr>
        <w:t xml:space="preserve"> increased 1.4% to 645.9 million-unit cases, driven by volume growth in all our territories in the division.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increased 0.3% to Ps. 45,450 million. This performance was driven mainly by volume increases, partially offset by unfavorable mix and currency translation effects from all our operating currencies in the division into Mexican pesos. Excluding currency translation effects, total revenues increased 2.0%.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increased 3.9% to Ps. 22,241 million, and gross margin expanded 170 basis points to 48.9%. This margin expansion was driven mainly by lower sweetener and PET costs as compared to the previous year, coupled with the appreciation of all the currencies in the division as applied to our U.S. dollar-denominated raw material costs. These effects were partially offset by unfavorable mix effects. Excluding currency translation, gross profit increased 5.6%.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w:t>
      </w:r>
      <w:r>
        <w:rPr>
          <w:rFonts w:ascii="Times New Roman;Times;Serif" w:hAnsi="Times New Roman;Times;Serif"/>
          <w:b w:val="false"/>
          <w:i w:val="false"/>
          <w:caps w:val="false"/>
          <w:smallCaps w:val="false"/>
          <w:sz w:val="20"/>
        </w:rPr>
        <w:t xml:space="preserve"> decreased 7.0% to Ps. 6,351 million, and operating margin contracted 110 basis points to 14.0%. This operating margin contraction was driven mainly by a lower operating leverage as total operating expenses increased 9.1%, outpacing revenue growth. The increase in operating expenses was driven mainly by marketing and freight expenses. In addition, this year we reported a lower operating foreign exchange gain as compared with the same period of the previous year. These effects were partially offset by labor expense efficiencies. Excluding currency translation effects, operating income decreased 5.4%.</w:t>
      </w:r>
    </w:p>
    <w:p>
      <w:pPr>
        <w:pStyle w:val="TextBody"/>
        <w:bidi w:val="0"/>
        <w:spacing w:before="0" w:after="0"/>
        <w:ind w:left="284" w:right="0" w:hanging="0"/>
        <w:jc w:val="both"/>
        <w:rPr>
          <w:caps w:val="false"/>
          <w:smallCaps w:val="false"/>
        </w:rPr>
      </w:pPr>
      <w:r>
        <w:rPr>
          <w:caps w:val="false"/>
          <w:smallCaps w:val="false"/>
        </w:rPr>
        <w:t> </w:t>
      </w:r>
    </w:p>
    <w:p>
      <w:pPr>
        <w:pStyle w:val="TextBody"/>
        <w:bidi w:val="0"/>
        <w:ind w:left="284"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i/>
                <w:position w:val="7"/>
                <w:sz w:val="16"/>
                <w:sz w:val="20"/>
              </w:rPr>
            </w:pPr>
            <w:r>
              <w:rPr>
                <w:i/>
                <w:position w:val="7"/>
                <w:sz w:val="16"/>
                <w:sz w:val="20"/>
              </w:rPr>
              <w:t>(1)</w:t>
            </w:r>
          </w:p>
        </w:tc>
        <w:tc>
          <w:tcPr>
            <w:tcW w:w="9955" w:type="dxa"/>
            <w:tcBorders/>
            <w:vAlign w:val="center"/>
          </w:tcPr>
          <w:p>
            <w:pPr>
              <w:pStyle w:val="TableContents"/>
              <w:bidi w:val="0"/>
              <w:spacing w:before="0" w:after="283"/>
              <w:jc w:val="both"/>
              <w:rPr>
                <w:i/>
                <w:sz w:val="20"/>
              </w:rPr>
            </w:pPr>
            <w:r>
              <w:rPr>
                <w:i/>
                <w:sz w:val="20"/>
              </w:rPr>
              <w:t xml:space="preserve">Please refer to page 10 for our definition of “comparable” and a description of the factors affecting the comparability of our financial and operating performance. </w:t>
            </w:r>
          </w:p>
        </w:tc>
      </w:tr>
    </w:tbl>
    <w:tbl>
      <w:tblPr>
        <w:tblW w:w="9003" w:type="dxa"/>
        <w:jc w:val="left"/>
        <w:tblInd w:w="0" w:type="dxa"/>
        <w:tblLayout w:type="fixed"/>
        <w:tblCellMar>
          <w:top w:w="0" w:type="dxa"/>
          <w:left w:w="0" w:type="dxa"/>
          <w:bottom w:w="0" w:type="dxa"/>
          <w:right w:w="0" w:type="dxa"/>
        </w:tblCellMar>
      </w:tblPr>
      <w:tblGrid>
        <w:gridCol w:w="38"/>
        <w:gridCol w:w="23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(2)</w:t>
            </w:r>
          </w:p>
        </w:tc>
        <w:tc>
          <w:tcPr>
            <w:tcW w:w="8735" w:type="dxa"/>
            <w:tcBorders/>
            <w:vAlign w:val="center"/>
          </w:tcPr>
          <w:p>
            <w:pPr>
              <w:pStyle w:val="TableContents"/>
              <w:bidi w:val="0"/>
              <w:spacing w:before="0" w:after="283"/>
              <w:jc w:val="both"/>
              <w:rPr>
                <w:i/>
                <w:sz w:val="20"/>
              </w:rPr>
            </w:pPr>
            <w:r>
              <w:rPr>
                <w:i/>
                <w:sz w:val="20"/>
              </w:rPr>
              <w:t>Adjusted EBITDA = operating income + depreciation + amortization &amp; other operating non-cash charges.</w:t>
            </w:r>
          </w:p>
        </w:tc>
      </w:tr>
    </w:tbl>
    <w:p>
      <w:pPr>
        <w:pStyle w:val="TextBody"/>
        <w:bidi w:val="0"/>
        <w:spacing w:before="0" w:after="0"/>
        <w:ind w:left="284"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515"/>
        <w:gridCol w:w="1055"/>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055" w:type="dxa"/>
            <w:tcBorders/>
            <w:vAlign w:val="center"/>
          </w:tcPr>
          <w:p>
            <w:pPr>
              <w:pStyle w:val="TableContents"/>
              <w:bidi w:val="0"/>
              <w:spacing w:before="0" w:after="283"/>
              <w:jc w:val="right"/>
              <w:rPr>
                <w:b/>
                <w:sz w:val="20"/>
              </w:rPr>
            </w:pPr>
            <w:r>
              <w:rPr>
                <w:b/>
                <w:sz w:val="20"/>
              </w:rPr>
              <w:t>Page 8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SOUTH AMERICA DIVISION SECOND QUARTER RESULTS </w:t>
      </w:r>
    </w:p>
    <w:p>
      <w:pPr>
        <w:pStyle w:val="TextBody"/>
        <w:bidi w:val="0"/>
        <w:spacing w:before="0" w:after="0"/>
        <w:ind w:left="0" w:right="0" w:hanging="0"/>
        <w:jc w:val="both"/>
        <w:rPr>
          <w:caps w:val="false"/>
          <w:smallCaps w:val="false"/>
        </w:rPr>
      </w:pPr>
      <w:r>
        <w:rPr>
          <w:caps w:val="false"/>
          <w:smallCaps w:val="false"/>
        </w:rPr>
        <w:t> </w:t>
      </w:r>
    </w:p>
    <w:tbl>
      <w:tblPr>
        <w:tblW w:w="6035" w:type="dxa"/>
        <w:jc w:val="left"/>
        <w:tblInd w:w="0" w:type="dxa"/>
        <w:tblLayout w:type="fixed"/>
        <w:tblCellMar>
          <w:top w:w="0" w:type="dxa"/>
          <w:left w:w="0" w:type="dxa"/>
          <w:bottom w:w="0" w:type="dxa"/>
          <w:right w:w="0" w:type="dxa"/>
        </w:tblCellMar>
      </w:tblPr>
      <w:tblGrid>
        <w:gridCol w:w="3590"/>
        <w:gridCol w:w="2445"/>
      </w:tblGrid>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 Argentina, Colombia, and Uruguay)</w:t>
            </w:r>
          </w:p>
        </w:tc>
        <w:tc>
          <w:tcPr>
            <w:tcW w:w="2445" w:type="dxa"/>
            <w:tcBorders/>
            <w:vAlign w:val="center"/>
          </w:tcPr>
          <w:p>
            <w:pPr>
              <w:pStyle w:val="TableContents"/>
              <w:bidi w:val="0"/>
              <w:spacing w:before="0" w:after="283"/>
              <w:jc w:val="right"/>
              <w:rPr/>
            </w:pPr>
            <w:r>
              <w:rPr/>
              <w:drawing>
                <wp:inline distT="0" distB="0" distL="0" distR="0">
                  <wp:extent cx="1504950" cy="361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504950" cy="361950"/>
                          </a:xfrm>
                          <a:prstGeom prst="rect">
                            <a:avLst/>
                          </a:prstGeom>
                        </pic:spPr>
                      </pic:pic>
                    </a:graphicData>
                  </a:graphic>
                </wp:inline>
              </w:drawing>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1990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096250" cy="19907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rPr>
      </w:pPr>
      <w:r>
        <w:rPr>
          <w:rFonts w:ascii="Times New Roman;Times;Serif" w:hAnsi="Times New Roman;Times;Serif"/>
          <w:b/>
        </w:rPr>
        <w:t xml:space="preserve">SOUTH AMERICA DIVISION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32" w:type="dxa"/>
        <w:jc w:val="left"/>
        <w:tblInd w:w="0" w:type="dxa"/>
        <w:tblLayout w:type="fixed"/>
        <w:tblCellMar>
          <w:top w:w="0" w:type="dxa"/>
          <w:left w:w="0" w:type="dxa"/>
          <w:bottom w:w="0" w:type="dxa"/>
          <w:right w:w="0" w:type="dxa"/>
        </w:tblCellMar>
      </w:tblPr>
      <w:tblGrid>
        <w:gridCol w:w="3230"/>
        <w:gridCol w:w="60"/>
        <w:gridCol w:w="68"/>
        <w:gridCol w:w="671"/>
        <w:gridCol w:w="60"/>
        <w:gridCol w:w="60"/>
        <w:gridCol w:w="68"/>
        <w:gridCol w:w="671"/>
        <w:gridCol w:w="60"/>
        <w:gridCol w:w="60"/>
        <w:gridCol w:w="60"/>
        <w:gridCol w:w="380"/>
        <w:gridCol w:w="185"/>
        <w:gridCol w:w="60"/>
        <w:gridCol w:w="181"/>
        <w:gridCol w:w="1158"/>
        <w:gridCol w:w="20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Comparable </w:t>
            </w:r>
            <w:r>
              <w:rPr>
                <w:rFonts w:ascii="Times New Roman;Times;Serif" w:hAnsi="Times New Roman;Times;Serif"/>
                <w:b/>
                <w:i w:val="false"/>
                <w:caps w:val="false"/>
                <w:smallCaps w:val="false"/>
                <w:position w:val="7"/>
                <w:sz w:val="16"/>
                <w:sz w:val="20"/>
              </w:rPr>
              <w:t>(1)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Mexican pesos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2Q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Δ%</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 EBITDA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Volume</w:t>
      </w:r>
      <w:r>
        <w:rPr>
          <w:rFonts w:ascii="Times New Roman;Times;Serif" w:hAnsi="Times New Roman;Times;Serif"/>
          <w:b w:val="false"/>
          <w:i w:val="false"/>
          <w:caps w:val="false"/>
          <w:smallCaps w:val="false"/>
          <w:sz w:val="20"/>
        </w:rPr>
        <w:t xml:space="preserve"> increased 6.9% to 425.9 million-unit cases, driven by volume growth of 17.7% in Colombia and 5.2% in Brazil, partially offset by a volume decline in 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increased 11.8% to Ps. 30,868 million. This increase was driven mainly by volume growth, revenue management initiatives, and favorable mix effects, partially offset by an unfavorable currency translation effect from most of our operating currencies in the division into Mexican pesos. Excluding currency translation effects, total revenues increased 14.1%.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increased 17.7% to Ps. 13,697 million, and gross margin expanded 220 basis points to 44.4%. This expansion was driven mainly by lower sweetener and PET costs as compared to the previous year, coupled with the appreciation of most of our operating currencies as applied to our U.S. dollar-denominated raw material costs. These effects were partially offset by higher aluminum and secondary packaging costs. Excluding currency translation effects, gross profit increased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w:t>
      </w:r>
      <w:r>
        <w:rPr>
          <w:rFonts w:ascii="Times New Roman;Times;Serif" w:hAnsi="Times New Roman;Times;Serif"/>
          <w:b w:val="false"/>
          <w:i w:val="false"/>
          <w:caps w:val="false"/>
          <w:smallCaps w:val="false"/>
          <w:sz w:val="20"/>
        </w:rPr>
        <w:t xml:space="preserve"> increased 46.5% to Ps. 4,303 million, resulting in an operating margin expansion of 330 basis points to 13.9%. Our operating income includes the recognition of insurance claims in Brazil, net of expenses, for Ps. 265 million. This operating margin increase was driven mainly by operating leverage and operating expense efficiencies such as labor and rentals. These effects were partially offset by higher expenses such as marketing and freight. Excluding currency translation effects, operating income increased 49.4%.</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i/>
                <w:position w:val="7"/>
                <w:sz w:val="16"/>
                <w:sz w:val="20"/>
              </w:rPr>
            </w:pPr>
            <w:r>
              <w:rPr>
                <w:i/>
                <w:position w:val="7"/>
                <w:sz w:val="16"/>
                <w:sz w:val="20"/>
              </w:rPr>
              <w:t>(1)</w:t>
            </w:r>
          </w:p>
        </w:tc>
        <w:tc>
          <w:tcPr>
            <w:tcW w:w="9978" w:type="dxa"/>
            <w:tcBorders/>
            <w:vAlign w:val="center"/>
          </w:tcPr>
          <w:p>
            <w:pPr>
              <w:pStyle w:val="TableContents"/>
              <w:bidi w:val="0"/>
              <w:spacing w:before="0" w:after="283"/>
              <w:jc w:val="both"/>
              <w:rPr>
                <w:i/>
                <w:sz w:val="20"/>
              </w:rPr>
            </w:pPr>
            <w:r>
              <w:rPr>
                <w:i/>
                <w:sz w:val="20"/>
              </w:rPr>
              <w:t xml:space="preserve">Please refer to page 10 for our definition of “comparable” and a description of the factors affecting the comparability of our financial and operating performance. </w:t>
            </w:r>
          </w:p>
        </w:tc>
      </w:tr>
    </w:tbl>
    <w:tbl>
      <w:tblPr>
        <w:tblW w:w="9025" w:type="dxa"/>
        <w:jc w:val="left"/>
        <w:tblInd w:w="0" w:type="dxa"/>
        <w:tblLayout w:type="fixed"/>
        <w:tblCellMar>
          <w:top w:w="0" w:type="dxa"/>
          <w:left w:w="0" w:type="dxa"/>
          <w:bottom w:w="0" w:type="dxa"/>
          <w:right w:w="0" w:type="dxa"/>
        </w:tblCellMar>
      </w:tblPr>
      <w:tblGrid>
        <w:gridCol w:w="245"/>
        <w:gridCol w:w="8780"/>
      </w:tblGrid>
      <w:tr>
        <w:trPr/>
        <w:tc>
          <w:tcPr>
            <w:tcW w:w="245" w:type="dxa"/>
            <w:tcBorders/>
            <w:vAlign w:val="center"/>
          </w:tcPr>
          <w:p>
            <w:pPr>
              <w:pStyle w:val="TableContents"/>
              <w:bidi w:val="0"/>
              <w:spacing w:before="0" w:after="283"/>
              <w:jc w:val="left"/>
              <w:rPr>
                <w:i/>
                <w:position w:val="7"/>
                <w:sz w:val="16"/>
                <w:sz w:val="20"/>
              </w:rPr>
            </w:pPr>
            <w:r>
              <w:rPr>
                <w:i/>
                <w:position w:val="7"/>
                <w:sz w:val="16"/>
                <w:sz w:val="20"/>
              </w:rPr>
              <w:t>(2)</w:t>
            </w:r>
          </w:p>
        </w:tc>
        <w:tc>
          <w:tcPr>
            <w:tcW w:w="8780" w:type="dxa"/>
            <w:tcBorders/>
            <w:vAlign w:val="center"/>
          </w:tcPr>
          <w:p>
            <w:pPr>
              <w:pStyle w:val="TableContents"/>
              <w:bidi w:val="0"/>
              <w:spacing w:before="0" w:after="283"/>
              <w:jc w:val="both"/>
              <w:rPr>
                <w:i/>
                <w:sz w:val="20"/>
              </w:rPr>
            </w:pPr>
            <w:r>
              <w:rPr>
                <w:i/>
                <w:sz w:val="20"/>
              </w:rPr>
              <w:t xml:space="preserve">Adjusted EBITDA = operating income + depreciation + amortization &amp; other operating non-cash charges. </w:t>
            </w:r>
          </w:p>
        </w:tc>
      </w:tr>
    </w:tbl>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515"/>
        <w:gridCol w:w="1055"/>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055" w:type="dxa"/>
            <w:tcBorders/>
            <w:vAlign w:val="center"/>
          </w:tcPr>
          <w:p>
            <w:pPr>
              <w:pStyle w:val="TableContents"/>
              <w:bidi w:val="0"/>
              <w:spacing w:before="0" w:after="283"/>
              <w:jc w:val="right"/>
              <w:rPr>
                <w:b/>
                <w:sz w:val="20"/>
              </w:rPr>
            </w:pPr>
            <w:r>
              <w:rPr>
                <w:b/>
                <w:sz w:val="20"/>
              </w:rPr>
              <w:t>Page 9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Volume</w:t>
      </w:r>
      <w:r>
        <w:rPr>
          <w:rFonts w:ascii="Times New Roman;Times;Serif" w:hAnsi="Times New Roman;Times;Serif"/>
          <w:b w:val="false"/>
          <w:i w:val="false"/>
          <w:caps w:val="false"/>
          <w:smallCaps w:val="false"/>
          <w:sz w:val="20"/>
        </w:rPr>
        <w:t xml:space="preserve"> is expressed in unit cases. Unit case refers to 192 ounces of finished beverage product (24 eight-ounce servings) and, when applied to soda fountains, refers to the volume of syrup, powders, and concentrate that is required to produce 192 ounces of finished beverage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xml:space="preserve"> refer to the number of single units (e.g., a can or a bottle) sold, regardless of their size or volume or whether they are sold individually or in multipacks, except for soda fountains, which represent multiple transactions based on a standard 12 oz. serving.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w:t>
      </w:r>
      <w:r>
        <w:rPr>
          <w:rFonts w:ascii="Times New Roman;Times;Serif" w:hAnsi="Times New Roman;Times;Serif"/>
          <w:b w:val="false"/>
          <w:i w:val="false"/>
          <w:caps w:val="false"/>
          <w:smallCaps w:val="false"/>
          <w:sz w:val="20"/>
        </w:rPr>
        <w:t xml:space="preserve"> is a non-GAAP financial measure computed as “gross profit – operating expenses – other operating expenses, net + operative equity method (gain) loss in associates.”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w:t>
      </w:r>
      <w:r>
        <w:rPr>
          <w:rFonts w:ascii="Times New Roman;Times;Serif" w:hAnsi="Times New Roman;Times;Serif"/>
          <w:b w:val="false"/>
          <w:i w:val="false"/>
          <w:caps w:val="false"/>
          <w:smallCaps w:val="false"/>
          <w:sz w:val="20"/>
        </w:rPr>
        <w:t xml:space="preserve"> is a non-GAAP financial measure computed as “operating income + depreciation + amortization &amp; other operating non-cash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Earnings per share</w:t>
      </w:r>
      <w:r>
        <w:rPr>
          <w:rFonts w:ascii="Times New Roman;Times;Serif" w:hAnsi="Times New Roman;Times;Serif"/>
          <w:b w:val="false"/>
          <w:i w:val="false"/>
          <w:caps w:val="false"/>
          <w:smallCaps w:val="false"/>
          <w:sz w:val="20"/>
        </w:rPr>
        <w:t xml:space="preserve"> are equal to “quarterly earnings / shares outstanding.” Earnings per share (EPS) calculated using 16,806,658,096 shares outstanding. For the convenience of the reader, as a KOFUBL Unit is comprised of 8 shares (3 Series B shares and 5 Series L shares), earnings per unit are equal to EPS multiplied by 8. Each ADS represents 10 KOFUBL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COMPARABILITY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“comparable” term means, with respect to a year-over-year comparison, the change of a given measure excluding translation effects resulting from exchange rate movements. In preparing this measure, management has used its best judgment, estimates, and assumptions to maintain comparability.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average depreciation of the Argentine peso and most of the operating currencies relative to the Mexican peso in the second quarter of 2026, as compared to the same period of 2025, we had an unfavorable currency translation effect into Mexican pesos. Please see page 17 for exchange rate fluctuations.</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515"/>
        <w:gridCol w:w="1160"/>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160" w:type="dxa"/>
            <w:tcBorders/>
            <w:vAlign w:val="center"/>
          </w:tcPr>
          <w:p>
            <w:pPr>
              <w:pStyle w:val="TableContents"/>
              <w:bidi w:val="0"/>
              <w:spacing w:before="0" w:after="283"/>
              <w:jc w:val="right"/>
              <w:rPr>
                <w:b/>
                <w:sz w:val="20"/>
              </w:rPr>
            </w:pPr>
            <w:r>
              <w:rPr>
                <w:b/>
                <w:sz w:val="20"/>
              </w:rPr>
              <w:t>Page 10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ABOUT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listing information: Mexican Stock Exchange, Ticker: KOFUBL | NYSE (ADS), Ticker: KOF | Ratio of KOFUBL to KOF =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Coca-Cola FEMSA files reports, including annual reports and other information, with the U.S. Securities and Exchange Commission, or the “SEC”, and the Mexican Stock Exchange (Bolsa Mexicana de Valores, or the “BMV”) pursuant to the rules and regulations of the SEC (that apply to foreign private issuers) and of the BMV. Filings we make electronically with the SEC and the BMV are available to the public on the Internet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the BMV’s website at </w:t>
      </w:r>
      <w:r>
        <w:rPr>
          <w:rFonts w:ascii="Times New Roman;Times;Serif" w:hAnsi="Times New Roman;Times;Serif"/>
          <w:b w:val="false"/>
          <w:i w:val="false"/>
          <w:caps w:val="false"/>
          <w:smallCaps w:val="false"/>
          <w:sz w:val="20"/>
          <w:u w:val="single"/>
        </w:rPr>
        <w:t>www.bmv.com.mx</w:t>
      </w:r>
      <w:r>
        <w:rPr>
          <w:rFonts w:ascii="Times New Roman;Times;Serif" w:hAnsi="Times New Roman;Times;Serif"/>
          <w:b w:val="false"/>
          <w:i w:val="false"/>
          <w:caps w:val="false"/>
          <w:smallCaps w:val="false"/>
          <w:sz w:val="20"/>
        </w:rPr>
        <w:t xml:space="preserve">, and our website at </w:t>
      </w:r>
      <w:r>
        <w:rPr>
          <w:rFonts w:ascii="Times New Roman;Times;Serif" w:hAnsi="Times New Roman;Times;Serif"/>
          <w:b w:val="false"/>
          <w:i w:val="false"/>
          <w:caps w:val="false"/>
          <w:smallCaps w:val="false"/>
          <w:sz w:val="20"/>
          <w:u w:val="single"/>
        </w:rPr>
        <w:t>www.coca-colafemsa.com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Coca-Cola FEMSA, S.A.B. de C.V. is the largest Coca-Cola franchise bottler in the world by sales volume. The Company produces and distributes trademark beverages of The Coca-Cola Company, offering a wide portfolio to more than 268 million consumers. With over 90,000 employees, the Company markets and sells approximately 4.2-billion-unit cases through more than 2.1 million points of sale a year. Operating 55 manufacturing plants and 256 distribution centers, Coca-Cola FEMSA is committed to generating economic, social, and environmental value for all its stakeholders across the value chain. The Company is a member of the Dow Jones Best-In-Class World Index, Dow Jones Best-In-Class MILA Pacific Alliance Index, FTSE4Good Emerging Index, S&amp;P/BMV Total Mexico ESG Index, and the MSCI ACWI Index. Its operations encompass certain territories in Mexico, Brazil, Guatemala, Colombia, and Argentina and, nationwide, in Costa Rica, Nicaragua, Panama, Uruguay and, in Venezuela, through an investment in Coca-Cola FEMSA de Venezuela, S.A. For further information, please visit </w:t>
      </w:r>
      <w:r>
        <w:rPr>
          <w:rFonts w:ascii="Times New Roman;Times;Serif" w:hAnsi="Times New Roman;Times;Serif"/>
          <w:b w:val="false"/>
          <w:i w:val="false"/>
          <w:caps w:val="false"/>
          <w:smallCaps w:val="false"/>
          <w:sz w:val="20"/>
          <w:u w:val="single"/>
        </w:rPr>
        <w:t>www.coca-colafemsa.com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762500" cy="552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762500" cy="5524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financial information presented in this report was prepared under International Financial Reporting Standards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may contain forward-looking statements concerning Coca-Cola FEMSA’s future performance, which should be considered as good faith estimates by Coca-Cola FEMSA. These forward-looking statements reflect management’s expectations and are based upon currently available data. Actual results are subject to future events and uncertainties, many of which are outside Coca-Cola FEMSA’s control, which could materially impact the Company’s actual performance. References herein to “US$” are to United States dollars. This news release contains translations of certain Mexican peso amounts into U.S. dollars for the convenience of the reader. These translations should not be construed as representations that Mexican peso amounts represent such U.S. dollar amounts or could be converted into U.S. dollars at the rate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 pages of tables to follow)</w:t>
      </w:r>
    </w:p>
    <w:p>
      <w:pPr>
        <w:pStyle w:val="TextBody"/>
        <w:bidi w:val="0"/>
        <w:spacing w:before="0" w:after="0"/>
        <w:ind w:left="0" w:right="0" w:hanging="0"/>
        <w:jc w:val="center"/>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515"/>
        <w:gridCol w:w="1160"/>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160" w:type="dxa"/>
            <w:tcBorders/>
            <w:vAlign w:val="center"/>
          </w:tcPr>
          <w:p>
            <w:pPr>
              <w:pStyle w:val="TableContents"/>
              <w:bidi w:val="0"/>
              <w:spacing w:before="0" w:after="283"/>
              <w:jc w:val="right"/>
              <w:rPr>
                <w:b/>
                <w:sz w:val="20"/>
              </w:rPr>
            </w:pPr>
            <w:r>
              <w:rPr>
                <w:b/>
                <w:sz w:val="20"/>
              </w:rPr>
              <w:t>Page 11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sz w:val="20"/>
        </w:rPr>
      </w:pPr>
      <w:r>
        <w:rPr>
          <w:sz w:val="20"/>
        </w:rPr>
        <w:t>COCA-COLA FEMSA</w:t>
      </w:r>
    </w:p>
    <w:p>
      <w:pPr>
        <w:pStyle w:val="TextBody"/>
        <w:bidi w:val="0"/>
        <w:jc w:val="center"/>
        <w:rPr>
          <w:sz w:val="20"/>
        </w:rPr>
      </w:pPr>
      <w:r>
        <w:rPr>
          <w:sz w:val="20"/>
        </w:rPr>
        <w:t>CONSOLIDATED INCOME STATEMENT</w:t>
      </w:r>
    </w:p>
    <w:p>
      <w:pPr>
        <w:pStyle w:val="TextBody"/>
        <w:bidi w:val="0"/>
        <w:jc w:val="center"/>
        <w:rPr>
          <w:sz w:val="20"/>
        </w:rPr>
      </w:pPr>
      <w:r>
        <w:rPr>
          <w:sz w:val="20"/>
        </w:rPr>
        <w:t xml:space="preserve">Millions of Pesos </w:t>
      </w:r>
      <w:r>
        <w:rPr>
          <w:rFonts w:ascii="Times New Roman;Times;Serif" w:hAnsi="Times New Roman;Times;Serif"/>
          <w:b/>
          <w:i w:val="false"/>
          <w:caps w:val="false"/>
          <w:smallCaps w:val="false"/>
          <w:color w:val="393943"/>
          <w:position w:val="7"/>
          <w:sz w:val="16"/>
          <w:sz w:val="20"/>
        </w:rPr>
        <w:t>(1)</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14"/>
        <w:gridCol w:w="60"/>
        <w:gridCol w:w="60"/>
        <w:gridCol w:w="455"/>
        <w:gridCol w:w="65"/>
        <w:gridCol w:w="60"/>
        <w:gridCol w:w="68"/>
        <w:gridCol w:w="399"/>
        <w:gridCol w:w="125"/>
        <w:gridCol w:w="60"/>
        <w:gridCol w:w="60"/>
        <w:gridCol w:w="455"/>
        <w:gridCol w:w="65"/>
        <w:gridCol w:w="60"/>
        <w:gridCol w:w="68"/>
        <w:gridCol w:w="399"/>
        <w:gridCol w:w="125"/>
        <w:gridCol w:w="60"/>
        <w:gridCol w:w="81"/>
        <w:gridCol w:w="438"/>
        <w:gridCol w:w="125"/>
        <w:gridCol w:w="60"/>
        <w:gridCol w:w="107"/>
        <w:gridCol w:w="493"/>
        <w:gridCol w:w="125"/>
        <w:gridCol w:w="60"/>
        <w:gridCol w:w="60"/>
        <w:gridCol w:w="530"/>
        <w:gridCol w:w="65"/>
        <w:gridCol w:w="60"/>
        <w:gridCol w:w="68"/>
        <w:gridCol w:w="399"/>
        <w:gridCol w:w="125"/>
        <w:gridCol w:w="60"/>
        <w:gridCol w:w="60"/>
        <w:gridCol w:w="530"/>
        <w:gridCol w:w="65"/>
        <w:gridCol w:w="60"/>
        <w:gridCol w:w="68"/>
        <w:gridCol w:w="399"/>
        <w:gridCol w:w="125"/>
        <w:gridCol w:w="60"/>
        <w:gridCol w:w="72"/>
        <w:gridCol w:w="518"/>
        <w:gridCol w:w="125"/>
        <w:gridCol w:w="60"/>
        <w:gridCol w:w="107"/>
        <w:gridCol w:w="493"/>
        <w:gridCol w:w="149"/>
      </w:tblGrid>
      <w:tr>
        <w:trPr/>
        <w:tc>
          <w:tcPr>
            <w:tcW w:w="18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88" w:type="dxa"/>
            <w:gridSpan w:val="22"/>
            <w:tcBorders>
              <w:bottom w:val="single" w:sz="8" w:space="0" w:color="000000"/>
            </w:tcBorders>
            <w:tcMar>
              <w:bottom w:w="28" w:type="dxa"/>
            </w:tcMar>
            <w:vAlign w:val="center"/>
          </w:tcPr>
          <w:p>
            <w:pPr>
              <w:pStyle w:val="TableContents"/>
              <w:bidi w:val="0"/>
              <w:spacing w:before="0" w:after="283"/>
              <w:jc w:val="center"/>
              <w:rPr>
                <w:b/>
                <w:sz w:val="14"/>
              </w:rPr>
            </w:pPr>
            <w:r>
              <w:rPr>
                <w:b/>
                <w:sz w:val="14"/>
              </w:rPr>
              <w:t>For the Second Quarter of:</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09" w:type="dxa"/>
            <w:gridSpan w:val="22"/>
            <w:tcBorders>
              <w:bottom w:val="single" w:sz="8" w:space="0" w:color="000000"/>
            </w:tcBorders>
            <w:tcMar>
              <w:bottom w:w="28" w:type="dxa"/>
            </w:tcMar>
            <w:vAlign w:val="center"/>
          </w:tcPr>
          <w:p>
            <w:pPr>
              <w:pStyle w:val="TableContents"/>
              <w:bidi w:val="0"/>
              <w:spacing w:before="0" w:after="283"/>
              <w:jc w:val="center"/>
              <w:rPr>
                <w:b/>
                <w:sz w:val="14"/>
              </w:rPr>
            </w:pPr>
            <w:r>
              <w:rPr>
                <w:b/>
                <w:sz w:val="14"/>
              </w:rPr>
              <w:t>For the first Six Months of:</w:t>
            </w:r>
          </w:p>
        </w:tc>
        <w:tc>
          <w:tcPr>
            <w:tcW w:w="149" w:type="dxa"/>
            <w:tcBorders/>
            <w:vAlign w:val="center"/>
          </w:tcPr>
          <w:p>
            <w:pPr>
              <w:pStyle w:val="TableContents"/>
              <w:bidi w:val="0"/>
              <w:spacing w:before="0" w:after="283"/>
              <w:jc w:val="center"/>
              <w:rPr/>
            </w:pPr>
            <w:r>
              <w:rPr/>
              <w:t> </w:t>
            </w:r>
          </w:p>
        </w:tc>
      </w:tr>
      <w:tr>
        <w:trPr/>
        <w:tc>
          <w:tcPr>
            <w:tcW w:w="18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2026</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67"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2025</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67"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Δ% Reported</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0"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4"/>
              </w:rPr>
            </w:pPr>
            <w:r>
              <w:rPr>
                <w:b/>
                <w:i w:val="false"/>
                <w:caps w:val="false"/>
                <w:smallCaps w:val="false"/>
                <w:sz w:val="14"/>
              </w:rPr>
              <w:t xml:space="preserve">Δ% Comparable </w:t>
            </w:r>
            <w:r>
              <w:rPr>
                <w:rFonts w:ascii="Times New Roman;Times;Serif" w:hAnsi="Times New Roman;Times;Serif"/>
                <w:b/>
                <w:i w:val="false"/>
                <w:caps w:val="false"/>
                <w:smallCaps w:val="false"/>
                <w:color w:val="404040"/>
                <w:position w:val="5"/>
                <w:sz w:val="11"/>
                <w:sz w:val="14"/>
              </w:rPr>
              <w:t>(7)</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2026</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67"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2025</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67"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Δ% Reported</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0"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4"/>
              </w:rPr>
            </w:pPr>
            <w:r>
              <w:rPr>
                <w:b/>
                <w:i w:val="false"/>
                <w:caps w:val="false"/>
                <w:smallCaps w:val="false"/>
                <w:sz w:val="14"/>
              </w:rPr>
              <w:t xml:space="preserve">Δ% Comparable </w:t>
            </w:r>
            <w:r>
              <w:rPr>
                <w:rFonts w:ascii="Times New Roman;Times;Serif" w:hAnsi="Times New Roman;Times;Serif"/>
                <w:b/>
                <w:i w:val="false"/>
                <w:caps w:val="false"/>
                <w:smallCaps w:val="false"/>
                <w:color w:val="404040"/>
                <w:position w:val="5"/>
                <w:sz w:val="11"/>
                <w:sz w:val="14"/>
              </w:rPr>
              <w:t>(7)</w:t>
            </w:r>
          </w:p>
        </w:tc>
        <w:tc>
          <w:tcPr>
            <w:tcW w:w="14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14" w:type="dxa"/>
            <w:tcBorders/>
            <w:shd w:fill="CCEEFF" w:val="clear"/>
            <w:vAlign w:val="center"/>
          </w:tcPr>
          <w:p>
            <w:pPr>
              <w:pStyle w:val="TableContents"/>
              <w:bidi w:val="0"/>
              <w:spacing w:before="0" w:after="283"/>
              <w:jc w:val="left"/>
              <w:rPr>
                <w:b/>
                <w:sz w:val="14"/>
              </w:rPr>
            </w:pPr>
            <w:r>
              <w:rPr>
                <w:b/>
                <w:sz w:val="14"/>
              </w:rPr>
              <w:t>Transactions (million transactions)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6,383.1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6,131.9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4.1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sz w:val="14"/>
              </w:rPr>
            </w:pPr>
            <w:r>
              <w:rPr>
                <w:sz w:val="14"/>
              </w:rPr>
              <w:t>4.1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12,373.9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12,053.7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2.7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sz w:val="14"/>
              </w:rPr>
            </w:pPr>
            <w:r>
              <w:rPr>
                <w:sz w:val="14"/>
              </w:rPr>
              <w:t>2.7</w:t>
            </w:r>
          </w:p>
        </w:tc>
        <w:tc>
          <w:tcPr>
            <w:tcW w:w="149" w:type="dxa"/>
            <w:tcBorders/>
            <w:shd w:fill="CCEEFF" w:val="clear"/>
            <w:vAlign w:val="center"/>
          </w:tcPr>
          <w:p>
            <w:pPr>
              <w:pStyle w:val="TableContents"/>
              <w:bidi w:val="0"/>
              <w:spacing w:before="0" w:after="283"/>
              <w:jc w:val="left"/>
              <w:rPr>
                <w:sz w:val="14"/>
              </w:rPr>
            </w:pPr>
            <w:r>
              <w:rPr>
                <w:sz w:val="14"/>
              </w:rPr>
              <w:t>%</w:t>
            </w:r>
          </w:p>
        </w:tc>
      </w:tr>
      <w:tr>
        <w:trPr/>
        <w:tc>
          <w:tcPr>
            <w:tcW w:w="1814" w:type="dxa"/>
            <w:tcBorders/>
            <w:shd w:fill="FFFFFF" w:val="clear"/>
            <w:vAlign w:val="center"/>
          </w:tcPr>
          <w:p>
            <w:pPr>
              <w:pStyle w:val="TableContents"/>
              <w:bidi w:val="0"/>
              <w:spacing w:before="0" w:after="283"/>
              <w:jc w:val="left"/>
              <w:rPr>
                <w:b/>
                <w:i w:val="false"/>
                <w:caps w:val="false"/>
                <w:smallCaps w:val="false"/>
                <w:sz w:val="14"/>
              </w:rPr>
            </w:pPr>
            <w:r>
              <w:rPr>
                <w:b/>
                <w:i w:val="false"/>
                <w:caps w:val="false"/>
                <w:smallCaps w:val="false"/>
                <w:sz w:val="14"/>
              </w:rPr>
              <w:t>Volume (million unit cases)</w:t>
            </w:r>
            <w:r>
              <w:rPr>
                <w:b/>
                <w:i w:val="false"/>
                <w:caps w:val="false"/>
                <w:smallCaps w:val="false"/>
                <w:position w:val="5"/>
                <w:sz w:val="11"/>
                <w:sz w:val="14"/>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1,071.8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1,035.3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3.5</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3.5</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2,070.2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2,021.8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2.4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2.4</w:t>
            </w:r>
          </w:p>
        </w:tc>
        <w:tc>
          <w:tcPr>
            <w:tcW w:w="149" w:type="dxa"/>
            <w:tcBorders/>
            <w:shd w:fill="FFFFFF" w:val="clear"/>
            <w:vAlign w:val="center"/>
          </w:tcPr>
          <w:p>
            <w:pPr>
              <w:pStyle w:val="TableContents"/>
              <w:bidi w:val="0"/>
              <w:spacing w:before="0" w:after="283"/>
              <w:jc w:val="left"/>
              <w:rPr>
                <w:sz w:val="14"/>
              </w:rPr>
            </w:pPr>
            <w:r>
              <w:rPr>
                <w:sz w:val="14"/>
              </w:rPr>
              <w:t>%</w:t>
            </w:r>
          </w:p>
        </w:tc>
      </w:tr>
      <w:tr>
        <w:trPr/>
        <w:tc>
          <w:tcPr>
            <w:tcW w:w="1814" w:type="dxa"/>
            <w:tcBorders/>
            <w:shd w:fill="CCEEFF" w:val="clear"/>
            <w:vAlign w:val="center"/>
          </w:tcPr>
          <w:p>
            <w:pPr>
              <w:pStyle w:val="TableContents"/>
              <w:bidi w:val="0"/>
              <w:spacing w:before="0" w:after="283"/>
              <w:jc w:val="left"/>
              <w:rPr>
                <w:sz w:val="14"/>
              </w:rPr>
            </w:pPr>
            <w:r>
              <w:rPr>
                <w:sz w:val="14"/>
              </w:rPr>
              <w:t>Average price per unit case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69.23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68.65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0.9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68.90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68.63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0.4</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sz w:val="14"/>
              </w:rPr>
            </w:pPr>
            <w:r>
              <w:rPr>
                <w:sz w:val="14"/>
              </w:rPr>
              <w:t>Net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76,290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72,852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4.7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146,830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142,556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3.0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sz w:val="14"/>
              </w:rPr>
            </w:pPr>
            <w:r>
              <w:rPr>
                <w:sz w:val="14"/>
              </w:rPr>
              <w:t>Other operating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-56.9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322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147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120.0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b/>
                <w:i w:val="false"/>
                <w:caps w:val="false"/>
                <w:smallCaps w:val="false"/>
                <w:sz w:val="14"/>
              </w:rPr>
            </w:pPr>
            <w:r>
              <w:rPr>
                <w:b/>
                <w:i w:val="false"/>
                <w:caps w:val="false"/>
                <w:smallCaps w:val="false"/>
                <w:sz w:val="14"/>
              </w:rPr>
              <w:t xml:space="preserve">Total revenues </w:t>
            </w:r>
            <w:r>
              <w:rPr>
                <w:rFonts w:ascii="Times New Roman;Times;Serif" w:hAnsi="Times New Roman;Times;Serif"/>
                <w:b/>
                <w:i w:val="false"/>
                <w:caps w:val="false"/>
                <w:smallCaps w:val="false"/>
                <w:position w:val="5"/>
                <w:sz w:val="11"/>
                <w:sz w:val="14"/>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76,318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72,917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4.7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6.6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147,153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142,703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3.1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8.1</w:t>
            </w:r>
          </w:p>
        </w:tc>
        <w:tc>
          <w:tcPr>
            <w:tcW w:w="149" w:type="dxa"/>
            <w:tcBorders/>
            <w:shd w:fill="FFFFFF" w:val="clear"/>
            <w:vAlign w:val="center"/>
          </w:tcPr>
          <w:p>
            <w:pPr>
              <w:pStyle w:val="TableContents"/>
              <w:bidi w:val="0"/>
              <w:spacing w:before="0" w:after="283"/>
              <w:jc w:val="left"/>
              <w:rPr>
                <w:sz w:val="14"/>
              </w:rPr>
            </w:pPr>
            <w:r>
              <w:rPr>
                <w:sz w:val="14"/>
              </w:rPr>
              <w:t>%</w:t>
            </w:r>
          </w:p>
        </w:tc>
      </w:tr>
      <w:tr>
        <w:trPr/>
        <w:tc>
          <w:tcPr>
            <w:tcW w:w="1814" w:type="dxa"/>
            <w:tcBorders/>
            <w:shd w:fill="CCEEFF" w:val="clear"/>
            <w:vAlign w:val="center"/>
          </w:tcPr>
          <w:p>
            <w:pPr>
              <w:pStyle w:val="TableContents"/>
              <w:bidi w:val="0"/>
              <w:spacing w:before="0" w:after="283"/>
              <w:jc w:val="left"/>
              <w:rPr>
                <w:sz w:val="14"/>
              </w:rPr>
            </w:pPr>
            <w:r>
              <w:rPr>
                <w:sz w:val="14"/>
              </w:rPr>
              <w:t>Cost of goods sold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40,380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52.9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39,875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54.7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1.3</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78,000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53.0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77,987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54.6</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0.0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b/>
                <w:sz w:val="14"/>
              </w:rPr>
            </w:pPr>
            <w:r>
              <w:rPr>
                <w:b/>
                <w:sz w:val="14"/>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35,938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47.1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33,042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45.3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8.8</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10.7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69,153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47.0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64,716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45.4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6.9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11.9</w:t>
            </w:r>
          </w:p>
        </w:tc>
        <w:tc>
          <w:tcPr>
            <w:tcW w:w="149" w:type="dxa"/>
            <w:tcBorders/>
            <w:shd w:fill="FFFFFF" w:val="clear"/>
            <w:vAlign w:val="center"/>
          </w:tcPr>
          <w:p>
            <w:pPr>
              <w:pStyle w:val="TableContents"/>
              <w:bidi w:val="0"/>
              <w:spacing w:before="0" w:after="283"/>
              <w:jc w:val="left"/>
              <w:rPr>
                <w:sz w:val="14"/>
              </w:rPr>
            </w:pPr>
            <w:r>
              <w:rPr>
                <w:sz w:val="14"/>
              </w:rPr>
              <w:t>%</w:t>
            </w:r>
          </w:p>
        </w:tc>
      </w:tr>
      <w:tr>
        <w:trPr/>
        <w:tc>
          <w:tcPr>
            <w:tcW w:w="1814" w:type="dxa"/>
            <w:tcBorders/>
            <w:shd w:fill="CCEEFF" w:val="clear"/>
            <w:vAlign w:val="center"/>
          </w:tcPr>
          <w:p>
            <w:pPr>
              <w:pStyle w:val="TableContents"/>
              <w:bidi w:val="0"/>
              <w:spacing w:before="0" w:after="283"/>
              <w:jc w:val="left"/>
              <w:rPr>
                <w:sz w:val="14"/>
              </w:rPr>
            </w:pPr>
            <w:r>
              <w:rPr>
                <w:sz w:val="14"/>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25,859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33.9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23,679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32.5</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9.2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49,971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34.0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46,029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32.3</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8.6</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sz w:val="14"/>
              </w:rPr>
            </w:pPr>
            <w:r>
              <w:rPr>
                <w:sz w:val="14"/>
              </w:rPr>
              <w:t>Other operative expenses,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(448</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0.6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(291</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0.4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53.9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(272</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0.2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(109</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149.2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b w:val="false"/>
                <w:i w:val="false"/>
                <w:caps w:val="false"/>
                <w:smallCaps w:val="false"/>
                <w:sz w:val="14"/>
              </w:rPr>
            </w:pPr>
            <w:r>
              <w:rPr>
                <w:b w:val="false"/>
                <w:i w:val="false"/>
                <w:caps w:val="false"/>
                <w:smallCaps w:val="false"/>
                <w:sz w:val="14"/>
              </w:rPr>
              <w:t>Operative equity method (gain) loss in associates</w:t>
            </w:r>
            <w:r>
              <w:rPr>
                <w:rFonts w:ascii="Times New Roman;Times;Serif" w:hAnsi="Times New Roman;Times;Serif"/>
                <w:b w:val="false"/>
                <w:i w:val="false"/>
                <w:caps w:val="false"/>
                <w:smallCaps w:val="false"/>
                <w:position w:val="5"/>
                <w:sz w:val="11"/>
                <w:sz w:val="14"/>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(126</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(112</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12.9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(223</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(190</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17.8</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b/>
                <w:i w:val="false"/>
                <w:caps w:val="false"/>
                <w:smallCaps w:val="false"/>
                <w:sz w:val="14"/>
              </w:rPr>
            </w:pPr>
            <w:r>
              <w:rPr>
                <w:b/>
                <w:i w:val="false"/>
                <w:caps w:val="false"/>
                <w:smallCaps w:val="false"/>
                <w:sz w:val="14"/>
              </w:rPr>
              <w:t xml:space="preserve">Operating income </w:t>
            </w:r>
            <w:r>
              <w:rPr>
                <w:rFonts w:ascii="Times New Roman;Times;Serif" w:hAnsi="Times New Roman;Times;Serif"/>
                <w:b/>
                <w:i w:val="false"/>
                <w:caps w:val="false"/>
                <w:smallCaps w:val="false"/>
                <w:position w:val="5"/>
                <w:sz w:val="11"/>
                <w:sz w:val="14"/>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10,654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14.0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9,767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13.4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9.1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11.1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19,678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13.4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18,986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13.3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3.6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8.2</w:t>
            </w:r>
          </w:p>
        </w:tc>
        <w:tc>
          <w:tcPr>
            <w:tcW w:w="149" w:type="dxa"/>
            <w:tcBorders/>
            <w:shd w:fill="FFFFFF" w:val="clear"/>
            <w:vAlign w:val="center"/>
          </w:tcPr>
          <w:p>
            <w:pPr>
              <w:pStyle w:val="TableContents"/>
              <w:bidi w:val="0"/>
              <w:spacing w:before="0" w:after="283"/>
              <w:jc w:val="left"/>
              <w:rPr>
                <w:sz w:val="14"/>
              </w:rPr>
            </w:pPr>
            <w:r>
              <w:rPr>
                <w:sz w:val="14"/>
              </w:rPr>
              <w:t>%</w:t>
            </w:r>
          </w:p>
        </w:tc>
      </w:tr>
      <w:tr>
        <w:trPr/>
        <w:tc>
          <w:tcPr>
            <w:tcW w:w="1814" w:type="dxa"/>
            <w:tcBorders/>
            <w:shd w:fill="CCEEFF" w:val="clear"/>
            <w:vAlign w:val="center"/>
          </w:tcPr>
          <w:p>
            <w:pPr>
              <w:pStyle w:val="TableContents"/>
              <w:bidi w:val="0"/>
              <w:spacing w:before="0" w:after="283"/>
              <w:jc w:val="left"/>
              <w:rPr>
                <w:sz w:val="14"/>
              </w:rPr>
            </w:pPr>
            <w:r>
              <w:rPr>
                <w:sz w:val="14"/>
              </w:rPr>
              <w:t>Other non operative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132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99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32.9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(30</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125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NA</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b w:val="false"/>
                <w:i w:val="false"/>
                <w:caps w:val="false"/>
                <w:smallCaps w:val="false"/>
                <w:sz w:val="14"/>
              </w:rPr>
            </w:pPr>
            <w:r>
              <w:rPr>
                <w:b w:val="false"/>
                <w:i w:val="false"/>
                <w:caps w:val="false"/>
                <w:smallCaps w:val="false"/>
                <w:sz w:val="14"/>
              </w:rPr>
              <w:t xml:space="preserve">Non Operative equity method (gain) loss in associates </w:t>
            </w:r>
            <w:r>
              <w:rPr>
                <w:rFonts w:ascii="Times New Roman;Times;Serif" w:hAnsi="Times New Roman;Times;Serif"/>
                <w:b w:val="false"/>
                <w:i w:val="false"/>
                <w:caps w:val="false"/>
                <w:smallCaps w:val="false"/>
                <w:position w:val="5"/>
                <w:sz w:val="11"/>
                <w:sz w:val="14"/>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(55</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(54</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1.3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(37</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(130</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-71.8</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sz w:val="14"/>
              </w:rPr>
            </w:pPr>
            <w:r>
              <w:rPr>
                <w:sz w:val="14"/>
              </w:rPr>
              <w:t>Interest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2,273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2,101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8.2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4,356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3,963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9.9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sz w:val="14"/>
              </w:rPr>
            </w:pPr>
            <w:r>
              <w:rPr>
                <w:sz w:val="14"/>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684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626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9.2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1,198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1,214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-1.4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sz w:val="14"/>
              </w:rPr>
            </w:pPr>
            <w:r>
              <w:rPr>
                <w:sz w:val="14"/>
              </w:rPr>
              <w:t>Interest expense,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1,589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1,475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7.7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3,159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2,749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14.9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sz w:val="14"/>
              </w:rPr>
            </w:pPr>
            <w:r>
              <w:rPr>
                <w:sz w:val="14"/>
              </w:rPr>
              <w:t>Foreign exchange loss (gain)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(96</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(55</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73.3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20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1673.4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sz w:val="14"/>
              </w:rPr>
            </w:pPr>
            <w:r>
              <w:rPr>
                <w:sz w:val="14"/>
              </w:rPr>
              <w:t>Loss (gain) on monetary position in inflationary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(74</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(77</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-3.2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(175</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(154</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13.6</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sz w:val="14"/>
              </w:rPr>
            </w:pPr>
            <w:r>
              <w:rPr>
                <w:sz w:val="14"/>
              </w:rPr>
              <w:t>Market value (gain) loss on financial instruments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(88</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(154</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-42.5</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79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(288</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NA</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sz w:val="14"/>
              </w:rPr>
            </w:pPr>
            <w:r>
              <w:rPr>
                <w:sz w:val="14"/>
              </w:rPr>
              <w:t>Comprehensive financing result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1,331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1,189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11.9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3,083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2,308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33.6</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sz w:val="14"/>
              </w:rPr>
            </w:pPr>
            <w:r>
              <w:rPr>
                <w:sz w:val="14"/>
              </w:rPr>
              <w:t>Income before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9,246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8,532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8.4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16,661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16,684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sz w:val="14"/>
              </w:rPr>
            </w:pPr>
            <w:r>
              <w:rPr>
                <w:sz w:val="14"/>
              </w:rPr>
              <w:t>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2,741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3,029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-9.5</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5,422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5,691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-4.7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sz w:val="14"/>
              </w:rPr>
            </w:pPr>
            <w:r>
              <w:rPr>
                <w:sz w:val="14"/>
              </w:rPr>
              <w:t>Result of discontinued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NA</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NA</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sz w:val="14"/>
              </w:rPr>
            </w:pPr>
            <w:r>
              <w:rPr>
                <w:sz w:val="14"/>
              </w:rPr>
              <w:t>Consolidated 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6,505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5,503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18.2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11,239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10,993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2.2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b/>
                <w:sz w:val="14"/>
              </w:rPr>
            </w:pPr>
            <w:r>
              <w:rPr>
                <w:b/>
                <w:sz w:val="14"/>
              </w:rPr>
              <w:t>Net income attributable to equity 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6,211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8.1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5,312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7.3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sz w:val="14"/>
              </w:rPr>
            </w:pPr>
            <w:r>
              <w:rPr>
                <w:sz w:val="14"/>
              </w:rPr>
              <w:t>16.9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19.5</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10,553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7.2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sz w:val="14"/>
              </w:rPr>
            </w:pPr>
            <w:r>
              <w:rPr>
                <w:sz w:val="14"/>
              </w:rPr>
              <w:t>10,450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sz w:val="14"/>
              </w:rPr>
            </w:pPr>
            <w:r>
              <w:rPr>
                <w:sz w:val="14"/>
              </w:rPr>
              <w:t>7.3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14"/>
              </w:rPr>
            </w:pPr>
            <w:r>
              <w:rPr>
                <w:sz w:val="14"/>
              </w:rPr>
              <w:t>1.0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sz w:val="14"/>
              </w:rPr>
            </w:pPr>
            <w:r>
              <w:rPr>
                <w:sz w:val="14"/>
              </w:rPr>
              <w:t>5.5</w:t>
            </w:r>
          </w:p>
        </w:tc>
        <w:tc>
          <w:tcPr>
            <w:tcW w:w="149" w:type="dxa"/>
            <w:tcBorders/>
            <w:shd w:fill="FFFFFF" w:val="clear"/>
            <w:vAlign w:val="center"/>
          </w:tcPr>
          <w:p>
            <w:pPr>
              <w:pStyle w:val="TableContents"/>
              <w:bidi w:val="0"/>
              <w:spacing w:before="0" w:after="283"/>
              <w:jc w:val="left"/>
              <w:rPr>
                <w:sz w:val="14"/>
              </w:rPr>
            </w:pPr>
            <w:r>
              <w:rPr>
                <w:sz w:val="14"/>
              </w:rPr>
              <w:t>%</w:t>
            </w:r>
          </w:p>
        </w:tc>
      </w:tr>
      <w:tr>
        <w:trPr/>
        <w:tc>
          <w:tcPr>
            <w:tcW w:w="1814" w:type="dxa"/>
            <w:tcBorders/>
            <w:shd w:fill="CCEEFF" w:val="clear"/>
            <w:vAlign w:val="center"/>
          </w:tcPr>
          <w:p>
            <w:pPr>
              <w:pStyle w:val="TableContents"/>
              <w:bidi w:val="0"/>
              <w:spacing w:before="0" w:after="283"/>
              <w:jc w:val="left"/>
              <w:rPr>
                <w:sz w:val="14"/>
              </w:rPr>
            </w:pPr>
            <w:r>
              <w:rPr>
                <w:sz w:val="14"/>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293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0.4</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191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0.3</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sz w:val="14"/>
              </w:rPr>
            </w:pPr>
            <w:r>
              <w:rPr>
                <w:sz w:val="14"/>
              </w:rPr>
              <w:t>53.8</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686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0.5</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sz w:val="14"/>
              </w:rPr>
            </w:pPr>
            <w:r>
              <w:rPr>
                <w:sz w:val="14"/>
              </w:rPr>
              <w:t>543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sz w:val="14"/>
              </w:rPr>
            </w:pPr>
            <w:r>
              <w:rPr>
                <w:sz w:val="14"/>
              </w:rPr>
              <w:t>0.4</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14"/>
              </w:rPr>
            </w:pPr>
            <w:r>
              <w:rPr>
                <w:sz w:val="14"/>
              </w:rPr>
              <w:t>26.3</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826"/>
        <w:gridCol w:w="60"/>
        <w:gridCol w:w="60"/>
        <w:gridCol w:w="425"/>
        <w:gridCol w:w="60"/>
        <w:gridCol w:w="60"/>
        <w:gridCol w:w="81"/>
        <w:gridCol w:w="374"/>
        <w:gridCol w:w="125"/>
        <w:gridCol w:w="60"/>
        <w:gridCol w:w="60"/>
        <w:gridCol w:w="425"/>
        <w:gridCol w:w="60"/>
        <w:gridCol w:w="60"/>
        <w:gridCol w:w="81"/>
        <w:gridCol w:w="374"/>
        <w:gridCol w:w="125"/>
        <w:gridCol w:w="60"/>
        <w:gridCol w:w="88"/>
        <w:gridCol w:w="513"/>
        <w:gridCol w:w="125"/>
        <w:gridCol w:w="60"/>
        <w:gridCol w:w="129"/>
        <w:gridCol w:w="596"/>
        <w:gridCol w:w="125"/>
        <w:gridCol w:w="60"/>
        <w:gridCol w:w="60"/>
        <w:gridCol w:w="425"/>
        <w:gridCol w:w="60"/>
        <w:gridCol w:w="60"/>
        <w:gridCol w:w="81"/>
        <w:gridCol w:w="374"/>
        <w:gridCol w:w="125"/>
        <w:gridCol w:w="60"/>
        <w:gridCol w:w="60"/>
        <w:gridCol w:w="425"/>
        <w:gridCol w:w="60"/>
        <w:gridCol w:w="60"/>
        <w:gridCol w:w="81"/>
        <w:gridCol w:w="374"/>
        <w:gridCol w:w="125"/>
        <w:gridCol w:w="60"/>
        <w:gridCol w:w="92"/>
        <w:gridCol w:w="493"/>
        <w:gridCol w:w="125"/>
        <w:gridCol w:w="60"/>
        <w:gridCol w:w="129"/>
        <w:gridCol w:w="596"/>
        <w:gridCol w:w="148"/>
      </w:tblGrid>
      <w:tr>
        <w:trPr/>
        <w:tc>
          <w:tcPr>
            <w:tcW w:w="1826" w:type="dxa"/>
            <w:tcBorders>
              <w:bottom w:val="single" w:sz="8" w:space="0" w:color="000000"/>
            </w:tcBorders>
            <w:vAlign w:val="center"/>
          </w:tcPr>
          <w:p>
            <w:pPr>
              <w:pStyle w:val="TableContents"/>
              <w:bidi w:val="0"/>
              <w:spacing w:before="0" w:after="283"/>
              <w:jc w:val="left"/>
              <w:rPr>
                <w:b/>
                <w:sz w:val="14"/>
              </w:rPr>
            </w:pPr>
            <w:r>
              <w:rPr>
                <w:b/>
                <w:sz w:val="14"/>
              </w:rPr>
              <w:t>Adj. EBITDA &amp; CAPEX</w:t>
            </w:r>
          </w:p>
        </w:tc>
        <w:tc>
          <w:tcPr>
            <w:tcW w:w="60" w:type="dxa"/>
            <w:tcBorders/>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vAlign w:val="center"/>
          </w:tcPr>
          <w:p>
            <w:pPr>
              <w:pStyle w:val="TableContents"/>
              <w:bidi w:val="0"/>
              <w:spacing w:before="0" w:after="283"/>
              <w:jc w:val="center"/>
              <w:rPr>
                <w:b/>
                <w:sz w:val="14"/>
              </w:rPr>
            </w:pPr>
            <w:r>
              <w:rPr>
                <w:b/>
                <w:sz w:val="14"/>
              </w:rPr>
              <w:t>2026</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55" w:type="dxa"/>
            <w:gridSpan w:val="2"/>
            <w:tcBorders>
              <w:bottom w:val="single" w:sz="8" w:space="0" w:color="000000"/>
            </w:tcBorders>
            <w:vAlign w:val="center"/>
          </w:tcPr>
          <w:p>
            <w:pPr>
              <w:pStyle w:val="TableContents"/>
              <w:bidi w:val="0"/>
              <w:spacing w:before="0" w:after="283"/>
              <w:jc w:val="center"/>
              <w:rPr>
                <w:b/>
                <w:sz w:val="14"/>
              </w:rPr>
            </w:pPr>
            <w:r>
              <w:rPr>
                <w:b/>
                <w:sz w:val="14"/>
              </w:rPr>
              <w:t>% of Rev.</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vAlign w:val="center"/>
          </w:tcPr>
          <w:p>
            <w:pPr>
              <w:pStyle w:val="TableContents"/>
              <w:bidi w:val="0"/>
              <w:spacing w:before="0" w:after="283"/>
              <w:jc w:val="center"/>
              <w:rPr>
                <w:b/>
                <w:sz w:val="14"/>
              </w:rPr>
            </w:pPr>
            <w:r>
              <w:rPr>
                <w:b/>
                <w:sz w:val="14"/>
              </w:rPr>
              <w:t>2025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55" w:type="dxa"/>
            <w:gridSpan w:val="2"/>
            <w:tcBorders>
              <w:bottom w:val="single" w:sz="8" w:space="0" w:color="000000"/>
            </w:tcBorders>
            <w:vAlign w:val="center"/>
          </w:tcPr>
          <w:p>
            <w:pPr>
              <w:pStyle w:val="TableContents"/>
              <w:bidi w:val="0"/>
              <w:spacing w:before="0" w:after="283"/>
              <w:jc w:val="center"/>
              <w:rPr>
                <w:b/>
                <w:sz w:val="14"/>
              </w:rPr>
            </w:pPr>
            <w:r>
              <w:rPr>
                <w:b/>
                <w:sz w:val="14"/>
              </w:rPr>
              <w:t>% of Rev.</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1" w:type="dxa"/>
            <w:gridSpan w:val="2"/>
            <w:tcBorders>
              <w:bottom w:val="single" w:sz="8" w:space="0" w:color="000000"/>
            </w:tcBorders>
            <w:vAlign w:val="center"/>
          </w:tcPr>
          <w:p>
            <w:pPr>
              <w:pStyle w:val="TableContents"/>
              <w:bidi w:val="0"/>
              <w:spacing w:before="0" w:after="283"/>
              <w:jc w:val="center"/>
              <w:rPr>
                <w:b/>
                <w:sz w:val="14"/>
              </w:rPr>
            </w:pPr>
            <w:r>
              <w:rPr>
                <w:b/>
                <w:sz w:val="14"/>
              </w:rPr>
              <w:t>Δ% Reported</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vAlign w:val="center"/>
          </w:tcPr>
          <w:p>
            <w:pPr>
              <w:pStyle w:val="TableContents"/>
              <w:bidi w:val="0"/>
              <w:spacing w:before="0" w:after="283"/>
              <w:jc w:val="center"/>
              <w:rPr>
                <w:b/>
                <w:i w:val="false"/>
                <w:caps w:val="false"/>
                <w:smallCaps w:val="false"/>
                <w:sz w:val="14"/>
              </w:rPr>
            </w:pPr>
            <w:r>
              <w:rPr>
                <w:b/>
                <w:i w:val="false"/>
                <w:caps w:val="false"/>
                <w:smallCaps w:val="false"/>
                <w:sz w:val="14"/>
              </w:rPr>
              <w:t xml:space="preserve">Δ% Comparable </w:t>
            </w:r>
            <w:r>
              <w:rPr>
                <w:rFonts w:ascii="Times New Roman;Times;Serif" w:hAnsi="Times New Roman;Times;Serif"/>
                <w:b/>
                <w:i w:val="false"/>
                <w:caps w:val="false"/>
                <w:smallCaps w:val="false"/>
                <w:color w:val="404040"/>
                <w:position w:val="5"/>
                <w:sz w:val="11"/>
                <w:sz w:val="14"/>
              </w:rPr>
              <w:t>(7)</w:t>
            </w:r>
          </w:p>
        </w:tc>
        <w:tc>
          <w:tcPr>
            <w:tcW w:w="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vAlign w:val="center"/>
          </w:tcPr>
          <w:p>
            <w:pPr>
              <w:pStyle w:val="TableContents"/>
              <w:bidi w:val="0"/>
              <w:spacing w:before="0" w:after="283"/>
              <w:jc w:val="center"/>
              <w:rPr>
                <w:b/>
                <w:sz w:val="14"/>
              </w:rPr>
            </w:pPr>
            <w:r>
              <w:rPr>
                <w:b/>
                <w:sz w:val="14"/>
              </w:rPr>
              <w:t>2026</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55" w:type="dxa"/>
            <w:gridSpan w:val="2"/>
            <w:tcBorders>
              <w:bottom w:val="single" w:sz="8" w:space="0" w:color="000000"/>
            </w:tcBorders>
            <w:vAlign w:val="center"/>
          </w:tcPr>
          <w:p>
            <w:pPr>
              <w:pStyle w:val="TableContents"/>
              <w:bidi w:val="0"/>
              <w:spacing w:before="0" w:after="283"/>
              <w:jc w:val="center"/>
              <w:rPr>
                <w:b/>
                <w:sz w:val="14"/>
              </w:rPr>
            </w:pPr>
            <w:r>
              <w:rPr>
                <w:b/>
                <w:sz w:val="14"/>
              </w:rPr>
              <w:t>% of Rev.</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vAlign w:val="center"/>
          </w:tcPr>
          <w:p>
            <w:pPr>
              <w:pStyle w:val="TableContents"/>
              <w:bidi w:val="0"/>
              <w:spacing w:before="0" w:after="283"/>
              <w:jc w:val="center"/>
              <w:rPr>
                <w:b/>
                <w:sz w:val="14"/>
              </w:rPr>
            </w:pPr>
            <w:r>
              <w:rPr>
                <w:b/>
                <w:sz w:val="14"/>
              </w:rPr>
              <w:t>2025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55" w:type="dxa"/>
            <w:gridSpan w:val="2"/>
            <w:tcBorders>
              <w:bottom w:val="single" w:sz="8" w:space="0" w:color="000000"/>
            </w:tcBorders>
            <w:vAlign w:val="center"/>
          </w:tcPr>
          <w:p>
            <w:pPr>
              <w:pStyle w:val="TableContents"/>
              <w:bidi w:val="0"/>
              <w:spacing w:before="0" w:after="283"/>
              <w:jc w:val="center"/>
              <w:rPr>
                <w:b/>
                <w:sz w:val="14"/>
              </w:rPr>
            </w:pPr>
            <w:r>
              <w:rPr>
                <w:b/>
                <w:sz w:val="14"/>
              </w:rPr>
              <w:t>% of Rev.</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5" w:type="dxa"/>
            <w:gridSpan w:val="2"/>
            <w:tcBorders>
              <w:bottom w:val="single" w:sz="8" w:space="0" w:color="000000"/>
            </w:tcBorders>
            <w:vAlign w:val="center"/>
          </w:tcPr>
          <w:p>
            <w:pPr>
              <w:pStyle w:val="TableContents"/>
              <w:bidi w:val="0"/>
              <w:spacing w:before="0" w:after="283"/>
              <w:jc w:val="center"/>
              <w:rPr>
                <w:b/>
                <w:sz w:val="14"/>
              </w:rPr>
            </w:pPr>
            <w:r>
              <w:rPr>
                <w:b/>
                <w:sz w:val="14"/>
              </w:rPr>
              <w:t>Δ% Reported</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vAlign w:val="center"/>
          </w:tcPr>
          <w:p>
            <w:pPr>
              <w:pStyle w:val="TableContents"/>
              <w:bidi w:val="0"/>
              <w:spacing w:before="0" w:after="283"/>
              <w:jc w:val="center"/>
              <w:rPr>
                <w:b/>
                <w:i w:val="false"/>
                <w:caps w:val="false"/>
                <w:smallCaps w:val="false"/>
                <w:sz w:val="14"/>
              </w:rPr>
            </w:pPr>
            <w:r>
              <w:rPr>
                <w:b/>
                <w:i w:val="false"/>
                <w:caps w:val="false"/>
                <w:smallCaps w:val="false"/>
                <w:sz w:val="14"/>
              </w:rPr>
              <w:t xml:space="preserve">Δ% Comparable </w:t>
            </w:r>
            <w:r>
              <w:rPr>
                <w:rFonts w:ascii="Times New Roman;Times;Serif" w:hAnsi="Times New Roman;Times;Serif"/>
                <w:b/>
                <w:i w:val="false"/>
                <w:caps w:val="false"/>
                <w:smallCaps w:val="false"/>
                <w:color w:val="404040"/>
                <w:position w:val="5"/>
                <w:sz w:val="11"/>
                <w:sz w:val="14"/>
              </w:rPr>
              <w:t>(7)</w:t>
            </w:r>
          </w:p>
        </w:tc>
        <w:tc>
          <w:tcPr>
            <w:tcW w:w="14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6" w:type="dxa"/>
            <w:tcBorders/>
            <w:shd w:fill="CCEEFF" w:val="clear"/>
            <w:tcMar>
              <w:bottom w:w="0" w:type="dxa"/>
            </w:tcMar>
            <w:vAlign w:val="center"/>
          </w:tcPr>
          <w:p>
            <w:pPr>
              <w:pStyle w:val="TableContents"/>
              <w:bidi w:val="0"/>
              <w:spacing w:before="0" w:after="283"/>
              <w:jc w:val="left"/>
              <w:rPr>
                <w:b w:val="false"/>
                <w:i w:val="false"/>
                <w:caps w:val="false"/>
                <w:smallCaps w:val="false"/>
                <w:sz w:val="14"/>
              </w:rPr>
            </w:pPr>
            <w:r>
              <w:rPr>
                <w:b w:val="false"/>
                <w:i w:val="false"/>
                <w:caps w:val="false"/>
                <w:smallCaps w:val="false"/>
                <w:sz w:val="14"/>
              </w:rPr>
              <w:t xml:space="preserve">Operating income </w:t>
            </w:r>
            <w:r>
              <w:rPr>
                <w:rFonts w:ascii="Times New Roman;Times;Serif" w:hAnsi="Times New Roman;Times;Serif"/>
                <w:b w:val="false"/>
                <w:i w:val="false"/>
                <w:caps w:val="false"/>
                <w:smallCaps w:val="false"/>
                <w:position w:val="5"/>
                <w:sz w:val="11"/>
                <w:sz w:val="14"/>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10,654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sz w:val="14"/>
              </w:rPr>
            </w:pPr>
            <w:r>
              <w:rPr>
                <w:sz w:val="14"/>
              </w:rPr>
              <w:t>14.0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9,767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sz w:val="14"/>
              </w:rPr>
            </w:pPr>
            <w:r>
              <w:rPr>
                <w:sz w:val="14"/>
              </w:rPr>
              <w:t>13.4</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sz w:val="14"/>
              </w:rPr>
            </w:pPr>
            <w:r>
              <w:rPr>
                <w:sz w:val="14"/>
              </w:rPr>
              <w:t>9.1</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4"/>
              </w:rPr>
            </w:pPr>
            <w:r>
              <w:rPr>
                <w:sz w:val="14"/>
              </w:rPr>
              <w:t>11.1</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19,678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sz w:val="14"/>
              </w:rPr>
            </w:pPr>
            <w:r>
              <w:rPr>
                <w:sz w:val="14"/>
              </w:rPr>
              <w:t>13.4</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18,986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sz w:val="14"/>
              </w:rPr>
            </w:pPr>
            <w:r>
              <w:rPr>
                <w:sz w:val="14"/>
              </w:rPr>
              <w:t>13.3</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493" w:type="dxa"/>
            <w:tcBorders/>
            <w:shd w:fill="CCEEFF" w:val="clear"/>
            <w:tcMar>
              <w:bottom w:w="0" w:type="dxa"/>
            </w:tcMar>
            <w:vAlign w:val="center"/>
          </w:tcPr>
          <w:p>
            <w:pPr>
              <w:pStyle w:val="TableContents"/>
              <w:bidi w:val="0"/>
              <w:spacing w:before="0" w:after="283"/>
              <w:jc w:val="right"/>
              <w:rPr>
                <w:sz w:val="14"/>
              </w:rPr>
            </w:pPr>
            <w:r>
              <w:rPr>
                <w:sz w:val="14"/>
              </w:rPr>
              <w:t>3.6</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sz w:val="14"/>
              </w:rPr>
            </w:pPr>
            <w:r>
              <w:rPr>
                <w:sz w:val="14"/>
              </w:rPr>
              <w:t>8.2</w:t>
            </w:r>
          </w:p>
        </w:tc>
        <w:tc>
          <w:tcPr>
            <w:tcW w:w="148" w:type="dxa"/>
            <w:tcBorders/>
            <w:shd w:fill="CCEEFF" w:val="clear"/>
            <w:tcMar>
              <w:bottom w:w="0" w:type="dxa"/>
            </w:tcMar>
            <w:vAlign w:val="center"/>
          </w:tcPr>
          <w:p>
            <w:pPr>
              <w:pStyle w:val="TableContents"/>
              <w:bidi w:val="0"/>
              <w:spacing w:before="0" w:after="283"/>
              <w:jc w:val="left"/>
              <w:rPr>
                <w:sz w:val="14"/>
              </w:rPr>
            </w:pPr>
            <w:r>
              <w:rPr>
                <w:sz w:val="14"/>
              </w:rPr>
              <w:t>%</w:t>
            </w:r>
          </w:p>
        </w:tc>
      </w:tr>
      <w:tr>
        <w:trPr/>
        <w:tc>
          <w:tcPr>
            <w:tcW w:w="1826" w:type="dxa"/>
            <w:tcBorders/>
            <w:shd w:fill="FFFFFF" w:val="clear"/>
            <w:tcMar>
              <w:bottom w:w="0" w:type="dxa"/>
            </w:tcMar>
            <w:vAlign w:val="center"/>
          </w:tcPr>
          <w:p>
            <w:pPr>
              <w:pStyle w:val="TableContents"/>
              <w:bidi w:val="0"/>
              <w:spacing w:before="0" w:after="283"/>
              <w:jc w:val="left"/>
              <w:rPr>
                <w:sz w:val="14"/>
              </w:rPr>
            </w:pPr>
            <w:r>
              <w:rPr>
                <w:sz w:val="14"/>
              </w:rPr>
              <w:t>Depreciation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sz w:val="14"/>
              </w:rPr>
            </w:pPr>
            <w:r>
              <w:rPr>
                <w:sz w:val="14"/>
              </w:rPr>
              <w:t>3,432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sz w:val="14"/>
              </w:rPr>
            </w:pPr>
            <w:r>
              <w:rPr>
                <w:sz w:val="14"/>
              </w:rPr>
              <w:t>3,160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right"/>
              <w:rPr>
                <w:sz w:val="14"/>
              </w:rPr>
            </w:pPr>
            <w:r>
              <w:rPr>
                <w:sz w:val="14"/>
              </w:rPr>
              <w:t>8.6</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59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sz w:val="14"/>
              </w:rPr>
            </w:pPr>
            <w:r>
              <w:rPr>
                <w:sz w:val="14"/>
              </w:rPr>
              <w:t>6,834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sz w:val="14"/>
              </w:rPr>
            </w:pPr>
            <w:r>
              <w:rPr>
                <w:sz w:val="14"/>
              </w:rPr>
              <w:t>6,259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right"/>
              <w:rPr>
                <w:sz w:val="14"/>
              </w:rPr>
            </w:pPr>
            <w:r>
              <w:rPr>
                <w:sz w:val="14"/>
              </w:rPr>
              <w:t>9.2</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596" w:type="dxa"/>
            <w:tcBorders/>
            <w:shd w:fill="FFFFFF" w:val="clear"/>
            <w:tcMar>
              <w:bottom w:w="0" w:type="dxa"/>
            </w:tcMar>
            <w:vAlign w:val="center"/>
          </w:tcPr>
          <w:p>
            <w:pPr>
              <w:pStyle w:val="TableContents"/>
              <w:bidi w:val="0"/>
              <w:spacing w:before="0" w:after="283"/>
              <w:jc w:val="righ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r>
      <w:tr>
        <w:trPr/>
        <w:tc>
          <w:tcPr>
            <w:tcW w:w="1826" w:type="dxa"/>
            <w:tcBorders/>
            <w:shd w:fill="CCEEFF" w:val="clear"/>
            <w:tcMar>
              <w:bottom w:w="0" w:type="dxa"/>
            </w:tcMar>
            <w:vAlign w:val="center"/>
          </w:tcPr>
          <w:p>
            <w:pPr>
              <w:pStyle w:val="TableContents"/>
              <w:bidi w:val="0"/>
              <w:spacing w:before="0" w:after="283"/>
              <w:jc w:val="left"/>
              <w:rPr>
                <w:sz w:val="14"/>
              </w:rPr>
            </w:pPr>
            <w:r>
              <w:rPr>
                <w:sz w:val="14"/>
              </w:rPr>
              <w:t>Amortization and other operative non-cash charges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461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sz w:val="14"/>
              </w:rPr>
            </w:pPr>
            <w:r>
              <w:rPr>
                <w:sz w:val="14"/>
              </w:rPr>
              <w:t>100.0</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1,856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1,339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493" w:type="dxa"/>
            <w:tcBorders/>
            <w:shd w:fill="CCEEFF" w:val="clear"/>
            <w:tcMar>
              <w:bottom w:w="0" w:type="dxa"/>
            </w:tcMar>
            <w:vAlign w:val="center"/>
          </w:tcPr>
          <w:p>
            <w:pPr>
              <w:pStyle w:val="TableContents"/>
              <w:bidi w:val="0"/>
              <w:spacing w:before="0" w:after="283"/>
              <w:jc w:val="right"/>
              <w:rPr>
                <w:sz w:val="14"/>
              </w:rPr>
            </w:pPr>
            <w:r>
              <w:rPr>
                <w:sz w:val="14"/>
              </w:rPr>
              <w:t>38.6</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r>
      <w:tr>
        <w:trPr/>
        <w:tc>
          <w:tcPr>
            <w:tcW w:w="1826" w:type="dxa"/>
            <w:tcBorders/>
            <w:shd w:fill="FFFFFF" w:val="clear"/>
            <w:tcMar>
              <w:bottom w:w="0" w:type="dxa"/>
            </w:tcMar>
            <w:vAlign w:val="center"/>
          </w:tcPr>
          <w:p>
            <w:pPr>
              <w:pStyle w:val="TableContents"/>
              <w:bidi w:val="0"/>
              <w:spacing w:before="0" w:after="283"/>
              <w:jc w:val="left"/>
              <w:rPr>
                <w:b/>
                <w:i w:val="false"/>
                <w:caps w:val="false"/>
                <w:smallCaps w:val="false"/>
                <w:sz w:val="14"/>
              </w:rPr>
            </w:pPr>
            <w:r>
              <w:rPr>
                <w:b/>
                <w:i w:val="false"/>
                <w:caps w:val="false"/>
                <w:smallCaps w:val="false"/>
                <w:sz w:val="14"/>
              </w:rPr>
              <w:t xml:space="preserve">Adj. EBITDA </w:t>
            </w:r>
            <w:r>
              <w:rPr>
                <w:rFonts w:ascii="Times New Roman;Times;Serif" w:hAnsi="Times New Roman;Times;Serif"/>
                <w:b/>
                <w:i w:val="false"/>
                <w:caps w:val="false"/>
                <w:smallCaps w:val="false"/>
                <w:position w:val="5"/>
                <w:sz w:val="11"/>
                <w:sz w:val="14"/>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sz w:val="14"/>
              </w:rPr>
            </w:pPr>
            <w:r>
              <w:rPr>
                <w:sz w:val="14"/>
              </w:rPr>
              <w:t>15,008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right"/>
              <w:rPr>
                <w:sz w:val="14"/>
              </w:rPr>
            </w:pPr>
            <w:r>
              <w:rPr>
                <w:sz w:val="14"/>
              </w:rPr>
              <w:t>19.7</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sz w:val="14"/>
              </w:rPr>
            </w:pPr>
            <w:r>
              <w:rPr>
                <w:sz w:val="14"/>
              </w:rPr>
              <w:t>13,388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right"/>
              <w:rPr>
                <w:sz w:val="14"/>
              </w:rPr>
            </w:pPr>
            <w:r>
              <w:rPr>
                <w:sz w:val="14"/>
              </w:rPr>
              <w:t>18.4</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right"/>
              <w:rPr>
                <w:sz w:val="14"/>
              </w:rPr>
            </w:pPr>
            <w:r>
              <w:rPr>
                <w:sz w:val="14"/>
              </w:rPr>
              <w:t>12.1</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596" w:type="dxa"/>
            <w:tcBorders/>
            <w:shd w:fill="FFFFFF" w:val="clear"/>
            <w:tcMar>
              <w:bottom w:w="0" w:type="dxa"/>
            </w:tcMar>
            <w:vAlign w:val="center"/>
          </w:tcPr>
          <w:p>
            <w:pPr>
              <w:pStyle w:val="TableContents"/>
              <w:bidi w:val="0"/>
              <w:spacing w:before="0" w:after="283"/>
              <w:jc w:val="right"/>
              <w:rPr>
                <w:sz w:val="14"/>
              </w:rPr>
            </w:pPr>
            <w:r>
              <w:rPr>
                <w:sz w:val="14"/>
              </w:rPr>
              <w:t>14.4</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sz w:val="14"/>
              </w:rPr>
            </w:pPr>
            <w:r>
              <w:rPr>
                <w:sz w:val="14"/>
              </w:rPr>
              <w:t>28,367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right"/>
              <w:rPr>
                <w:sz w:val="14"/>
              </w:rPr>
            </w:pPr>
            <w:r>
              <w:rPr>
                <w:sz w:val="14"/>
              </w:rPr>
              <w:t>19.3</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right"/>
              <w:rPr>
                <w:sz w:val="14"/>
              </w:rPr>
            </w:pPr>
            <w:r>
              <w:rPr>
                <w:sz w:val="14"/>
              </w:rPr>
              <w:t>26,584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right"/>
              <w:rPr>
                <w:sz w:val="14"/>
              </w:rPr>
            </w:pPr>
            <w:r>
              <w:rPr>
                <w:sz w:val="14"/>
              </w:rPr>
              <w:t>18.6</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right"/>
              <w:rPr>
                <w:sz w:val="14"/>
              </w:rPr>
            </w:pPr>
            <w:r>
              <w:rPr>
                <w:sz w:val="14"/>
              </w:rPr>
              <w:t>6.7</w:t>
            </w:r>
          </w:p>
        </w:tc>
        <w:tc>
          <w:tcPr>
            <w:tcW w:w="125" w:type="dxa"/>
            <w:tcBorders/>
            <w:shd w:fill="FFFFFF" w:val="clear"/>
            <w:tcMar>
              <w:bottom w:w="0" w:type="dxa"/>
            </w:tcMar>
            <w:vAlign w:val="center"/>
          </w:tcPr>
          <w:p>
            <w:pPr>
              <w:pStyle w:val="TableContents"/>
              <w:bidi w:val="0"/>
              <w:spacing w:before="0" w:after="283"/>
              <w:jc w:val="left"/>
              <w:rPr>
                <w:sz w:val="14"/>
              </w:rPr>
            </w:pPr>
            <w:r>
              <w:rPr>
                <w:sz w:val="14"/>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596" w:type="dxa"/>
            <w:tcBorders/>
            <w:shd w:fill="FFFFFF" w:val="clear"/>
            <w:tcMar>
              <w:bottom w:w="0" w:type="dxa"/>
            </w:tcMar>
            <w:vAlign w:val="center"/>
          </w:tcPr>
          <w:p>
            <w:pPr>
              <w:pStyle w:val="TableContents"/>
              <w:bidi w:val="0"/>
              <w:spacing w:before="0" w:after="283"/>
              <w:jc w:val="right"/>
              <w:rPr>
                <w:sz w:val="14"/>
              </w:rPr>
            </w:pPr>
            <w:r>
              <w:rPr>
                <w:sz w:val="14"/>
              </w:rPr>
              <w:t>12.0</w:t>
            </w:r>
          </w:p>
        </w:tc>
        <w:tc>
          <w:tcPr>
            <w:tcW w:w="148" w:type="dxa"/>
            <w:tcBorders/>
            <w:shd w:fill="FFFFFF" w:val="clear"/>
            <w:tcMar>
              <w:bottom w:w="0" w:type="dxa"/>
            </w:tcMar>
            <w:vAlign w:val="center"/>
          </w:tcPr>
          <w:p>
            <w:pPr>
              <w:pStyle w:val="TableContents"/>
              <w:bidi w:val="0"/>
              <w:spacing w:before="0" w:after="283"/>
              <w:jc w:val="left"/>
              <w:rPr>
                <w:sz w:val="14"/>
              </w:rPr>
            </w:pPr>
            <w:r>
              <w:rPr>
                <w:sz w:val="14"/>
              </w:rPr>
              <w:t>%</w:t>
            </w:r>
          </w:p>
        </w:tc>
      </w:tr>
      <w:tr>
        <w:trPr/>
        <w:tc>
          <w:tcPr>
            <w:tcW w:w="1826" w:type="dxa"/>
            <w:tcBorders/>
            <w:shd w:fill="CCEEFF" w:val="clear"/>
            <w:tcMar>
              <w:bottom w:w="0" w:type="dxa"/>
            </w:tcMar>
            <w:vAlign w:val="center"/>
          </w:tcPr>
          <w:p>
            <w:pPr>
              <w:pStyle w:val="TableContents"/>
              <w:bidi w:val="0"/>
              <w:spacing w:before="0" w:after="283"/>
              <w:jc w:val="left"/>
              <w:rPr>
                <w:b w:val="false"/>
                <w:i w:val="false"/>
                <w:caps w:val="false"/>
                <w:smallCaps w:val="false"/>
                <w:sz w:val="14"/>
              </w:rPr>
            </w:pPr>
            <w:r>
              <w:rPr>
                <w:b w:val="false"/>
                <w:i w:val="false"/>
                <w:caps w:val="false"/>
                <w:smallCaps w:val="false"/>
                <w:sz w:val="14"/>
              </w:rPr>
              <w:t>CAPEX</w:t>
            </w:r>
            <w:r>
              <w:rPr>
                <w:rFonts w:ascii="Times New Roman;Times;Serif" w:hAnsi="Times New Roman;Times;Serif"/>
                <w:b w:val="false"/>
                <w:i w:val="false"/>
                <w:caps w:val="false"/>
                <w:smallCaps w:val="false"/>
                <w:position w:val="5"/>
                <w:sz w:val="11"/>
                <w:sz w:val="14"/>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4,035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5,404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sz w:val="14"/>
              </w:rPr>
            </w:pPr>
            <w:r>
              <w:rPr>
                <w:sz w:val="14"/>
              </w:rPr>
              <w:t>-25.3</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7,174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right"/>
              <w:rPr>
                <w:sz w:val="14"/>
              </w:rPr>
            </w:pPr>
            <w:r>
              <w:rPr>
                <w:sz w:val="14"/>
              </w:rPr>
              <w:t>9,632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493" w:type="dxa"/>
            <w:tcBorders/>
            <w:shd w:fill="CCEEFF" w:val="clear"/>
            <w:tcMar>
              <w:bottom w:w="0" w:type="dxa"/>
            </w:tcMar>
            <w:vAlign w:val="center"/>
          </w:tcPr>
          <w:p>
            <w:pPr>
              <w:pStyle w:val="TableContents"/>
              <w:bidi w:val="0"/>
              <w:spacing w:before="0" w:after="283"/>
              <w:jc w:val="right"/>
              <w:rPr>
                <w:sz w:val="14"/>
              </w:rPr>
            </w:pPr>
            <w:r>
              <w:rPr>
                <w:sz w:val="14"/>
              </w:rPr>
              <w:t>-25.5</w:t>
            </w:r>
          </w:p>
        </w:tc>
        <w:tc>
          <w:tcPr>
            <w:tcW w:w="125" w:type="dxa"/>
            <w:tcBorders/>
            <w:shd w:fill="CCEEFF" w:val="clear"/>
            <w:tcMar>
              <w:bottom w:w="0" w:type="dxa"/>
            </w:tcMar>
            <w:vAlign w:val="center"/>
          </w:tcPr>
          <w:p>
            <w:pPr>
              <w:pStyle w:val="TableContents"/>
              <w:bidi w:val="0"/>
              <w:spacing w:before="0" w:after="283"/>
              <w:jc w:val="left"/>
              <w:rPr>
                <w:sz w:val="14"/>
              </w:rPr>
            </w:pPr>
            <w:r>
              <w:rPr>
                <w:sz w:val="14"/>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596" w:type="dxa"/>
            <w:tcBorders/>
            <w:shd w:fill="CCEEFF" w:val="clear"/>
            <w:tcMar>
              <w:bottom w:w="0" w:type="dxa"/>
            </w:tcMar>
            <w:vAlign w:val="center"/>
          </w:tcPr>
          <w:p>
            <w:pPr>
              <w:pStyle w:val="TableContents"/>
              <w:bidi w:val="0"/>
              <w:spacing w:before="0" w:after="283"/>
              <w:jc w:val="righ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3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(1)</w:t>
            </w:r>
          </w:p>
        </w:tc>
        <w:tc>
          <w:tcPr>
            <w:tcW w:w="4505" w:type="dxa"/>
            <w:tcBorders/>
            <w:vAlign w:val="center"/>
          </w:tcPr>
          <w:p>
            <w:pPr>
              <w:pStyle w:val="TableContents"/>
              <w:bidi w:val="0"/>
              <w:spacing w:before="0" w:after="283"/>
              <w:jc w:val="both"/>
              <w:rPr>
                <w:i/>
                <w:sz w:val="20"/>
              </w:rPr>
            </w:pPr>
            <w:r>
              <w:rPr>
                <w:i/>
                <w:sz w:val="20"/>
              </w:rPr>
              <w:t>Except volume and average price per unit case figures.</w:t>
            </w:r>
          </w:p>
        </w:tc>
      </w:tr>
    </w:tbl>
    <w:tbl>
      <w:tblPr>
        <w:tblW w:w="4863" w:type="dxa"/>
        <w:jc w:val="left"/>
        <w:tblInd w:w="0" w:type="dxa"/>
        <w:tblLayout w:type="fixed"/>
        <w:tblCellMar>
          <w:top w:w="0" w:type="dxa"/>
          <w:left w:w="0" w:type="dxa"/>
          <w:bottom w:w="0" w:type="dxa"/>
          <w:right w:w="0" w:type="dxa"/>
        </w:tblCellMar>
      </w:tblPr>
      <w:tblGrid>
        <w:gridCol w:w="38"/>
        <w:gridCol w:w="23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(2)</w:t>
            </w:r>
          </w:p>
        </w:tc>
        <w:tc>
          <w:tcPr>
            <w:tcW w:w="4595" w:type="dxa"/>
            <w:tcBorders/>
            <w:vAlign w:val="center"/>
          </w:tcPr>
          <w:p>
            <w:pPr>
              <w:pStyle w:val="TableContents"/>
              <w:bidi w:val="0"/>
              <w:spacing w:before="0" w:after="283"/>
              <w:jc w:val="both"/>
              <w:rPr>
                <w:i/>
                <w:sz w:val="20"/>
              </w:rPr>
            </w:pPr>
            <w:r>
              <w:rPr>
                <w:i/>
                <w:sz w:val="20"/>
              </w:rPr>
              <w:t>Please refer to pages 15 and 16 for revenue breakdown.</w:t>
            </w:r>
          </w:p>
        </w:tc>
      </w:tr>
    </w:tbl>
    <w:tbl>
      <w:tblPr>
        <w:tblW w:w="6618" w:type="dxa"/>
        <w:jc w:val="left"/>
        <w:tblInd w:w="0" w:type="dxa"/>
        <w:tblLayout w:type="fixed"/>
        <w:tblCellMar>
          <w:top w:w="0" w:type="dxa"/>
          <w:left w:w="0" w:type="dxa"/>
          <w:bottom w:w="0" w:type="dxa"/>
          <w:right w:w="0" w:type="dxa"/>
        </w:tblCellMar>
      </w:tblPr>
      <w:tblGrid>
        <w:gridCol w:w="38"/>
        <w:gridCol w:w="23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(3)</w:t>
            </w:r>
          </w:p>
        </w:tc>
        <w:tc>
          <w:tcPr>
            <w:tcW w:w="6350" w:type="dxa"/>
            <w:tcBorders/>
            <w:vAlign w:val="center"/>
          </w:tcPr>
          <w:p>
            <w:pPr>
              <w:pStyle w:val="TableContents"/>
              <w:bidi w:val="0"/>
              <w:spacing w:before="0" w:after="283"/>
              <w:jc w:val="both"/>
              <w:rPr>
                <w:i/>
                <w:sz w:val="20"/>
              </w:rPr>
            </w:pPr>
            <w:r>
              <w:rPr>
                <w:i/>
                <w:sz w:val="20"/>
              </w:rPr>
              <w:t>Includes equity method in Jugos del Valle and Leão Alimentos, among others.</w:t>
            </w:r>
          </w:p>
        </w:tc>
      </w:tr>
    </w:tbl>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(4)</w:t>
            </w:r>
          </w:p>
        </w:tc>
        <w:tc>
          <w:tcPr>
            <w:tcW w:w="8585" w:type="dxa"/>
            <w:tcBorders/>
            <w:vAlign w:val="center"/>
          </w:tcPr>
          <w:p>
            <w:pPr>
              <w:pStyle w:val="TableContents"/>
              <w:bidi w:val="0"/>
              <w:spacing w:before="0" w:after="283"/>
              <w:jc w:val="both"/>
              <w:rPr>
                <w:i/>
                <w:sz w:val="20"/>
              </w:rPr>
            </w:pPr>
            <w:r>
              <w:rPr>
                <w:i/>
                <w:sz w:val="20"/>
              </w:rPr>
              <w:t>Includes equity method in PIASA, IEQSA, Beta San Miguel, IMER, and KSP Participacoes, among others.</w:t>
            </w:r>
          </w:p>
        </w:tc>
      </w:tr>
    </w:tbl>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i/>
                <w:position w:val="7"/>
                <w:sz w:val="16"/>
                <w:sz w:val="20"/>
              </w:rPr>
            </w:pPr>
            <w:r>
              <w:rPr>
                <w:i/>
                <w:position w:val="7"/>
                <w:sz w:val="16"/>
                <w:sz w:val="20"/>
              </w:rPr>
              <w:t>(5)</w:t>
            </w:r>
          </w:p>
        </w:tc>
        <w:tc>
          <w:tcPr>
            <w:tcW w:w="9938" w:type="dxa"/>
            <w:tcBorders/>
            <w:vAlign w:val="center"/>
          </w:tcPr>
          <w:p>
            <w:pPr>
              <w:pStyle w:val="TableContents"/>
              <w:bidi w:val="0"/>
              <w:spacing w:before="0" w:after="283"/>
              <w:jc w:val="both"/>
              <w:rPr>
                <w:i/>
                <w:sz w:val="20"/>
              </w:rPr>
            </w:pPr>
            <w:r>
              <w:rPr>
                <w:i/>
                <w:sz w:val="20"/>
              </w:rPr>
              <w:t>The operating income and adjusted EBITDA lines are presented as non-GAAP measures for the convenience of the reader.</w:t>
            </w:r>
          </w:p>
        </w:tc>
      </w:tr>
    </w:tbl>
    <w:tbl>
      <w:tblPr>
        <w:tblW w:w="8868" w:type="dxa"/>
        <w:jc w:val="left"/>
        <w:tblInd w:w="0" w:type="dxa"/>
        <w:tblLayout w:type="fixed"/>
        <w:tblCellMar>
          <w:top w:w="0" w:type="dxa"/>
          <w:left w:w="0" w:type="dxa"/>
          <w:bottom w:w="0" w:type="dxa"/>
          <w:right w:w="0" w:type="dxa"/>
        </w:tblCellMar>
      </w:tblPr>
      <w:tblGrid>
        <w:gridCol w:w="38"/>
        <w:gridCol w:w="23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(6)</w:t>
            </w:r>
          </w:p>
        </w:tc>
        <w:tc>
          <w:tcPr>
            <w:tcW w:w="8600" w:type="dxa"/>
            <w:tcBorders/>
            <w:vAlign w:val="center"/>
          </w:tcPr>
          <w:p>
            <w:pPr>
              <w:pStyle w:val="TableContents"/>
              <w:bidi w:val="0"/>
              <w:spacing w:before="0" w:after="283"/>
              <w:jc w:val="both"/>
              <w:rPr>
                <w:i/>
                <w:sz w:val="20"/>
              </w:rPr>
            </w:pPr>
            <w:r>
              <w:rPr>
                <w:i/>
                <w:sz w:val="20"/>
              </w:rPr>
              <w:t>Adjusted EBITDA = operating income + depreciation, amortization &amp; other operating non-cash charges.</w:t>
            </w:r>
          </w:p>
        </w:tc>
      </w:tr>
    </w:tbl>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i/>
                <w:position w:val="7"/>
                <w:sz w:val="16"/>
                <w:sz w:val="20"/>
              </w:rPr>
            </w:pPr>
            <w:r>
              <w:rPr>
                <w:i/>
                <w:position w:val="7"/>
                <w:sz w:val="16"/>
                <w:sz w:val="20"/>
              </w:rPr>
              <w:t>(7)</w:t>
            </w:r>
          </w:p>
        </w:tc>
        <w:tc>
          <w:tcPr>
            <w:tcW w:w="9954" w:type="dxa"/>
            <w:tcBorders/>
            <w:vAlign w:val="center"/>
          </w:tcPr>
          <w:p>
            <w:pPr>
              <w:pStyle w:val="TableContents"/>
              <w:bidi w:val="0"/>
              <w:spacing w:before="0" w:after="283"/>
              <w:jc w:val="both"/>
              <w:rPr>
                <w:i/>
                <w:sz w:val="20"/>
              </w:rPr>
            </w:pPr>
            <w:r>
              <w:rPr>
                <w:i/>
                <w:sz w:val="20"/>
              </w:rPr>
              <w:t>Please refer to page 10 for our definition of “comparable” and a description of the factors affecting the comparability of our financial and operating performance.</w:t>
            </w:r>
          </w:p>
        </w:tc>
      </w:tr>
    </w:tbl>
    <w:tbl>
      <w:tblPr>
        <w:tblW w:w="8433" w:type="dxa"/>
        <w:jc w:val="left"/>
        <w:tblInd w:w="0" w:type="dxa"/>
        <w:tblLayout w:type="fixed"/>
        <w:tblCellMar>
          <w:top w:w="0" w:type="dxa"/>
          <w:left w:w="0" w:type="dxa"/>
          <w:bottom w:w="0" w:type="dxa"/>
          <w:right w:w="0" w:type="dxa"/>
        </w:tblCellMar>
      </w:tblPr>
      <w:tblGrid>
        <w:gridCol w:w="38"/>
        <w:gridCol w:w="23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(8)</w:t>
            </w:r>
          </w:p>
        </w:tc>
        <w:tc>
          <w:tcPr>
            <w:tcW w:w="8165" w:type="dxa"/>
            <w:tcBorders/>
            <w:vAlign w:val="center"/>
          </w:tcPr>
          <w:p>
            <w:pPr>
              <w:pStyle w:val="TableContents"/>
              <w:bidi w:val="0"/>
              <w:spacing w:before="0" w:after="283"/>
              <w:jc w:val="both"/>
              <w:rPr>
                <w:i/>
                <w:sz w:val="20"/>
              </w:rPr>
            </w:pPr>
            <w:r>
              <w:rPr>
                <w:i/>
                <w:sz w:val="20"/>
              </w:rPr>
              <w:t>As of June 30, 2026, the investment in fixed assets effectively paid is equivalent to Ps. 7,834 million.</w:t>
            </w:r>
          </w:p>
        </w:tc>
      </w:tr>
    </w:tbl>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515"/>
        <w:gridCol w:w="1160"/>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160" w:type="dxa"/>
            <w:tcBorders/>
            <w:vAlign w:val="center"/>
          </w:tcPr>
          <w:p>
            <w:pPr>
              <w:pStyle w:val="TableContents"/>
              <w:bidi w:val="0"/>
              <w:spacing w:before="0" w:after="283"/>
              <w:jc w:val="right"/>
              <w:rPr>
                <w:b/>
                <w:sz w:val="20"/>
              </w:rPr>
            </w:pPr>
            <w:r>
              <w:rPr>
                <w:b/>
                <w:sz w:val="20"/>
              </w:rPr>
              <w:t>Page 12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sz w:val="20"/>
        </w:rPr>
      </w:pPr>
      <w:r>
        <w:rPr>
          <w:sz w:val="20"/>
        </w:rPr>
        <w:t>MEXICO &amp; CENTRAL AMERICA DIVISION</w:t>
      </w:r>
    </w:p>
    <w:p>
      <w:pPr>
        <w:pStyle w:val="TextBody"/>
        <w:bidi w:val="0"/>
        <w:jc w:val="center"/>
        <w:rPr>
          <w:sz w:val="20"/>
        </w:rPr>
      </w:pPr>
      <w:r>
        <w:rPr>
          <w:sz w:val="20"/>
        </w:rPr>
        <w:t>RESULTS OF OPERATIONS</w:t>
      </w:r>
    </w:p>
    <w:p>
      <w:pPr>
        <w:pStyle w:val="TextBody"/>
        <w:bidi w:val="0"/>
        <w:jc w:val="center"/>
        <w:rPr>
          <w:sz w:val="20"/>
        </w:rPr>
      </w:pPr>
      <w:r>
        <w:rPr>
          <w:sz w:val="20"/>
        </w:rPr>
        <w:t xml:space="preserve">Millions of Pesos </w:t>
      </w:r>
      <w:r>
        <w:rPr>
          <w:rFonts w:ascii="Times New Roman;Times;Serif" w:hAnsi="Times New Roman;Times;Serif"/>
          <w:b/>
          <w:i w:val="false"/>
          <w:caps w:val="false"/>
          <w:smallCaps w:val="false"/>
          <w:color w:val="393943"/>
          <w:position w:val="7"/>
          <w:sz w:val="16"/>
          <w:sz w:val="20"/>
        </w:rPr>
        <w:t>(1)</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01"/>
        <w:gridCol w:w="60"/>
        <w:gridCol w:w="60"/>
        <w:gridCol w:w="455"/>
        <w:gridCol w:w="65"/>
        <w:gridCol w:w="60"/>
        <w:gridCol w:w="67"/>
        <w:gridCol w:w="392"/>
        <w:gridCol w:w="125"/>
        <w:gridCol w:w="60"/>
        <w:gridCol w:w="60"/>
        <w:gridCol w:w="455"/>
        <w:gridCol w:w="65"/>
        <w:gridCol w:w="60"/>
        <w:gridCol w:w="67"/>
        <w:gridCol w:w="392"/>
        <w:gridCol w:w="125"/>
        <w:gridCol w:w="60"/>
        <w:gridCol w:w="110"/>
        <w:gridCol w:w="450"/>
        <w:gridCol w:w="125"/>
        <w:gridCol w:w="60"/>
        <w:gridCol w:w="155"/>
        <w:gridCol w:w="639"/>
        <w:gridCol w:w="125"/>
        <w:gridCol w:w="60"/>
        <w:gridCol w:w="60"/>
        <w:gridCol w:w="455"/>
        <w:gridCol w:w="65"/>
        <w:gridCol w:w="60"/>
        <w:gridCol w:w="67"/>
        <w:gridCol w:w="392"/>
        <w:gridCol w:w="125"/>
        <w:gridCol w:w="60"/>
        <w:gridCol w:w="60"/>
        <w:gridCol w:w="455"/>
        <w:gridCol w:w="65"/>
        <w:gridCol w:w="60"/>
        <w:gridCol w:w="67"/>
        <w:gridCol w:w="392"/>
        <w:gridCol w:w="125"/>
        <w:gridCol w:w="60"/>
        <w:gridCol w:w="88"/>
        <w:gridCol w:w="472"/>
        <w:gridCol w:w="125"/>
        <w:gridCol w:w="60"/>
        <w:gridCol w:w="155"/>
        <w:gridCol w:w="639"/>
        <w:gridCol w:w="145"/>
      </w:tblGrid>
      <w:tr>
        <w:trPr/>
        <w:tc>
          <w:tcPr>
            <w:tcW w:w="16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7" w:type="dxa"/>
            <w:gridSpan w:val="22"/>
            <w:tcBorders>
              <w:bottom w:val="single" w:sz="8" w:space="0" w:color="000000"/>
            </w:tcBorders>
            <w:tcMar>
              <w:bottom w:w="28" w:type="dxa"/>
            </w:tcMar>
            <w:vAlign w:val="center"/>
          </w:tcPr>
          <w:p>
            <w:pPr>
              <w:pStyle w:val="TableContents"/>
              <w:bidi w:val="0"/>
              <w:spacing w:before="0" w:after="283"/>
              <w:jc w:val="center"/>
              <w:rPr>
                <w:b/>
                <w:sz w:val="14"/>
              </w:rPr>
            </w:pPr>
            <w:r>
              <w:rPr>
                <w:b/>
                <w:sz w:val="14"/>
              </w:rPr>
              <w:t>For the Second Quarter of:</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7" w:type="dxa"/>
            <w:gridSpan w:val="22"/>
            <w:tcBorders>
              <w:bottom w:val="single" w:sz="8" w:space="0" w:color="000000"/>
            </w:tcBorders>
            <w:tcMar>
              <w:bottom w:w="28" w:type="dxa"/>
            </w:tcMar>
            <w:vAlign w:val="center"/>
          </w:tcPr>
          <w:p>
            <w:pPr>
              <w:pStyle w:val="TableContents"/>
              <w:bidi w:val="0"/>
              <w:spacing w:before="0" w:after="283"/>
              <w:jc w:val="center"/>
              <w:rPr>
                <w:b/>
                <w:sz w:val="14"/>
              </w:rPr>
            </w:pPr>
            <w:r>
              <w:rPr>
                <w:b/>
                <w:sz w:val="14"/>
              </w:rPr>
              <w:t>For the first Six Months of:</w:t>
            </w:r>
          </w:p>
        </w:tc>
        <w:tc>
          <w:tcPr>
            <w:tcW w:w="145"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2026</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2025</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Δ%</w:t>
              <w:br/>
              <w:t>Reported</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4"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4"/>
              </w:rPr>
            </w:pPr>
            <w:r>
              <w:rPr>
                <w:b/>
                <w:i w:val="false"/>
                <w:caps w:val="false"/>
                <w:smallCaps w:val="false"/>
                <w:sz w:val="14"/>
              </w:rPr>
              <w:t>Δ%</w:t>
              <w:br/>
              <w:t xml:space="preserve">Comparable </w:t>
            </w:r>
            <w:r>
              <w:rPr>
                <w:rFonts w:ascii="Times New Roman;Times;Serif" w:hAnsi="Times New Roman;Times;Serif"/>
                <w:b/>
                <w:i w:val="false"/>
                <w:caps w:val="false"/>
                <w:smallCaps w:val="false"/>
                <w:color w:val="404040"/>
                <w:position w:val="5"/>
                <w:sz w:val="11"/>
                <w:sz w:val="14"/>
              </w:rPr>
              <w:t>(6)</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2026</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2025</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Δ%</w:t>
              <w:br/>
              <w:t>Reported</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4"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4"/>
              </w:rPr>
            </w:pPr>
            <w:r>
              <w:rPr>
                <w:b/>
                <w:i w:val="false"/>
                <w:caps w:val="false"/>
                <w:smallCaps w:val="false"/>
                <w:sz w:val="14"/>
              </w:rPr>
              <w:t>Δ%</w:t>
              <w:br/>
              <w:t xml:space="preserve">Comparable </w:t>
            </w:r>
            <w:r>
              <w:rPr>
                <w:rFonts w:ascii="Times New Roman;Times;Serif" w:hAnsi="Times New Roman;Times;Serif"/>
                <w:b/>
                <w:i w:val="false"/>
                <w:caps w:val="false"/>
                <w:smallCaps w:val="false"/>
                <w:color w:val="404040"/>
                <w:position w:val="5"/>
                <w:sz w:val="11"/>
                <w:sz w:val="14"/>
              </w:rPr>
              <w:t>(6)</w:t>
            </w:r>
          </w:p>
        </w:tc>
        <w:tc>
          <w:tcPr>
            <w:tcW w:w="1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601" w:type="dxa"/>
            <w:tcBorders/>
            <w:shd w:fill="CCEEFF" w:val="clear"/>
            <w:vAlign w:val="center"/>
          </w:tcPr>
          <w:p>
            <w:pPr>
              <w:pStyle w:val="TableContents"/>
              <w:bidi w:val="0"/>
              <w:spacing w:before="0" w:after="283"/>
              <w:jc w:val="left"/>
              <w:rPr>
                <w:b/>
                <w:sz w:val="14"/>
              </w:rPr>
            </w:pPr>
            <w:r>
              <w:rPr>
                <w:b/>
                <w:sz w:val="14"/>
              </w:rPr>
              <w:t>Transactions (million transactions)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3,311.8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3,279.8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sz w:val="14"/>
              </w:rPr>
            </w:pPr>
            <w:r>
              <w:rPr>
                <w:sz w:val="14"/>
              </w:rPr>
              <w:t>1.0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sz w:val="14"/>
              </w:rPr>
            </w:pPr>
            <w:r>
              <w:rPr>
                <w:sz w:val="14"/>
              </w:rPr>
              <w:t>1.0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6,127.2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6,182.9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sz w:val="14"/>
              </w:rPr>
            </w:pPr>
            <w:r>
              <w:rPr>
                <w:sz w:val="14"/>
              </w:rPr>
              <w:t>-0.9</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sz w:val="14"/>
              </w:rPr>
            </w:pPr>
            <w:r>
              <w:rPr>
                <w:sz w:val="14"/>
              </w:rPr>
              <w:t>-0.9</w:t>
            </w:r>
          </w:p>
        </w:tc>
        <w:tc>
          <w:tcPr>
            <w:tcW w:w="145" w:type="dxa"/>
            <w:tcBorders/>
            <w:shd w:fill="CCEEFF" w:val="clear"/>
            <w:vAlign w:val="center"/>
          </w:tcPr>
          <w:p>
            <w:pPr>
              <w:pStyle w:val="TableContents"/>
              <w:bidi w:val="0"/>
              <w:spacing w:before="0" w:after="283"/>
              <w:jc w:val="left"/>
              <w:rPr>
                <w:sz w:val="14"/>
              </w:rPr>
            </w:pPr>
            <w:r>
              <w:rPr>
                <w:sz w:val="14"/>
              </w:rPr>
              <w:t>%</w:t>
            </w:r>
          </w:p>
        </w:tc>
      </w:tr>
      <w:tr>
        <w:trPr/>
        <w:tc>
          <w:tcPr>
            <w:tcW w:w="1601" w:type="dxa"/>
            <w:tcBorders/>
            <w:shd w:fill="FFFFFF" w:val="clear"/>
            <w:vAlign w:val="center"/>
          </w:tcPr>
          <w:p>
            <w:pPr>
              <w:pStyle w:val="TableContents"/>
              <w:bidi w:val="0"/>
              <w:spacing w:before="0" w:after="283"/>
              <w:jc w:val="left"/>
              <w:rPr>
                <w:b/>
                <w:i w:val="false"/>
                <w:caps w:val="false"/>
                <w:smallCaps w:val="false"/>
                <w:sz w:val="14"/>
              </w:rPr>
            </w:pPr>
            <w:r>
              <w:rPr>
                <w:b/>
                <w:i w:val="false"/>
                <w:caps w:val="false"/>
                <w:smallCaps w:val="false"/>
                <w:sz w:val="14"/>
              </w:rPr>
              <w:t>Volume (million unit cases)</w:t>
            </w:r>
            <w:r>
              <w:rPr>
                <w:b/>
                <w:i w:val="false"/>
                <w:caps w:val="false"/>
                <w:smallCaps w:val="false"/>
                <w:position w:val="5"/>
                <w:sz w:val="11"/>
                <w:sz w:val="14"/>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645.9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636.9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sz w:val="14"/>
              </w:rPr>
            </w:pPr>
            <w:r>
              <w:rPr>
                <w:sz w:val="14"/>
              </w:rPr>
              <w:t>1.4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1.4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1,190.4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1,190.2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sz w:val="14"/>
              </w:rPr>
            </w:pPr>
            <w:r>
              <w:rPr>
                <w:sz w:val="14"/>
              </w:rPr>
              <w:t>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0.0</w:t>
            </w:r>
          </w:p>
        </w:tc>
        <w:tc>
          <w:tcPr>
            <w:tcW w:w="145" w:type="dxa"/>
            <w:tcBorders/>
            <w:shd w:fill="FFFFFF" w:val="clear"/>
            <w:vAlign w:val="center"/>
          </w:tcPr>
          <w:p>
            <w:pPr>
              <w:pStyle w:val="TableContents"/>
              <w:bidi w:val="0"/>
              <w:spacing w:before="0" w:after="283"/>
              <w:jc w:val="left"/>
              <w:rPr>
                <w:sz w:val="14"/>
              </w:rPr>
            </w:pPr>
            <w:r>
              <w:rPr>
                <w:sz w:val="14"/>
              </w:rPr>
              <w:t>%</w:t>
            </w:r>
          </w:p>
        </w:tc>
      </w:tr>
      <w:tr>
        <w:trPr/>
        <w:tc>
          <w:tcPr>
            <w:tcW w:w="1601" w:type="dxa"/>
            <w:tcBorders/>
            <w:shd w:fill="CCEEFF" w:val="clear"/>
            <w:vAlign w:val="center"/>
          </w:tcPr>
          <w:p>
            <w:pPr>
              <w:pStyle w:val="TableContents"/>
              <w:bidi w:val="0"/>
              <w:spacing w:before="0" w:after="283"/>
              <w:jc w:val="left"/>
              <w:rPr>
                <w:sz w:val="14"/>
              </w:rPr>
            </w:pPr>
            <w:r>
              <w:rPr>
                <w:sz w:val="14"/>
              </w:rPr>
              <w:t>Average price per unit case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69.27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70.42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sz w:val="14"/>
              </w:rPr>
            </w:pPr>
            <w:r>
              <w:rPr>
                <w:sz w:val="14"/>
              </w:rPr>
              <w:t>-1.6</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70.00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70.73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sz w:val="14"/>
              </w:rPr>
            </w:pPr>
            <w:r>
              <w:rPr>
                <w:sz w:val="14"/>
              </w:rPr>
              <w:t>-1.0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sz w:val="14"/>
              </w:rPr>
            </w:pPr>
            <w:r>
              <w:rPr>
                <w:sz w:val="14"/>
              </w:rPr>
              <w:t>Net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45,435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45,297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84,541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84,959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r>
      <w:tr>
        <w:trPr/>
        <w:tc>
          <w:tcPr>
            <w:tcW w:w="1601" w:type="dxa"/>
            <w:tcBorders/>
            <w:shd w:fill="CCEEFF" w:val="clear"/>
            <w:vAlign w:val="center"/>
          </w:tcPr>
          <w:p>
            <w:pPr>
              <w:pStyle w:val="TableContents"/>
              <w:bidi w:val="0"/>
              <w:spacing w:before="0" w:after="283"/>
              <w:jc w:val="left"/>
              <w:rPr>
                <w:sz w:val="14"/>
              </w:rPr>
            </w:pPr>
            <w:r>
              <w:rPr>
                <w:sz w:val="14"/>
              </w:rPr>
              <w:t>Other operating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b/>
                <w:i w:val="false"/>
                <w:caps w:val="false"/>
                <w:smallCaps w:val="false"/>
                <w:sz w:val="14"/>
              </w:rPr>
            </w:pPr>
            <w:r>
              <w:rPr>
                <w:b/>
                <w:i w:val="false"/>
                <w:caps w:val="false"/>
                <w:smallCaps w:val="false"/>
                <w:sz w:val="14"/>
              </w:rPr>
              <w:t xml:space="preserve">Total Revenues </w:t>
            </w:r>
            <w:r>
              <w:rPr>
                <w:rFonts w:ascii="Times New Roman;Times;Serif" w:hAnsi="Times New Roman;Times;Serif"/>
                <w:b/>
                <w:i w:val="false"/>
                <w:caps w:val="false"/>
                <w:smallCaps w:val="false"/>
                <w:position w:val="5"/>
                <w:sz w:val="11"/>
                <w:sz w:val="14"/>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45,450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45,306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sz w:val="14"/>
              </w:rPr>
            </w:pPr>
            <w:r>
              <w:rPr>
                <w:sz w:val="14"/>
              </w:rPr>
              <w:t>0.3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2.0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84,567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84,975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sz w:val="14"/>
              </w:rPr>
            </w:pPr>
            <w:r>
              <w:rPr>
                <w:sz w:val="14"/>
              </w:rPr>
              <w:t>-0.5</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1.7</w:t>
            </w:r>
          </w:p>
        </w:tc>
        <w:tc>
          <w:tcPr>
            <w:tcW w:w="145" w:type="dxa"/>
            <w:tcBorders/>
            <w:shd w:fill="FFFFFF" w:val="clear"/>
            <w:vAlign w:val="center"/>
          </w:tcPr>
          <w:p>
            <w:pPr>
              <w:pStyle w:val="TableContents"/>
              <w:bidi w:val="0"/>
              <w:spacing w:before="0" w:after="283"/>
              <w:jc w:val="left"/>
              <w:rPr>
                <w:sz w:val="14"/>
              </w:rPr>
            </w:pPr>
            <w:r>
              <w:rPr>
                <w:sz w:val="14"/>
              </w:rPr>
              <w:t>%</w:t>
            </w:r>
          </w:p>
        </w:tc>
      </w:tr>
      <w:tr>
        <w:trPr/>
        <w:tc>
          <w:tcPr>
            <w:tcW w:w="1601" w:type="dxa"/>
            <w:tcBorders/>
            <w:shd w:fill="CCEEFF" w:val="clear"/>
            <w:vAlign w:val="center"/>
          </w:tcPr>
          <w:p>
            <w:pPr>
              <w:pStyle w:val="TableContents"/>
              <w:bidi w:val="0"/>
              <w:spacing w:before="0" w:after="283"/>
              <w:jc w:val="left"/>
              <w:rPr>
                <w:sz w:val="14"/>
              </w:rPr>
            </w:pPr>
            <w:r>
              <w:rPr>
                <w:sz w:val="14"/>
              </w:rPr>
              <w:t>Cost of goods sold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23,209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51.1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23,902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52.8</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43,305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51.2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44,686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52.6</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b/>
                <w:sz w:val="14"/>
              </w:rPr>
            </w:pPr>
            <w:r>
              <w:rPr>
                <w:b/>
                <w:sz w:val="14"/>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22,241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48.9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21,404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47.2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sz w:val="14"/>
              </w:rPr>
            </w:pPr>
            <w:r>
              <w:rPr>
                <w:sz w:val="14"/>
              </w:rPr>
              <w:t>3.9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5.6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41,262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48.8</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40,289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47.4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sz w:val="14"/>
              </w:rPr>
            </w:pPr>
            <w:r>
              <w:rPr>
                <w:sz w:val="14"/>
              </w:rPr>
              <w:t>2.4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4.7</w:t>
            </w:r>
          </w:p>
        </w:tc>
        <w:tc>
          <w:tcPr>
            <w:tcW w:w="145" w:type="dxa"/>
            <w:tcBorders/>
            <w:shd w:fill="FFFFFF" w:val="clear"/>
            <w:vAlign w:val="center"/>
          </w:tcPr>
          <w:p>
            <w:pPr>
              <w:pStyle w:val="TableContents"/>
              <w:bidi w:val="0"/>
              <w:spacing w:before="0" w:after="283"/>
              <w:jc w:val="left"/>
              <w:rPr>
                <w:sz w:val="14"/>
              </w:rPr>
            </w:pPr>
            <w:r>
              <w:rPr>
                <w:sz w:val="14"/>
              </w:rPr>
              <w:t>%</w:t>
            </w:r>
          </w:p>
        </w:tc>
      </w:tr>
      <w:tr>
        <w:trPr/>
        <w:tc>
          <w:tcPr>
            <w:tcW w:w="1601" w:type="dxa"/>
            <w:tcBorders/>
            <w:shd w:fill="CCEEFF" w:val="clear"/>
            <w:vAlign w:val="center"/>
          </w:tcPr>
          <w:p>
            <w:pPr>
              <w:pStyle w:val="TableContents"/>
              <w:bidi w:val="0"/>
              <w:spacing w:before="0" w:after="283"/>
              <w:jc w:val="left"/>
              <w:rPr>
                <w:sz w:val="14"/>
              </w:rPr>
            </w:pPr>
            <w:r>
              <w:rPr>
                <w:sz w:val="14"/>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15,960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35.1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14,973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33.0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30,439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36.0</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28,334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33.3</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sz w:val="14"/>
              </w:rPr>
            </w:pPr>
            <w:r>
              <w:rPr>
                <w:sz w:val="14"/>
              </w:rPr>
              <w:t>Other operative expenses,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(320</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0.7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159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0.2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(163</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0.2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r>
      <w:tr>
        <w:trPr/>
        <w:tc>
          <w:tcPr>
            <w:tcW w:w="1601" w:type="dxa"/>
            <w:tcBorders/>
            <w:shd w:fill="CCEEFF" w:val="clear"/>
            <w:vAlign w:val="center"/>
          </w:tcPr>
          <w:p>
            <w:pPr>
              <w:pStyle w:val="TableContents"/>
              <w:bidi w:val="0"/>
              <w:spacing w:before="0" w:after="283"/>
              <w:jc w:val="left"/>
              <w:rPr>
                <w:b w:val="false"/>
                <w:i w:val="false"/>
                <w:caps w:val="false"/>
                <w:smallCaps w:val="false"/>
                <w:sz w:val="14"/>
              </w:rPr>
            </w:pPr>
            <w:r>
              <w:rPr>
                <w:b w:val="false"/>
                <w:i w:val="false"/>
                <w:caps w:val="false"/>
                <w:smallCaps w:val="false"/>
                <w:sz w:val="14"/>
              </w:rPr>
              <w:t xml:space="preserve">Operative equity method (gain) loss in associates </w:t>
            </w:r>
            <w:r>
              <w:rPr>
                <w:rFonts w:ascii="Times New Roman;Times;Serif" w:hAnsi="Times New Roman;Times;Serif"/>
                <w:b w:val="false"/>
                <w:i w:val="false"/>
                <w:caps w:val="false"/>
                <w:smallCaps w:val="false"/>
                <w:position w:val="5"/>
                <w:sz w:val="11"/>
                <w:sz w:val="14"/>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(96</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0.2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(79</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0.2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(148</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0.2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(110</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0.1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 xml:space="preserve">Operating income </w:t>
            </w:r>
            <w:r>
              <w:rPr>
                <w:rFonts w:ascii="Times New Roman;Times;Serif" w:hAnsi="Times New Roman;Times;Serif"/>
                <w:b/>
                <w:i w:val="false"/>
                <w:caps w:val="false"/>
                <w:smallCaps w:val="false"/>
                <w:position w:val="5"/>
                <w:sz w:val="11"/>
                <w:sz w:val="14"/>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6,351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14.0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6,829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15.1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sz w:val="14"/>
              </w:rPr>
            </w:pPr>
            <w:r>
              <w:rPr>
                <w:sz w:val="14"/>
              </w:rPr>
              <w:t>-7.0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-5.4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10,812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12.8</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12,229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14.4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sz w:val="14"/>
              </w:rPr>
            </w:pPr>
            <w:r>
              <w:rPr>
                <w:sz w:val="14"/>
              </w:rPr>
              <w:t>-11.6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-9.2</w:t>
            </w:r>
          </w:p>
        </w:tc>
        <w:tc>
          <w:tcPr>
            <w:tcW w:w="145" w:type="dxa"/>
            <w:tcBorders/>
            <w:shd w:fill="FFFFFF" w:val="clear"/>
            <w:vAlign w:val="center"/>
          </w:tcPr>
          <w:p>
            <w:pPr>
              <w:pStyle w:val="TableContents"/>
              <w:bidi w:val="0"/>
              <w:spacing w:before="0" w:after="283"/>
              <w:jc w:val="left"/>
              <w:rPr>
                <w:sz w:val="14"/>
              </w:rPr>
            </w:pPr>
            <w:r>
              <w:rPr>
                <w:sz w:val="14"/>
              </w:rPr>
              <w:t>%</w:t>
            </w:r>
          </w:p>
        </w:tc>
      </w:tr>
      <w:tr>
        <w:trPr/>
        <w:tc>
          <w:tcPr>
            <w:tcW w:w="1601" w:type="dxa"/>
            <w:tcBorders/>
            <w:shd w:fill="CCEEFF" w:val="clear"/>
            <w:vAlign w:val="center"/>
          </w:tcPr>
          <w:p>
            <w:pPr>
              <w:pStyle w:val="TableContents"/>
              <w:bidi w:val="0"/>
              <w:spacing w:before="0" w:after="283"/>
              <w:jc w:val="left"/>
              <w:rPr>
                <w:sz w:val="14"/>
              </w:rPr>
            </w:pPr>
            <w:r>
              <w:rPr>
                <w:sz w:val="14"/>
              </w:rPr>
              <w:t>Depreciation, amortization &amp; other operating non-cash charges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2,605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2,096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4.6</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5,271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6.2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4,605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5.4</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b/>
                <w:i w:val="false"/>
                <w:caps w:val="false"/>
                <w:smallCaps w:val="false"/>
                <w:sz w:val="14"/>
              </w:rPr>
            </w:pPr>
            <w:r>
              <w:rPr>
                <w:b/>
                <w:i w:val="false"/>
                <w:caps w:val="false"/>
                <w:smallCaps w:val="false"/>
                <w:sz w:val="14"/>
              </w:rPr>
              <w:t xml:space="preserve">Adj. EBITDA </w:t>
            </w:r>
            <w:r>
              <w:rPr>
                <w:rFonts w:ascii="Times New Roman;Times;Serif" w:hAnsi="Times New Roman;Times;Serif"/>
                <w:b/>
                <w:i w:val="false"/>
                <w:caps w:val="false"/>
                <w:smallCaps w:val="false"/>
                <w:position w:val="5"/>
                <w:sz w:val="11"/>
                <w:sz w:val="14"/>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8,956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19.7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8,926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19.7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sz w:val="14"/>
              </w:rPr>
            </w:pPr>
            <w:r>
              <w:rPr>
                <w:sz w:val="14"/>
              </w:rPr>
              <w:t>0.3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2.2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16,083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19.0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16,834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19.8</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sz w:val="14"/>
              </w:rPr>
            </w:pPr>
            <w:r>
              <w:rPr>
                <w:sz w:val="14"/>
              </w:rPr>
              <w:t>-4.5</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4"/>
              </w:rPr>
            </w:pPr>
            <w:r>
              <w:rPr>
                <w:sz w:val="14"/>
              </w:rPr>
              <w:t>-1.9</w:t>
            </w:r>
          </w:p>
        </w:tc>
        <w:tc>
          <w:tcPr>
            <w:tcW w:w="145" w:type="dxa"/>
            <w:tcBorders/>
            <w:shd w:fill="FFFFFF" w:val="clear"/>
            <w:vAlign w:val="center"/>
          </w:tcPr>
          <w:p>
            <w:pPr>
              <w:pStyle w:val="TableContents"/>
              <w:bidi w:val="0"/>
              <w:spacing w:before="0" w:after="283"/>
              <w:jc w:val="left"/>
              <w:rPr>
                <w:sz w:val="14"/>
              </w:rPr>
            </w:pPr>
            <w:r>
              <w:rPr>
                <w:sz w:val="14"/>
              </w:rPr>
              <w:t>%</w:t>
            </w:r>
          </w:p>
        </w:tc>
      </w:tr>
    </w:tbl>
    <w:p>
      <w:pPr>
        <w:pStyle w:val="TextBody"/>
        <w:bidi w:val="0"/>
        <w:spacing w:before="0" w:after="0"/>
        <w:ind w:left="0" w:right="0" w:hanging="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3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(1)</w:t>
            </w:r>
          </w:p>
        </w:tc>
        <w:tc>
          <w:tcPr>
            <w:tcW w:w="4505" w:type="dxa"/>
            <w:tcBorders/>
            <w:vAlign w:val="center"/>
          </w:tcPr>
          <w:p>
            <w:pPr>
              <w:pStyle w:val="TableContents"/>
              <w:bidi w:val="0"/>
              <w:spacing w:before="0" w:after="283"/>
              <w:jc w:val="both"/>
              <w:rPr>
                <w:i/>
                <w:sz w:val="20"/>
              </w:rPr>
            </w:pPr>
            <w:r>
              <w:rPr>
                <w:i/>
                <w:sz w:val="20"/>
              </w:rPr>
              <w:t>Except volume and average price per unit case figures.</w:t>
            </w:r>
          </w:p>
        </w:tc>
      </w:tr>
    </w:tbl>
    <w:tbl>
      <w:tblPr>
        <w:tblW w:w="4863" w:type="dxa"/>
        <w:jc w:val="left"/>
        <w:tblInd w:w="0" w:type="dxa"/>
        <w:tblLayout w:type="fixed"/>
        <w:tblCellMar>
          <w:top w:w="0" w:type="dxa"/>
          <w:left w:w="0" w:type="dxa"/>
          <w:bottom w:w="0" w:type="dxa"/>
          <w:right w:w="0" w:type="dxa"/>
        </w:tblCellMar>
      </w:tblPr>
      <w:tblGrid>
        <w:gridCol w:w="38"/>
        <w:gridCol w:w="23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(2)</w:t>
            </w:r>
          </w:p>
        </w:tc>
        <w:tc>
          <w:tcPr>
            <w:tcW w:w="4595" w:type="dxa"/>
            <w:tcBorders/>
            <w:vAlign w:val="center"/>
          </w:tcPr>
          <w:p>
            <w:pPr>
              <w:pStyle w:val="TableContents"/>
              <w:bidi w:val="0"/>
              <w:spacing w:before="0" w:after="283"/>
              <w:jc w:val="both"/>
              <w:rPr>
                <w:i/>
                <w:sz w:val="20"/>
              </w:rPr>
            </w:pPr>
            <w:r>
              <w:rPr>
                <w:i/>
                <w:sz w:val="20"/>
              </w:rPr>
              <w:t>Please refer to pages 15 and 16 for revenue breakdown.</w:t>
            </w:r>
          </w:p>
        </w:tc>
      </w:tr>
    </w:tbl>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(3)</w:t>
            </w:r>
          </w:p>
        </w:tc>
        <w:tc>
          <w:tcPr>
            <w:tcW w:w="4685" w:type="dxa"/>
            <w:tcBorders/>
            <w:vAlign w:val="center"/>
          </w:tcPr>
          <w:p>
            <w:pPr>
              <w:pStyle w:val="TableContents"/>
              <w:bidi w:val="0"/>
              <w:spacing w:before="0" w:after="283"/>
              <w:jc w:val="both"/>
              <w:rPr>
                <w:i/>
                <w:sz w:val="20"/>
              </w:rPr>
            </w:pPr>
            <w:r>
              <w:rPr>
                <w:i/>
                <w:sz w:val="20"/>
              </w:rPr>
              <w:t>Includes equity method in Jugos del Valle, among others.</w:t>
            </w:r>
          </w:p>
        </w:tc>
      </w:tr>
    </w:tbl>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i/>
                <w:position w:val="7"/>
                <w:sz w:val="16"/>
                <w:sz w:val="20"/>
              </w:rPr>
            </w:pPr>
            <w:r>
              <w:rPr>
                <w:i/>
                <w:position w:val="7"/>
                <w:sz w:val="16"/>
                <w:sz w:val="20"/>
              </w:rPr>
              <w:t>(4)</w:t>
            </w:r>
          </w:p>
        </w:tc>
        <w:tc>
          <w:tcPr>
            <w:tcW w:w="9938" w:type="dxa"/>
            <w:tcBorders/>
            <w:vAlign w:val="center"/>
          </w:tcPr>
          <w:p>
            <w:pPr>
              <w:pStyle w:val="TableContents"/>
              <w:bidi w:val="0"/>
              <w:spacing w:before="0" w:after="283"/>
              <w:jc w:val="both"/>
              <w:rPr>
                <w:i/>
                <w:sz w:val="20"/>
              </w:rPr>
            </w:pPr>
            <w:r>
              <w:rPr>
                <w:i/>
                <w:sz w:val="20"/>
              </w:rPr>
              <w:t>The operating income and adjusted EBITDA lines are presented as non-GAAP measures for the convenience of the reader.</w:t>
            </w:r>
          </w:p>
        </w:tc>
      </w:tr>
    </w:tbl>
    <w:tbl>
      <w:tblPr>
        <w:tblW w:w="8868" w:type="dxa"/>
        <w:jc w:val="left"/>
        <w:tblInd w:w="0" w:type="dxa"/>
        <w:tblLayout w:type="fixed"/>
        <w:tblCellMar>
          <w:top w:w="0" w:type="dxa"/>
          <w:left w:w="0" w:type="dxa"/>
          <w:bottom w:w="0" w:type="dxa"/>
          <w:right w:w="0" w:type="dxa"/>
        </w:tblCellMar>
      </w:tblPr>
      <w:tblGrid>
        <w:gridCol w:w="38"/>
        <w:gridCol w:w="23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(5)</w:t>
            </w:r>
          </w:p>
        </w:tc>
        <w:tc>
          <w:tcPr>
            <w:tcW w:w="8600" w:type="dxa"/>
            <w:tcBorders/>
            <w:vAlign w:val="center"/>
          </w:tcPr>
          <w:p>
            <w:pPr>
              <w:pStyle w:val="TableContents"/>
              <w:bidi w:val="0"/>
              <w:spacing w:before="0" w:after="283"/>
              <w:jc w:val="both"/>
              <w:rPr>
                <w:i/>
                <w:sz w:val="20"/>
              </w:rPr>
            </w:pPr>
            <w:r>
              <w:rPr>
                <w:i/>
                <w:sz w:val="20"/>
              </w:rPr>
              <w:t>Adjusted EBITDA = operating income + depreciation, amortization &amp; other operating non-cash charges.</w:t>
            </w:r>
          </w:p>
        </w:tc>
      </w:tr>
    </w:tbl>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i/>
                <w:position w:val="7"/>
                <w:sz w:val="16"/>
                <w:sz w:val="20"/>
              </w:rPr>
            </w:pPr>
            <w:r>
              <w:rPr>
                <w:i/>
                <w:position w:val="7"/>
                <w:sz w:val="16"/>
                <w:sz w:val="20"/>
              </w:rPr>
              <w:t>(6)</w:t>
            </w:r>
          </w:p>
        </w:tc>
        <w:tc>
          <w:tcPr>
            <w:tcW w:w="9954" w:type="dxa"/>
            <w:tcBorders/>
            <w:vAlign w:val="center"/>
          </w:tcPr>
          <w:p>
            <w:pPr>
              <w:pStyle w:val="TableContents"/>
              <w:bidi w:val="0"/>
              <w:spacing w:before="0" w:after="283"/>
              <w:jc w:val="both"/>
              <w:rPr>
                <w:i/>
                <w:sz w:val="20"/>
              </w:rPr>
            </w:pPr>
            <w:r>
              <w:rPr>
                <w:i/>
                <w:sz w:val="20"/>
              </w:rPr>
              <w:t>Please refer to page 10 for our definition of “comparable” and a description of the factors affecting the comparability of our financial and operating performance.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sz w:val="20"/>
        </w:rPr>
      </w:pPr>
      <w:r>
        <w:rPr>
          <w:sz w:val="20"/>
        </w:rPr>
        <w:t>SOUTH AMERICA DIVISION</w:t>
      </w:r>
    </w:p>
    <w:p>
      <w:pPr>
        <w:pStyle w:val="TextBody"/>
        <w:bidi w:val="0"/>
        <w:jc w:val="center"/>
        <w:rPr>
          <w:sz w:val="20"/>
        </w:rPr>
      </w:pPr>
      <w:r>
        <w:rPr>
          <w:sz w:val="20"/>
        </w:rPr>
        <w:t>RESULTS OF OPERATIONS</w:t>
      </w:r>
    </w:p>
    <w:p>
      <w:pPr>
        <w:pStyle w:val="TextBody"/>
        <w:bidi w:val="0"/>
        <w:jc w:val="center"/>
        <w:rPr>
          <w:sz w:val="20"/>
        </w:rPr>
      </w:pPr>
      <w:r>
        <w:rPr>
          <w:sz w:val="20"/>
        </w:rPr>
        <w:t xml:space="preserve">Millions of Pesos </w:t>
      </w:r>
      <w:r>
        <w:rPr>
          <w:rFonts w:ascii="Times New Roman;Times;Serif" w:hAnsi="Times New Roman;Times;Serif"/>
          <w:b/>
          <w:i w:val="false"/>
          <w:caps w:val="false"/>
          <w:smallCaps w:val="false"/>
          <w:color w:val="393943"/>
          <w:position w:val="7"/>
          <w:sz w:val="16"/>
          <w:sz w:val="20"/>
        </w:rPr>
        <w:t>(1)</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01"/>
        <w:gridCol w:w="60"/>
        <w:gridCol w:w="60"/>
        <w:gridCol w:w="455"/>
        <w:gridCol w:w="65"/>
        <w:gridCol w:w="60"/>
        <w:gridCol w:w="67"/>
        <w:gridCol w:w="392"/>
        <w:gridCol w:w="125"/>
        <w:gridCol w:w="60"/>
        <w:gridCol w:w="60"/>
        <w:gridCol w:w="455"/>
        <w:gridCol w:w="65"/>
        <w:gridCol w:w="60"/>
        <w:gridCol w:w="67"/>
        <w:gridCol w:w="392"/>
        <w:gridCol w:w="125"/>
        <w:gridCol w:w="60"/>
        <w:gridCol w:w="100"/>
        <w:gridCol w:w="460"/>
        <w:gridCol w:w="125"/>
        <w:gridCol w:w="60"/>
        <w:gridCol w:w="142"/>
        <w:gridCol w:w="653"/>
        <w:gridCol w:w="125"/>
        <w:gridCol w:w="60"/>
        <w:gridCol w:w="60"/>
        <w:gridCol w:w="455"/>
        <w:gridCol w:w="65"/>
        <w:gridCol w:w="60"/>
        <w:gridCol w:w="67"/>
        <w:gridCol w:w="392"/>
        <w:gridCol w:w="125"/>
        <w:gridCol w:w="60"/>
        <w:gridCol w:w="60"/>
        <w:gridCol w:w="455"/>
        <w:gridCol w:w="65"/>
        <w:gridCol w:w="60"/>
        <w:gridCol w:w="67"/>
        <w:gridCol w:w="392"/>
        <w:gridCol w:w="125"/>
        <w:gridCol w:w="60"/>
        <w:gridCol w:w="100"/>
        <w:gridCol w:w="460"/>
        <w:gridCol w:w="125"/>
        <w:gridCol w:w="60"/>
        <w:gridCol w:w="142"/>
        <w:gridCol w:w="653"/>
        <w:gridCol w:w="143"/>
      </w:tblGrid>
      <w:tr>
        <w:trPr/>
        <w:tc>
          <w:tcPr>
            <w:tcW w:w="16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8" w:type="dxa"/>
            <w:gridSpan w:val="22"/>
            <w:tcBorders>
              <w:bottom w:val="single" w:sz="8" w:space="0" w:color="000000"/>
            </w:tcBorders>
            <w:tcMar>
              <w:bottom w:w="28" w:type="dxa"/>
            </w:tcMar>
            <w:vAlign w:val="center"/>
          </w:tcPr>
          <w:p>
            <w:pPr>
              <w:pStyle w:val="TableContents"/>
              <w:bidi w:val="0"/>
              <w:spacing w:before="0" w:after="283"/>
              <w:jc w:val="center"/>
              <w:rPr>
                <w:b/>
                <w:sz w:val="14"/>
              </w:rPr>
            </w:pPr>
            <w:r>
              <w:rPr>
                <w:b/>
                <w:sz w:val="14"/>
              </w:rPr>
              <w:t>For the Second Quarter of:</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8" w:type="dxa"/>
            <w:gridSpan w:val="22"/>
            <w:tcBorders>
              <w:bottom w:val="single" w:sz="8" w:space="0" w:color="000000"/>
            </w:tcBorders>
            <w:tcMar>
              <w:bottom w:w="28" w:type="dxa"/>
            </w:tcMar>
            <w:vAlign w:val="center"/>
          </w:tcPr>
          <w:p>
            <w:pPr>
              <w:pStyle w:val="TableContents"/>
              <w:bidi w:val="0"/>
              <w:spacing w:before="0" w:after="283"/>
              <w:jc w:val="center"/>
              <w:rPr>
                <w:b/>
                <w:sz w:val="14"/>
              </w:rPr>
            </w:pPr>
            <w:r>
              <w:rPr>
                <w:b/>
                <w:sz w:val="14"/>
              </w:rPr>
              <w:t>For the first Six Months of:</w:t>
            </w:r>
          </w:p>
        </w:tc>
        <w:tc>
          <w:tcPr>
            <w:tcW w:w="143"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2026</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2025</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Δ%</w:t>
              <w:br/>
              <w:t>Reported</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4"/>
              </w:rPr>
            </w:pPr>
            <w:r>
              <w:rPr>
                <w:b/>
                <w:i w:val="false"/>
                <w:caps w:val="false"/>
                <w:smallCaps w:val="false"/>
                <w:sz w:val="14"/>
              </w:rPr>
              <w:t>Δ%</w:t>
              <w:br/>
              <w:t xml:space="preserve">Comparable </w:t>
            </w:r>
            <w:r>
              <w:rPr>
                <w:rFonts w:ascii="Times New Roman;Times;Serif" w:hAnsi="Times New Roman;Times;Serif"/>
                <w:b/>
                <w:i w:val="false"/>
                <w:caps w:val="false"/>
                <w:smallCaps w:val="false"/>
                <w:color w:val="404040"/>
                <w:position w:val="5"/>
                <w:sz w:val="11"/>
                <w:sz w:val="14"/>
              </w:rPr>
              <w:t>(6)</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2026</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2025</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5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 of Rev.</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Δ%</w:t>
              <w:br/>
              <w:t>Reported</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4"/>
              </w:rPr>
            </w:pPr>
            <w:r>
              <w:rPr>
                <w:b/>
                <w:i w:val="false"/>
                <w:caps w:val="false"/>
                <w:smallCaps w:val="false"/>
                <w:sz w:val="14"/>
              </w:rPr>
              <w:t>Δ%</w:t>
              <w:br/>
              <w:t xml:space="preserve">Comparable </w:t>
            </w:r>
            <w:r>
              <w:rPr>
                <w:rFonts w:ascii="Times New Roman;Times;Serif" w:hAnsi="Times New Roman;Times;Serif"/>
                <w:b/>
                <w:i w:val="false"/>
                <w:caps w:val="false"/>
                <w:smallCaps w:val="false"/>
                <w:color w:val="404040"/>
                <w:position w:val="5"/>
                <w:sz w:val="11"/>
                <w:sz w:val="14"/>
              </w:rPr>
              <w:t>(6)</w:t>
            </w:r>
          </w:p>
        </w:tc>
        <w:tc>
          <w:tcPr>
            <w:tcW w:w="14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601" w:type="dxa"/>
            <w:tcBorders/>
            <w:shd w:fill="CCEEFF" w:val="clear"/>
            <w:vAlign w:val="center"/>
          </w:tcPr>
          <w:p>
            <w:pPr>
              <w:pStyle w:val="TableContents"/>
              <w:bidi w:val="0"/>
              <w:spacing w:before="0" w:after="283"/>
              <w:jc w:val="left"/>
              <w:rPr>
                <w:b/>
                <w:sz w:val="14"/>
              </w:rPr>
            </w:pPr>
            <w:r>
              <w:rPr>
                <w:b/>
                <w:sz w:val="14"/>
              </w:rPr>
              <w:t>Transactions (million transactions)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3,071.3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2,852.1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14"/>
              </w:rPr>
            </w:pPr>
            <w:r>
              <w:rPr>
                <w:sz w:val="14"/>
              </w:rPr>
              <w:t>7.7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sz w:val="14"/>
              </w:rPr>
            </w:pPr>
            <w:r>
              <w:rPr>
                <w:sz w:val="14"/>
              </w:rPr>
              <w:t>7.7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6,246.8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5,870.8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14"/>
              </w:rPr>
            </w:pPr>
            <w:r>
              <w:rPr>
                <w:sz w:val="14"/>
              </w:rPr>
              <w:t>6.4</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sz w:val="14"/>
              </w:rPr>
            </w:pPr>
            <w:r>
              <w:rPr>
                <w:sz w:val="14"/>
              </w:rPr>
              <w:t>6.4</w:t>
            </w:r>
          </w:p>
        </w:tc>
        <w:tc>
          <w:tcPr>
            <w:tcW w:w="143" w:type="dxa"/>
            <w:tcBorders/>
            <w:shd w:fill="CCEEFF" w:val="clear"/>
            <w:vAlign w:val="center"/>
          </w:tcPr>
          <w:p>
            <w:pPr>
              <w:pStyle w:val="TableContents"/>
              <w:bidi w:val="0"/>
              <w:spacing w:before="0" w:after="283"/>
              <w:jc w:val="left"/>
              <w:rPr>
                <w:sz w:val="14"/>
              </w:rPr>
            </w:pPr>
            <w:r>
              <w:rPr>
                <w:sz w:val="14"/>
              </w:rPr>
              <w:t>%</w:t>
            </w:r>
          </w:p>
        </w:tc>
      </w:tr>
      <w:tr>
        <w:trPr/>
        <w:tc>
          <w:tcPr>
            <w:tcW w:w="1601" w:type="dxa"/>
            <w:tcBorders/>
            <w:shd w:fill="FFFFFF" w:val="clear"/>
            <w:vAlign w:val="center"/>
          </w:tcPr>
          <w:p>
            <w:pPr>
              <w:pStyle w:val="TableContents"/>
              <w:bidi w:val="0"/>
              <w:spacing w:before="0" w:after="283"/>
              <w:jc w:val="left"/>
              <w:rPr>
                <w:b/>
                <w:i w:val="false"/>
                <w:caps w:val="false"/>
                <w:smallCaps w:val="false"/>
                <w:sz w:val="14"/>
              </w:rPr>
            </w:pPr>
            <w:r>
              <w:rPr>
                <w:b/>
                <w:i w:val="false"/>
                <w:caps w:val="false"/>
                <w:smallCaps w:val="false"/>
                <w:sz w:val="14"/>
              </w:rPr>
              <w:t>Volume (million unit cases)</w:t>
            </w:r>
            <w:r>
              <w:rPr>
                <w:b/>
                <w:i w:val="false"/>
                <w:caps w:val="false"/>
                <w:smallCaps w:val="false"/>
                <w:position w:val="5"/>
                <w:sz w:val="11"/>
                <w:sz w:val="14"/>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425.9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398.4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6.9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6.9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879.8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831.6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5.8</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5.8</w:t>
            </w:r>
          </w:p>
        </w:tc>
        <w:tc>
          <w:tcPr>
            <w:tcW w:w="143" w:type="dxa"/>
            <w:tcBorders/>
            <w:shd w:fill="FFFFFF" w:val="clear"/>
            <w:vAlign w:val="center"/>
          </w:tcPr>
          <w:p>
            <w:pPr>
              <w:pStyle w:val="TableContents"/>
              <w:bidi w:val="0"/>
              <w:spacing w:before="0" w:after="283"/>
              <w:jc w:val="left"/>
              <w:rPr>
                <w:sz w:val="14"/>
              </w:rPr>
            </w:pPr>
            <w:r>
              <w:rPr>
                <w:sz w:val="14"/>
              </w:rPr>
              <w:t>%</w:t>
            </w:r>
          </w:p>
        </w:tc>
      </w:tr>
      <w:tr>
        <w:trPr/>
        <w:tc>
          <w:tcPr>
            <w:tcW w:w="1601" w:type="dxa"/>
            <w:tcBorders/>
            <w:shd w:fill="CCEEFF" w:val="clear"/>
            <w:vAlign w:val="center"/>
          </w:tcPr>
          <w:p>
            <w:pPr>
              <w:pStyle w:val="TableContents"/>
              <w:bidi w:val="0"/>
              <w:spacing w:before="0" w:after="283"/>
              <w:jc w:val="left"/>
              <w:rPr>
                <w:sz w:val="14"/>
              </w:rPr>
            </w:pPr>
            <w:r>
              <w:rPr>
                <w:sz w:val="14"/>
              </w:rPr>
              <w:t>Average price per unit case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69.18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65.81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14"/>
              </w:rPr>
            </w:pPr>
            <w:r>
              <w:rPr>
                <w:sz w:val="14"/>
              </w:rPr>
              <w:t>5.1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67.42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65.63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14"/>
              </w:rPr>
            </w:pPr>
            <w:r>
              <w:rPr>
                <w:sz w:val="14"/>
              </w:rPr>
              <w:t>2.7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sz w:val="14"/>
              </w:rPr>
            </w:pPr>
            <w:r>
              <w:rPr>
                <w:sz w:val="14"/>
              </w:rPr>
              <w:t>Net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30,855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27,554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62,289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57,596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r>
      <w:tr>
        <w:trPr/>
        <w:tc>
          <w:tcPr>
            <w:tcW w:w="1601" w:type="dxa"/>
            <w:tcBorders/>
            <w:shd w:fill="CCEEFF" w:val="clear"/>
            <w:vAlign w:val="center"/>
          </w:tcPr>
          <w:p>
            <w:pPr>
              <w:pStyle w:val="TableContents"/>
              <w:bidi w:val="0"/>
              <w:spacing w:before="0" w:after="283"/>
              <w:jc w:val="left"/>
              <w:rPr>
                <w:sz w:val="14"/>
              </w:rPr>
            </w:pPr>
            <w:r>
              <w:rPr>
                <w:sz w:val="14"/>
              </w:rPr>
              <w:t>Other operating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56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297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131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b/>
                <w:i w:val="false"/>
                <w:caps w:val="false"/>
                <w:smallCaps w:val="false"/>
                <w:sz w:val="14"/>
              </w:rPr>
            </w:pPr>
            <w:r>
              <w:rPr>
                <w:b/>
                <w:i w:val="false"/>
                <w:caps w:val="false"/>
                <w:smallCaps w:val="false"/>
                <w:sz w:val="14"/>
              </w:rPr>
              <w:t xml:space="preserve">Total Revenues </w:t>
            </w:r>
            <w:r>
              <w:rPr>
                <w:rFonts w:ascii="Times New Roman;Times;Serif" w:hAnsi="Times New Roman;Times;Serif"/>
                <w:b/>
                <w:i w:val="false"/>
                <w:caps w:val="false"/>
                <w:smallCaps w:val="false"/>
                <w:position w:val="5"/>
                <w:sz w:val="11"/>
                <w:sz w:val="14"/>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30,868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27,611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11.8</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14.1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62,586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57,727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100.0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8.4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18.1</w:t>
            </w:r>
          </w:p>
        </w:tc>
        <w:tc>
          <w:tcPr>
            <w:tcW w:w="143" w:type="dxa"/>
            <w:tcBorders/>
            <w:shd w:fill="FFFFFF" w:val="clear"/>
            <w:vAlign w:val="center"/>
          </w:tcPr>
          <w:p>
            <w:pPr>
              <w:pStyle w:val="TableContents"/>
              <w:bidi w:val="0"/>
              <w:spacing w:before="0" w:after="283"/>
              <w:jc w:val="left"/>
              <w:rPr>
                <w:sz w:val="14"/>
              </w:rPr>
            </w:pPr>
            <w:r>
              <w:rPr>
                <w:sz w:val="14"/>
              </w:rPr>
              <w:t>%</w:t>
            </w:r>
          </w:p>
        </w:tc>
      </w:tr>
      <w:tr>
        <w:trPr/>
        <w:tc>
          <w:tcPr>
            <w:tcW w:w="1601" w:type="dxa"/>
            <w:tcBorders/>
            <w:shd w:fill="CCEEFF" w:val="clear"/>
            <w:vAlign w:val="center"/>
          </w:tcPr>
          <w:p>
            <w:pPr>
              <w:pStyle w:val="TableContents"/>
              <w:bidi w:val="0"/>
              <w:spacing w:before="0" w:after="283"/>
              <w:jc w:val="left"/>
              <w:rPr>
                <w:sz w:val="14"/>
              </w:rPr>
            </w:pPr>
            <w:r>
              <w:rPr>
                <w:sz w:val="14"/>
              </w:rPr>
              <w:t>Cost of goods sold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17,171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55.6</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15,972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57.8</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34,694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55.4</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33,301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57.7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b/>
                <w:sz w:val="14"/>
              </w:rPr>
            </w:pPr>
            <w:r>
              <w:rPr>
                <w:b/>
                <w:sz w:val="14"/>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13,697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44.4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11,639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42.2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17.7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20.1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27,891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44.6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24,427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42.3</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14.2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24.4</w:t>
            </w:r>
          </w:p>
        </w:tc>
        <w:tc>
          <w:tcPr>
            <w:tcW w:w="143" w:type="dxa"/>
            <w:tcBorders/>
            <w:shd w:fill="FFFFFF" w:val="clear"/>
            <w:vAlign w:val="center"/>
          </w:tcPr>
          <w:p>
            <w:pPr>
              <w:pStyle w:val="TableContents"/>
              <w:bidi w:val="0"/>
              <w:spacing w:before="0" w:after="283"/>
              <w:jc w:val="left"/>
              <w:rPr>
                <w:sz w:val="14"/>
              </w:rPr>
            </w:pPr>
            <w:r>
              <w:rPr>
                <w:sz w:val="14"/>
              </w:rPr>
              <w:t>%</w:t>
            </w:r>
          </w:p>
        </w:tc>
      </w:tr>
      <w:tr>
        <w:trPr/>
        <w:tc>
          <w:tcPr>
            <w:tcW w:w="1601" w:type="dxa"/>
            <w:tcBorders/>
            <w:shd w:fill="CCEEFF" w:val="clear"/>
            <w:vAlign w:val="center"/>
          </w:tcPr>
          <w:p>
            <w:pPr>
              <w:pStyle w:val="TableContents"/>
              <w:bidi w:val="0"/>
              <w:spacing w:before="0" w:after="283"/>
              <w:jc w:val="left"/>
              <w:rPr>
                <w:sz w:val="14"/>
              </w:rPr>
            </w:pPr>
            <w:r>
              <w:rPr>
                <w:sz w:val="14"/>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9,899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32.1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8,705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31.5</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19,532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31.2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17,695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30.7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sz w:val="14"/>
              </w:rPr>
            </w:pPr>
            <w:r>
              <w:rPr>
                <w:sz w:val="14"/>
              </w:rPr>
              <w:t>Other operative expenses,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(475</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1.5</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(431</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0.7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54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0.1</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r>
      <w:tr>
        <w:trPr/>
        <w:tc>
          <w:tcPr>
            <w:tcW w:w="1601" w:type="dxa"/>
            <w:tcBorders/>
            <w:shd w:fill="CCEEFF" w:val="clear"/>
            <w:vAlign w:val="center"/>
          </w:tcPr>
          <w:p>
            <w:pPr>
              <w:pStyle w:val="TableContents"/>
              <w:bidi w:val="0"/>
              <w:spacing w:before="0" w:after="283"/>
              <w:jc w:val="left"/>
              <w:rPr>
                <w:b w:val="false"/>
                <w:i w:val="false"/>
                <w:caps w:val="false"/>
                <w:smallCaps w:val="false"/>
                <w:sz w:val="14"/>
              </w:rPr>
            </w:pPr>
            <w:r>
              <w:rPr>
                <w:b w:val="false"/>
                <w:i w:val="false"/>
                <w:caps w:val="false"/>
                <w:smallCaps w:val="false"/>
                <w:sz w:val="14"/>
              </w:rPr>
              <w:t xml:space="preserve">Operative equity method (gain) loss in associates </w:t>
            </w:r>
            <w:r>
              <w:rPr>
                <w:rFonts w:ascii="Times New Roman;Times;Serif" w:hAnsi="Times New Roman;Times;Serif"/>
                <w:b w:val="false"/>
                <w:i w:val="false"/>
                <w:caps w:val="false"/>
                <w:smallCaps w:val="false"/>
                <w:position w:val="5"/>
                <w:sz w:val="11"/>
                <w:sz w:val="14"/>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(30</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0.1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(32</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0.1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(75</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0.1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(80</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0.1</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 xml:space="preserve">Operating income </w:t>
            </w:r>
            <w:r>
              <w:rPr>
                <w:rFonts w:ascii="Times New Roman;Times;Serif" w:hAnsi="Times New Roman;Times;Serif"/>
                <w:b w:val="false"/>
                <w:i w:val="false"/>
                <w:caps w:val="false"/>
                <w:smallCaps w:val="false"/>
                <w:position w:val="5"/>
                <w:sz w:val="11"/>
                <w:sz w:val="14"/>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4,303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13.9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2,937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10.6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46.5</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49.4</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8,866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14.2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6,757</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11.7</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31.2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41.4</w:t>
            </w:r>
          </w:p>
        </w:tc>
        <w:tc>
          <w:tcPr>
            <w:tcW w:w="143" w:type="dxa"/>
            <w:tcBorders/>
            <w:shd w:fill="FFFFFF" w:val="clear"/>
            <w:vAlign w:val="center"/>
          </w:tcPr>
          <w:p>
            <w:pPr>
              <w:pStyle w:val="TableContents"/>
              <w:bidi w:val="0"/>
              <w:spacing w:before="0" w:after="283"/>
              <w:jc w:val="left"/>
              <w:rPr>
                <w:sz w:val="14"/>
              </w:rPr>
            </w:pPr>
            <w:r>
              <w:rPr>
                <w:sz w:val="14"/>
              </w:rPr>
              <w:t>%</w:t>
            </w:r>
          </w:p>
        </w:tc>
      </w:tr>
      <w:tr>
        <w:trPr/>
        <w:tc>
          <w:tcPr>
            <w:tcW w:w="1601" w:type="dxa"/>
            <w:tcBorders/>
            <w:shd w:fill="CCEEFF" w:val="clear"/>
            <w:vAlign w:val="center"/>
          </w:tcPr>
          <w:p>
            <w:pPr>
              <w:pStyle w:val="TableContents"/>
              <w:bidi w:val="0"/>
              <w:spacing w:before="0" w:after="283"/>
              <w:jc w:val="left"/>
              <w:rPr>
                <w:sz w:val="14"/>
              </w:rPr>
            </w:pPr>
            <w:r>
              <w:rPr>
                <w:sz w:val="14"/>
              </w:rPr>
              <w:t>Depreciation, amortization &amp; other operating non-cash charges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1,750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5.7</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1,525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5.5</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3,418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5.5</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4"/>
              </w:rPr>
            </w:pPr>
            <w:r>
              <w:rPr>
                <w:sz w:val="14"/>
              </w:rPr>
              <w:t>2,993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sz w:val="14"/>
              </w:rPr>
            </w:pPr>
            <w:r>
              <w:rPr>
                <w:sz w:val="14"/>
              </w:rPr>
              <w:t>5.2</w:t>
            </w:r>
          </w:p>
        </w:tc>
        <w:tc>
          <w:tcPr>
            <w:tcW w:w="12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b w:val="false"/>
                <w:i w:val="false"/>
                <w:caps w:val="false"/>
                <w:smallCaps w:val="false"/>
                <w:sz w:val="14"/>
              </w:rPr>
            </w:pPr>
            <w:r>
              <w:rPr>
                <w:b w:val="false"/>
                <w:i w:val="false"/>
                <w:caps w:val="false"/>
                <w:smallCaps w:val="false"/>
                <w:sz w:val="14"/>
              </w:rPr>
              <w:t xml:space="preserve">Adj. EBITDA </w:t>
            </w:r>
            <w:r>
              <w:rPr>
                <w:rFonts w:ascii="Times New Roman;Times;Serif" w:hAnsi="Times New Roman;Times;Serif"/>
                <w:b w:val="false"/>
                <w:i w:val="false"/>
                <w:caps w:val="false"/>
                <w:smallCaps w:val="false"/>
                <w:position w:val="5"/>
                <w:sz w:val="11"/>
                <w:sz w:val="14"/>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6,053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19.6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4,462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16.2</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35.6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38.9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12,284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19.6</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sz w:val="14"/>
              </w:rPr>
            </w:pPr>
            <w:r>
              <w:rPr>
                <w:sz w:val="14"/>
              </w:rPr>
              <w:t>9,750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sz w:val="14"/>
              </w:rPr>
            </w:pPr>
            <w:r>
              <w:rPr>
                <w:sz w:val="14"/>
              </w:rPr>
              <w:t>16.9</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14"/>
              </w:rPr>
            </w:pPr>
            <w:r>
              <w:rPr>
                <w:sz w:val="14"/>
              </w:rPr>
              <w:t>26.0</w:t>
            </w:r>
          </w:p>
        </w:tc>
        <w:tc>
          <w:tcPr>
            <w:tcW w:w="12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sz w:val="14"/>
              </w:rPr>
            </w:pPr>
            <w:r>
              <w:rPr>
                <w:sz w:val="14"/>
              </w:rPr>
              <w:t>37.7</w:t>
            </w:r>
          </w:p>
        </w:tc>
        <w:tc>
          <w:tcPr>
            <w:tcW w:w="143" w:type="dxa"/>
            <w:tcBorders/>
            <w:shd w:fill="FFFFFF" w:val="clear"/>
            <w:vAlign w:val="center"/>
          </w:tcPr>
          <w:p>
            <w:pPr>
              <w:pStyle w:val="TableContents"/>
              <w:bidi w:val="0"/>
              <w:spacing w:before="0" w:after="283"/>
              <w:jc w:val="left"/>
              <w:rPr>
                <w:sz w:val="14"/>
              </w:rPr>
            </w:pPr>
            <w:r>
              <w:rPr>
                <w:sz w:val="14"/>
              </w:rPr>
              <w:t>%</w:t>
            </w:r>
          </w:p>
        </w:tc>
      </w:tr>
    </w:tbl>
    <w:p>
      <w:pPr>
        <w:pStyle w:val="TextBody"/>
        <w:bidi w:val="0"/>
        <w:spacing w:before="0" w:after="0"/>
        <w:ind w:left="0" w:right="0" w:hanging="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3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(1)</w:t>
            </w:r>
          </w:p>
        </w:tc>
        <w:tc>
          <w:tcPr>
            <w:tcW w:w="4505" w:type="dxa"/>
            <w:tcBorders/>
            <w:vAlign w:val="center"/>
          </w:tcPr>
          <w:p>
            <w:pPr>
              <w:pStyle w:val="TableContents"/>
              <w:bidi w:val="0"/>
              <w:spacing w:before="0" w:after="283"/>
              <w:jc w:val="both"/>
              <w:rPr>
                <w:i/>
                <w:sz w:val="20"/>
              </w:rPr>
            </w:pPr>
            <w:r>
              <w:rPr>
                <w:i/>
                <w:sz w:val="20"/>
              </w:rPr>
              <w:t>Except volume and average price per unit case figures.</w:t>
            </w:r>
          </w:p>
        </w:tc>
      </w:tr>
    </w:tbl>
    <w:tbl>
      <w:tblPr>
        <w:tblW w:w="4863" w:type="dxa"/>
        <w:jc w:val="left"/>
        <w:tblInd w:w="0" w:type="dxa"/>
        <w:tblLayout w:type="fixed"/>
        <w:tblCellMar>
          <w:top w:w="0" w:type="dxa"/>
          <w:left w:w="0" w:type="dxa"/>
          <w:bottom w:w="0" w:type="dxa"/>
          <w:right w:w="0" w:type="dxa"/>
        </w:tblCellMar>
      </w:tblPr>
      <w:tblGrid>
        <w:gridCol w:w="38"/>
        <w:gridCol w:w="23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(2)</w:t>
            </w:r>
          </w:p>
        </w:tc>
        <w:tc>
          <w:tcPr>
            <w:tcW w:w="4595" w:type="dxa"/>
            <w:tcBorders/>
            <w:vAlign w:val="center"/>
          </w:tcPr>
          <w:p>
            <w:pPr>
              <w:pStyle w:val="TableContents"/>
              <w:bidi w:val="0"/>
              <w:spacing w:before="0" w:after="283"/>
              <w:jc w:val="both"/>
              <w:rPr>
                <w:i/>
                <w:sz w:val="20"/>
              </w:rPr>
            </w:pPr>
            <w:r>
              <w:rPr>
                <w:i/>
                <w:sz w:val="20"/>
              </w:rPr>
              <w:t>Please refer to pages 15 and 16 for revenue breakdown.</w:t>
            </w:r>
          </w:p>
        </w:tc>
      </w:tr>
    </w:tbl>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(3)</w:t>
            </w:r>
          </w:p>
        </w:tc>
        <w:tc>
          <w:tcPr>
            <w:tcW w:w="4685" w:type="dxa"/>
            <w:tcBorders/>
            <w:vAlign w:val="center"/>
          </w:tcPr>
          <w:p>
            <w:pPr>
              <w:pStyle w:val="TableContents"/>
              <w:bidi w:val="0"/>
              <w:spacing w:before="0" w:after="283"/>
              <w:jc w:val="both"/>
              <w:rPr>
                <w:i/>
                <w:sz w:val="20"/>
              </w:rPr>
            </w:pPr>
            <w:r>
              <w:rPr>
                <w:i/>
                <w:sz w:val="20"/>
              </w:rPr>
              <w:t>Includes equity method in Leão Alimentos, among others.</w:t>
            </w:r>
          </w:p>
        </w:tc>
      </w:tr>
    </w:tbl>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i/>
                <w:position w:val="7"/>
                <w:sz w:val="16"/>
                <w:sz w:val="20"/>
              </w:rPr>
            </w:pPr>
            <w:r>
              <w:rPr>
                <w:i/>
                <w:position w:val="7"/>
                <w:sz w:val="16"/>
                <w:sz w:val="20"/>
              </w:rPr>
              <w:t>(4)</w:t>
            </w:r>
          </w:p>
        </w:tc>
        <w:tc>
          <w:tcPr>
            <w:tcW w:w="9938" w:type="dxa"/>
            <w:tcBorders/>
            <w:vAlign w:val="center"/>
          </w:tcPr>
          <w:p>
            <w:pPr>
              <w:pStyle w:val="TableContents"/>
              <w:bidi w:val="0"/>
              <w:spacing w:before="0" w:after="283"/>
              <w:jc w:val="both"/>
              <w:rPr>
                <w:i/>
                <w:sz w:val="20"/>
              </w:rPr>
            </w:pPr>
            <w:r>
              <w:rPr>
                <w:i/>
                <w:sz w:val="20"/>
              </w:rPr>
              <w:t>The operating income and adjusted EBITDA lines are presented as non-GAAP measures for the convenience of the reader.</w:t>
            </w:r>
          </w:p>
        </w:tc>
      </w:tr>
    </w:tbl>
    <w:tbl>
      <w:tblPr>
        <w:tblW w:w="8868" w:type="dxa"/>
        <w:jc w:val="left"/>
        <w:tblInd w:w="0" w:type="dxa"/>
        <w:tblLayout w:type="fixed"/>
        <w:tblCellMar>
          <w:top w:w="0" w:type="dxa"/>
          <w:left w:w="0" w:type="dxa"/>
          <w:bottom w:w="0" w:type="dxa"/>
          <w:right w:w="0" w:type="dxa"/>
        </w:tblCellMar>
      </w:tblPr>
      <w:tblGrid>
        <w:gridCol w:w="38"/>
        <w:gridCol w:w="23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position w:val="7"/>
                <w:sz w:val="16"/>
                <w:sz w:val="20"/>
              </w:rPr>
            </w:pPr>
            <w:r>
              <w:rPr>
                <w:i/>
                <w:position w:val="7"/>
                <w:sz w:val="16"/>
                <w:sz w:val="20"/>
              </w:rPr>
              <w:t>(5)</w:t>
            </w:r>
          </w:p>
        </w:tc>
        <w:tc>
          <w:tcPr>
            <w:tcW w:w="8600" w:type="dxa"/>
            <w:tcBorders/>
            <w:vAlign w:val="center"/>
          </w:tcPr>
          <w:p>
            <w:pPr>
              <w:pStyle w:val="TableContents"/>
              <w:bidi w:val="0"/>
              <w:spacing w:before="0" w:after="283"/>
              <w:jc w:val="both"/>
              <w:rPr>
                <w:i/>
                <w:sz w:val="20"/>
              </w:rPr>
            </w:pPr>
            <w:r>
              <w:rPr>
                <w:i/>
                <w:sz w:val="20"/>
              </w:rPr>
              <w:t>Adjusted EBITDA = operating income + depreciation, amortization &amp; other operating non-cash charges.</w:t>
            </w:r>
          </w:p>
        </w:tc>
      </w:tr>
    </w:tbl>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i/>
                <w:position w:val="7"/>
                <w:sz w:val="16"/>
                <w:sz w:val="20"/>
              </w:rPr>
            </w:pPr>
            <w:r>
              <w:rPr>
                <w:i/>
                <w:position w:val="7"/>
                <w:sz w:val="16"/>
                <w:sz w:val="20"/>
              </w:rPr>
              <w:t>(6)</w:t>
            </w:r>
          </w:p>
        </w:tc>
        <w:tc>
          <w:tcPr>
            <w:tcW w:w="9954" w:type="dxa"/>
            <w:tcBorders/>
            <w:vAlign w:val="center"/>
          </w:tcPr>
          <w:p>
            <w:pPr>
              <w:pStyle w:val="TableContents"/>
              <w:bidi w:val="0"/>
              <w:spacing w:before="0" w:after="283"/>
              <w:jc w:val="both"/>
              <w:rPr>
                <w:i/>
                <w:sz w:val="20"/>
              </w:rPr>
            </w:pPr>
            <w:r>
              <w:rPr>
                <w:i/>
                <w:sz w:val="20"/>
              </w:rPr>
              <w:t>Please refer to page 10 for our definition of “comparable” and a description of the factors affecting the comparability of our financial and operating performance.</w:t>
            </w:r>
          </w:p>
        </w:tc>
      </w:tr>
    </w:tbl>
    <w:p>
      <w:pPr>
        <w:pStyle w:val="TextBody"/>
        <w:bidi w:val="0"/>
        <w:spacing w:before="0" w:after="283"/>
        <w:jc w:val="left"/>
        <w:rPr/>
      </w:pPr>
      <w:r>
        <w:rPr/>
        <w:t> </w:t>
      </w:r>
    </w:p>
    <w:tbl>
      <w:tblPr>
        <w:tblW w:w="5125" w:type="dxa"/>
        <w:jc w:val="left"/>
        <w:tblInd w:w="0" w:type="dxa"/>
        <w:tblLayout w:type="fixed"/>
        <w:tblCellMar>
          <w:top w:w="0" w:type="dxa"/>
          <w:left w:w="0" w:type="dxa"/>
          <w:bottom w:w="0" w:type="dxa"/>
          <w:right w:w="0" w:type="dxa"/>
        </w:tblCellMar>
      </w:tblPr>
      <w:tblGrid>
        <w:gridCol w:w="3515"/>
        <w:gridCol w:w="1160"/>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160" w:type="dxa"/>
            <w:tcBorders/>
            <w:vAlign w:val="center"/>
          </w:tcPr>
          <w:p>
            <w:pPr>
              <w:pStyle w:val="TableContents"/>
              <w:bidi w:val="0"/>
              <w:spacing w:before="0" w:after="283"/>
              <w:jc w:val="right"/>
              <w:rPr>
                <w:b/>
                <w:sz w:val="20"/>
              </w:rPr>
            </w:pPr>
            <w:r>
              <w:rPr>
                <w:b/>
                <w:sz w:val="20"/>
              </w:rPr>
              <w:t>Page 13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sz w:val="20"/>
        </w:rPr>
      </w:pPr>
      <w:r>
        <w:rPr>
          <w:sz w:val="20"/>
        </w:rPr>
        <w:t>COCA-COLA FEMSA</w:t>
      </w:r>
    </w:p>
    <w:p>
      <w:pPr>
        <w:pStyle w:val="TextBody"/>
        <w:bidi w:val="0"/>
        <w:jc w:val="center"/>
        <w:rPr>
          <w:sz w:val="20"/>
        </w:rPr>
      </w:pPr>
      <w:r>
        <w:rPr>
          <w:sz w:val="20"/>
        </w:rPr>
        <w:t>CONSOLIDATED BALANCE SHEET</w:t>
      </w:r>
    </w:p>
    <w:p>
      <w:pPr>
        <w:pStyle w:val="TextBody"/>
        <w:bidi w:val="0"/>
        <w:jc w:val="center"/>
        <w:rPr>
          <w:sz w:val="20"/>
        </w:rPr>
      </w:pPr>
      <w:r>
        <w:rPr>
          <w:sz w:val="20"/>
        </w:rPr>
        <w:t>Millions of Pesos</w:t>
      </w:r>
    </w:p>
    <w:p>
      <w:pPr>
        <w:pStyle w:val="TextBody"/>
        <w:bidi w:val="0"/>
        <w:spacing w:before="0" w:after="0"/>
        <w:ind w:left="0" w:right="0" w:hanging="0"/>
        <w:jc w:val="both"/>
        <w:rPr>
          <w:caps w:val="false"/>
          <w:smallCaps w:val="false"/>
        </w:rPr>
      </w:pPr>
      <w:r>
        <w:rPr>
          <w:caps w:val="false"/>
          <w:smallCaps w:val="false"/>
        </w:rPr>
        <w:t> </w:t>
      </w:r>
    </w:p>
    <w:tbl>
      <w:tblPr>
        <w:tblW w:w="6665" w:type="dxa"/>
        <w:jc w:val="left"/>
        <w:tblInd w:w="0" w:type="dxa"/>
        <w:tblLayout w:type="fixed"/>
        <w:tblCellMar>
          <w:top w:w="0" w:type="dxa"/>
          <w:left w:w="0" w:type="dxa"/>
          <w:bottom w:w="28" w:type="dxa"/>
          <w:right w:w="0" w:type="dxa"/>
        </w:tblCellMar>
      </w:tblPr>
      <w:tblGrid>
        <w:gridCol w:w="3980"/>
        <w:gridCol w:w="60"/>
        <w:gridCol w:w="60"/>
        <w:gridCol w:w="695"/>
        <w:gridCol w:w="80"/>
        <w:gridCol w:w="60"/>
        <w:gridCol w:w="60"/>
        <w:gridCol w:w="695"/>
        <w:gridCol w:w="80"/>
        <w:gridCol w:w="60"/>
        <w:gridCol w:w="108"/>
        <w:gridCol w:w="527"/>
        <w:gridCol w:w="200"/>
      </w:tblGrid>
      <w:tr>
        <w:trPr/>
        <w:tc>
          <w:tcPr>
            <w:tcW w:w="3980" w:type="dxa"/>
            <w:tcBorders>
              <w:bottom w:val="single" w:sz="8" w:space="0" w:color="000000"/>
            </w:tcBorders>
            <w:vAlign w:val="center"/>
          </w:tcPr>
          <w:p>
            <w:pPr>
              <w:pStyle w:val="TableContents"/>
              <w:bidi w:val="0"/>
              <w:spacing w:before="0" w:after="283"/>
              <w:jc w:val="left"/>
              <w:rPr>
                <w:b/>
                <w:sz w:val="20"/>
              </w:rPr>
            </w:pPr>
            <w:r>
              <w:rPr>
                <w:b/>
                <w:sz w:val="20"/>
              </w:rPr>
              <w:t>Assets</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Jun-26</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Dec-25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sz w:val="20"/>
              </w:rPr>
            </w:pPr>
            <w:r>
              <w:rPr>
                <w:b/>
                <w:sz w:val="20"/>
              </w:rPr>
              <w:t>% Var.</w:t>
            </w:r>
          </w:p>
        </w:tc>
        <w:tc>
          <w:tcPr>
            <w:tcW w:w="200" w:type="dxa"/>
            <w:tcBorders/>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283"/>
              <w:jc w:val="left"/>
              <w:rPr>
                <w:b/>
                <w:sz w:val="20"/>
              </w:rPr>
            </w:pPr>
            <w:r>
              <w:rPr>
                <w:b/>
                <w:sz w:val="20"/>
              </w:rPr>
              <w:t>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gridSpan w:val="2"/>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283"/>
              <w:jc w:val="left"/>
              <w:rPr>
                <w:sz w:val="20"/>
              </w:rPr>
            </w:pPr>
            <w:r>
              <w:rPr>
                <w:sz w:val="20"/>
              </w:rPr>
              <w:t>Cash, cash equivalents and marketable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43,032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28,067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53</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CCEEFF" w:val="clear"/>
            <w:tcMar>
              <w:bottom w:w="0" w:type="dxa"/>
            </w:tcMar>
            <w:vAlign w:val="center"/>
          </w:tcPr>
          <w:p>
            <w:pPr>
              <w:pStyle w:val="TableContents"/>
              <w:bidi w:val="0"/>
              <w:spacing w:before="0" w:after="283"/>
              <w:jc w:val="left"/>
              <w:rPr>
                <w:sz w:val="20"/>
              </w:rPr>
            </w:pPr>
            <w:r>
              <w:rPr>
                <w:sz w:val="20"/>
              </w:rPr>
              <w:t>Total 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18,179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22,146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-18</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FFFFFF" w:val="clear"/>
            <w:tcMar>
              <w:bottom w:w="0" w:type="dxa"/>
            </w:tcMar>
            <w:vAlign w:val="center"/>
          </w:tcPr>
          <w:p>
            <w:pPr>
              <w:pStyle w:val="TableContents"/>
              <w:bidi w:val="0"/>
              <w:spacing w:before="0" w:after="283"/>
              <w:jc w:val="left"/>
              <w:rPr>
                <w:sz w:val="20"/>
              </w:rPr>
            </w:pPr>
            <w:r>
              <w:rPr>
                <w:sz w:val="20"/>
              </w:rPr>
              <w:t>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14,637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14,014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4</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CCEEFF" w:val="clear"/>
            <w:tcMar>
              <w:bottom w:w="0" w:type="dxa"/>
            </w:tcMar>
            <w:vAlign w:val="center"/>
          </w:tcPr>
          <w:p>
            <w:pPr>
              <w:pStyle w:val="TableContents"/>
              <w:bidi w:val="0"/>
              <w:spacing w:before="0" w:after="283"/>
              <w:jc w:val="left"/>
              <w:rPr>
                <w:sz w:val="20"/>
              </w:rPr>
            </w:pPr>
            <w:r>
              <w:rPr>
                <w:sz w:val="20"/>
              </w:rPr>
              <w:t>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14,250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10,343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38</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FFFFFF" w:val="clear"/>
            <w:tcMar>
              <w:bottom w:w="0" w:type="dxa"/>
            </w:tcMar>
            <w:vAlign w:val="center"/>
          </w:tcPr>
          <w:p>
            <w:pPr>
              <w:pStyle w:val="TableContents"/>
              <w:bidi w:val="0"/>
              <w:spacing w:before="0" w:after="283"/>
              <w:jc w:val="left"/>
              <w:rPr>
                <w:b/>
                <w:sz w:val="20"/>
              </w:rPr>
            </w:pPr>
            <w:r>
              <w:rPr>
                <w:b/>
                <w:sz w:val="20"/>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90,098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74,570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21</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CCEEFF" w:val="clear"/>
            <w:tcMar>
              <w:bottom w:w="0" w:type="dxa"/>
            </w:tcMar>
            <w:vAlign w:val="center"/>
          </w:tcPr>
          <w:p>
            <w:pPr>
              <w:pStyle w:val="TableContents"/>
              <w:bidi w:val="0"/>
              <w:spacing w:before="0" w:after="283"/>
              <w:jc w:val="left"/>
              <w:rPr>
                <w:sz w:val="20"/>
              </w:rPr>
            </w:pPr>
            <w:r>
              <w:rPr>
                <w:sz w:val="20"/>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283"/>
              <w:jc w:val="left"/>
              <w:rPr>
                <w:sz w:val="20"/>
              </w:rPr>
            </w:pPr>
            <w:r>
              <w:rPr>
                <w:sz w:val="20"/>
              </w:rPr>
              <w:t>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181,049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174,289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4</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CCEEFF" w:val="clear"/>
            <w:tcMar>
              <w:bottom w:w="0" w:type="dxa"/>
            </w:tcMar>
            <w:vAlign w:val="center"/>
          </w:tcPr>
          <w:p>
            <w:pPr>
              <w:pStyle w:val="TableContents"/>
              <w:bidi w:val="0"/>
              <w:spacing w:before="0" w:after="283"/>
              <w:jc w:val="left"/>
              <w:rPr>
                <w:sz w:val="20"/>
              </w:rPr>
            </w:pPr>
            <w:r>
              <w:rPr>
                <w:sz w:val="20"/>
              </w:rPr>
              <w:t>Accumulated depreciation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(69,833</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(65,159</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7</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FFFFFF" w:val="clear"/>
            <w:tcMar>
              <w:bottom w:w="0" w:type="dxa"/>
            </w:tcMar>
            <w:vAlign w:val="center"/>
          </w:tcPr>
          <w:p>
            <w:pPr>
              <w:pStyle w:val="TableContents"/>
              <w:bidi w:val="0"/>
              <w:spacing w:before="0" w:after="283"/>
              <w:jc w:val="left"/>
              <w:rPr>
                <w:sz w:val="20"/>
              </w:rPr>
            </w:pPr>
            <w:r>
              <w:rPr>
                <w:sz w:val="20"/>
              </w:rPr>
              <w:t>Total property, plant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111,216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109,130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2</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CCEEFF" w:val="clear"/>
            <w:tcMar>
              <w:bottom w:w="0" w:type="dxa"/>
            </w:tcMar>
            <w:vAlign w:val="center"/>
          </w:tcPr>
          <w:p>
            <w:pPr>
              <w:pStyle w:val="TableContents"/>
              <w:bidi w:val="0"/>
              <w:spacing w:before="0" w:after="283"/>
              <w:jc w:val="left"/>
              <w:rPr>
                <w:sz w:val="20"/>
              </w:rPr>
            </w:pPr>
            <w:r>
              <w:rPr>
                <w:sz w:val="20"/>
              </w:rPr>
              <w:t>Right of 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3,591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2,617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37</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FFFFFF" w:val="clear"/>
            <w:tcMar>
              <w:bottom w:w="0" w:type="dxa"/>
            </w:tcMar>
            <w:vAlign w:val="center"/>
          </w:tcPr>
          <w:p>
            <w:pPr>
              <w:pStyle w:val="TableContents"/>
              <w:bidi w:val="0"/>
              <w:spacing w:before="0" w:after="283"/>
              <w:jc w:val="left"/>
              <w:rPr>
                <w:sz w:val="20"/>
              </w:rPr>
            </w:pPr>
            <w:r>
              <w:rPr>
                <w:sz w:val="20"/>
              </w:rPr>
              <w:t>Investment in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10,685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10,588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1</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CCEEFF" w:val="clear"/>
            <w:tcMar>
              <w:bottom w:w="0" w:type="dxa"/>
            </w:tcMar>
            <w:vAlign w:val="center"/>
          </w:tcPr>
          <w:p>
            <w:pPr>
              <w:pStyle w:val="TableContents"/>
              <w:bidi w:val="0"/>
              <w:spacing w:before="0" w:after="283"/>
              <w:jc w:val="left"/>
              <w:rPr>
                <w:sz w:val="20"/>
              </w:rPr>
            </w:pPr>
            <w:r>
              <w:rPr>
                <w:sz w:val="20"/>
              </w:rPr>
              <w:t>Intangible assets and 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103,546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102,356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1</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FFFFFF" w:val="clear"/>
            <w:tcMar>
              <w:bottom w:w="0" w:type="dxa"/>
            </w:tcMar>
            <w:vAlign w:val="center"/>
          </w:tcPr>
          <w:p>
            <w:pPr>
              <w:pStyle w:val="TableContents"/>
              <w:bidi w:val="0"/>
              <w:spacing w:before="0" w:after="283"/>
              <w:jc w:val="left"/>
              <w:rPr>
                <w:sz w:val="20"/>
              </w:rPr>
            </w:pPr>
            <w:r>
              <w:rPr>
                <w:sz w:val="20"/>
              </w:rPr>
              <w:t>Other 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17,123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15,278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12</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980" w:type="dxa"/>
            <w:tcBorders/>
            <w:shd w:fill="CCEEFF" w:val="clear"/>
            <w:tcMar>
              <w:bottom w:w="0" w:type="dxa"/>
            </w:tcMar>
            <w:vAlign w:val="center"/>
          </w:tcPr>
          <w:p>
            <w:pPr>
              <w:pStyle w:val="TableContents"/>
              <w:bidi w:val="0"/>
              <w:spacing w:before="0" w:after="283"/>
              <w:jc w:val="left"/>
              <w:rPr>
                <w:b/>
                <w:sz w:val="20"/>
              </w:rPr>
            </w:pPr>
            <w:r>
              <w:rPr>
                <w:b/>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b/>
                <w:sz w:val="20"/>
              </w:rPr>
            </w:pPr>
            <w:r>
              <w:rPr>
                <w:b/>
                <w:sz w:val="20"/>
              </w:rPr>
              <w:t>336,259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b/>
                <w:sz w:val="20"/>
              </w:rPr>
            </w:pPr>
            <w:r>
              <w:rPr>
                <w:b/>
                <w:sz w:val="20"/>
              </w:rPr>
              <w:t>314,539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7</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28" w:type="dxa"/>
          <w:right w:w="0" w:type="dxa"/>
        </w:tblCellMar>
      </w:tblPr>
      <w:tblGrid>
        <w:gridCol w:w="3335"/>
        <w:gridCol w:w="60"/>
        <w:gridCol w:w="60"/>
        <w:gridCol w:w="695"/>
        <w:gridCol w:w="60"/>
        <w:gridCol w:w="60"/>
        <w:gridCol w:w="60"/>
        <w:gridCol w:w="695"/>
        <w:gridCol w:w="60"/>
        <w:gridCol w:w="60"/>
        <w:gridCol w:w="108"/>
        <w:gridCol w:w="527"/>
        <w:gridCol w:w="200"/>
      </w:tblGrid>
      <w:tr>
        <w:trPr/>
        <w:tc>
          <w:tcPr>
            <w:tcW w:w="3335" w:type="dxa"/>
            <w:tcBorders>
              <w:bottom w:val="single" w:sz="8" w:space="0" w:color="000000"/>
            </w:tcBorders>
            <w:vAlign w:val="center"/>
          </w:tcPr>
          <w:p>
            <w:pPr>
              <w:pStyle w:val="TableContents"/>
              <w:bidi w:val="0"/>
              <w:spacing w:before="0" w:after="283"/>
              <w:jc w:val="left"/>
              <w:rPr>
                <w:b/>
                <w:sz w:val="20"/>
              </w:rPr>
            </w:pPr>
            <w:r>
              <w:rPr>
                <w:b/>
                <w:sz w:val="20"/>
              </w:rPr>
              <w:t>Liabilities &amp; Equity</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Jun-26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Dec-25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sz w:val="20"/>
              </w:rPr>
            </w:pPr>
            <w:r>
              <w:rPr>
                <w:b/>
                <w:sz w:val="20"/>
              </w:rPr>
              <w:t>% Var.</w:t>
            </w:r>
          </w:p>
        </w:tc>
        <w:tc>
          <w:tcPr>
            <w:tcW w:w="200"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b/>
                <w:sz w:val="20"/>
              </w:rPr>
            </w:pPr>
            <w:r>
              <w:rPr>
                <w:b/>
                <w:sz w:val="20"/>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gridSpan w:val="2"/>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sz w:val="20"/>
              </w:rPr>
            </w:pPr>
            <w:r>
              <w:rPr>
                <w:sz w:val="20"/>
              </w:rPr>
              <w:t>Short-term bank loans and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13,527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7,944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70</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CCEEFF" w:val="clear"/>
            <w:tcMar>
              <w:bottom w:w="0" w:type="dxa"/>
            </w:tcMar>
            <w:vAlign w:val="center"/>
          </w:tcPr>
          <w:p>
            <w:pPr>
              <w:pStyle w:val="TableContents"/>
              <w:bidi w:val="0"/>
              <w:spacing w:before="0" w:after="283"/>
              <w:jc w:val="left"/>
              <w:rPr>
                <w:sz w:val="20"/>
              </w:rPr>
            </w:pPr>
            <w:r>
              <w:rPr>
                <w:sz w:val="20"/>
              </w:rPr>
              <w:t>Suppliers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28,656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31,898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-10</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FFFFFF" w:val="clear"/>
            <w:tcMar>
              <w:bottom w:w="0" w:type="dxa"/>
            </w:tcMar>
            <w:vAlign w:val="center"/>
          </w:tcPr>
          <w:p>
            <w:pPr>
              <w:pStyle w:val="TableContents"/>
              <w:bidi w:val="0"/>
              <w:spacing w:before="0" w:after="283"/>
              <w:jc w:val="left"/>
              <w:rPr>
                <w:sz w:val="20"/>
              </w:rPr>
            </w:pPr>
            <w:r>
              <w:rPr>
                <w:sz w:val="20"/>
              </w:rPr>
              <w:t>Short-term leasing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47</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CCEEFF" w:val="clear"/>
            <w:tcMar>
              <w:bottom w:w="0" w:type="dxa"/>
            </w:tcMar>
            <w:vAlign w:val="center"/>
          </w:tcPr>
          <w:p>
            <w:pPr>
              <w:pStyle w:val="TableContents"/>
              <w:bidi w:val="0"/>
              <w:spacing w:before="0" w:after="283"/>
              <w:jc w:val="left"/>
              <w:rPr>
                <w:sz w:val="20"/>
              </w:rPr>
            </w:pPr>
            <w:r>
              <w:rPr>
                <w:sz w:val="20"/>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43,274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26,284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65</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FFFFFF" w:val="clear"/>
            <w:tcMar>
              <w:bottom w:w="0" w:type="dxa"/>
            </w:tcMar>
            <w:vAlign w:val="center"/>
          </w:tcPr>
          <w:p>
            <w:pPr>
              <w:pStyle w:val="TableContents"/>
              <w:bidi w:val="0"/>
              <w:spacing w:before="0" w:after="283"/>
              <w:jc w:val="left"/>
              <w:rPr>
                <w:b/>
                <w:sz w:val="20"/>
              </w:rPr>
            </w:pPr>
            <w:r>
              <w:rPr>
                <w:b/>
                <w:sz w:val="20"/>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86,382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66,757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29</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CCEEFF" w:val="clear"/>
            <w:tcMar>
              <w:bottom w:w="0" w:type="dxa"/>
            </w:tcMar>
            <w:vAlign w:val="center"/>
          </w:tcPr>
          <w:p>
            <w:pPr>
              <w:pStyle w:val="TableContents"/>
              <w:bidi w:val="0"/>
              <w:spacing w:before="0" w:after="283"/>
              <w:jc w:val="left"/>
              <w:rPr>
                <w:sz w:val="20"/>
              </w:rPr>
            </w:pPr>
            <w:r>
              <w:rPr>
                <w:sz w:val="20"/>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sz w:val="20"/>
              </w:rPr>
            </w:pPr>
            <w:r>
              <w:rPr>
                <w:sz w:val="20"/>
              </w:rPr>
              <w:t>Long-term bank loans and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72,098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71,834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0</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CCEEFF" w:val="clear"/>
            <w:tcMar>
              <w:bottom w:w="0" w:type="dxa"/>
            </w:tcMar>
            <w:vAlign w:val="center"/>
          </w:tcPr>
          <w:p>
            <w:pPr>
              <w:pStyle w:val="TableContents"/>
              <w:bidi w:val="0"/>
              <w:spacing w:before="0" w:after="283"/>
              <w:jc w:val="left"/>
              <w:rPr>
                <w:sz w:val="20"/>
              </w:rPr>
            </w:pPr>
            <w:r>
              <w:rPr>
                <w:sz w:val="20"/>
              </w:rPr>
              <w:t>Long Term Leasing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28</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FFFFFF" w:val="clear"/>
            <w:tcMar>
              <w:bottom w:w="0" w:type="dxa"/>
            </w:tcMar>
            <w:vAlign w:val="center"/>
          </w:tcPr>
          <w:p>
            <w:pPr>
              <w:pStyle w:val="TableContents"/>
              <w:bidi w:val="0"/>
              <w:spacing w:before="0" w:after="283"/>
              <w:jc w:val="left"/>
              <w:rPr>
                <w:sz w:val="20"/>
              </w:rPr>
            </w:pPr>
            <w:r>
              <w:rPr>
                <w:sz w:val="20"/>
              </w:rPr>
              <w:t>Other long-term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23,548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19,647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20</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CCEEFF" w:val="clear"/>
            <w:tcMar>
              <w:bottom w:w="0" w:type="dxa"/>
            </w:tcMar>
            <w:vAlign w:val="center"/>
          </w:tcPr>
          <w:p>
            <w:pPr>
              <w:pStyle w:val="TableContents"/>
              <w:bidi w:val="0"/>
              <w:spacing w:before="0" w:after="283"/>
              <w:jc w:val="left"/>
              <w:rPr>
                <w:b/>
                <w:sz w:val="20"/>
              </w:rPr>
            </w:pPr>
            <w:r>
              <w:rPr>
                <w:b/>
                <w:sz w:val="20"/>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184,942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160,511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15</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FFFFFF" w:val="clear"/>
            <w:tcMar>
              <w:bottom w:w="0" w:type="dxa"/>
            </w:tcMar>
            <w:vAlign w:val="center"/>
          </w:tcPr>
          <w:p>
            <w:pPr>
              <w:pStyle w:val="TableContents"/>
              <w:bidi w:val="0"/>
              <w:spacing w:before="0" w:after="283"/>
              <w:jc w:val="left"/>
              <w:rPr>
                <w:b/>
                <w:sz w:val="20"/>
              </w:rPr>
            </w:pPr>
            <w:r>
              <w:rPr>
                <w:b/>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sz w:val="20"/>
              </w:rPr>
            </w:pPr>
            <w:r>
              <w:rPr>
                <w:sz w:val="20"/>
              </w:rPr>
              <w:t>Non-controlling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8,737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7,827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12</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FFFFFF" w:val="clear"/>
            <w:tcMar>
              <w:bottom w:w="0" w:type="dxa"/>
            </w:tcMar>
            <w:vAlign w:val="center"/>
          </w:tcPr>
          <w:p>
            <w:pPr>
              <w:pStyle w:val="TableContents"/>
              <w:bidi w:val="0"/>
              <w:spacing w:before="0" w:after="283"/>
              <w:jc w:val="left"/>
              <w:rPr>
                <w:sz w:val="20"/>
              </w:rPr>
            </w:pPr>
            <w:r>
              <w:rPr>
                <w:sz w:val="20"/>
              </w:rPr>
              <w:t>Total controlling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142,580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146,201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-2</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CCEEFF" w:val="clear"/>
            <w:tcMar>
              <w:bottom w:w="0" w:type="dxa"/>
            </w:tcMar>
            <w:vAlign w:val="center"/>
          </w:tcPr>
          <w:p>
            <w:pPr>
              <w:pStyle w:val="TableContents"/>
              <w:bidi w:val="0"/>
              <w:spacing w:before="0" w:after="283"/>
              <w:jc w:val="left"/>
              <w:rPr>
                <w:b/>
                <w:sz w:val="20"/>
              </w:rPr>
            </w:pPr>
            <w:r>
              <w:rPr>
                <w:b/>
                <w:sz w:val="20"/>
              </w:rPr>
              <w:t>Total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b/>
                <w:sz w:val="20"/>
              </w:rPr>
            </w:pPr>
            <w:r>
              <w:rPr>
                <w:b/>
                <w:sz w:val="20"/>
              </w:rPr>
              <w:t>151,317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b/>
                <w:sz w:val="20"/>
              </w:rPr>
            </w:pPr>
            <w:r>
              <w:rPr>
                <w:b/>
                <w:sz w:val="20"/>
              </w:rPr>
              <w:t>154,029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283"/>
              <w:jc w:val="right"/>
              <w:rPr>
                <w:sz w:val="20"/>
              </w:rPr>
            </w:pPr>
            <w:r>
              <w:rPr>
                <w:sz w:val="20"/>
              </w:rPr>
              <w:t>-2</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335" w:type="dxa"/>
            <w:tcBorders/>
            <w:shd w:fill="FFFFFF" w:val="clear"/>
            <w:tcMar>
              <w:bottom w:w="0" w:type="dxa"/>
            </w:tcMar>
            <w:vAlign w:val="center"/>
          </w:tcPr>
          <w:p>
            <w:pPr>
              <w:pStyle w:val="TableContents"/>
              <w:bidi w:val="0"/>
              <w:spacing w:before="0" w:after="283"/>
              <w:jc w:val="left"/>
              <w:rPr>
                <w:b/>
                <w:sz w:val="20"/>
              </w:rPr>
            </w:pPr>
            <w:r>
              <w:rPr>
                <w:b/>
                <w:sz w:val="20"/>
              </w:rPr>
              <w:t>Total Liabilities and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b/>
                <w:sz w:val="20"/>
              </w:rPr>
            </w:pPr>
            <w:r>
              <w:rPr>
                <w:b/>
                <w:sz w:val="20"/>
              </w:rPr>
              <w:t>336,259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b/>
                <w:sz w:val="20"/>
              </w:rPr>
            </w:pPr>
            <w:r>
              <w:rPr>
                <w:b/>
                <w:sz w:val="20"/>
              </w:rPr>
              <w:t>314,539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527" w:type="dxa"/>
            <w:tcBorders/>
            <w:shd w:fill="FFFFFF" w:val="clear"/>
            <w:tcMar>
              <w:bottom w:w="0" w:type="dxa"/>
            </w:tcMar>
            <w:vAlign w:val="center"/>
          </w:tcPr>
          <w:p>
            <w:pPr>
              <w:pStyle w:val="TableContents"/>
              <w:bidi w:val="0"/>
              <w:spacing w:before="0" w:after="283"/>
              <w:jc w:val="right"/>
              <w:rPr>
                <w:sz w:val="20"/>
              </w:rPr>
            </w:pPr>
            <w:r>
              <w:rPr>
                <w:sz w:val="20"/>
              </w:rPr>
              <w:t>7</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047" w:type="dxa"/>
        <w:jc w:val="left"/>
        <w:tblInd w:w="0" w:type="dxa"/>
        <w:tblLayout w:type="fixed"/>
        <w:tblCellMar>
          <w:top w:w="0" w:type="dxa"/>
          <w:left w:w="0" w:type="dxa"/>
          <w:bottom w:w="0" w:type="dxa"/>
          <w:right w:w="0" w:type="dxa"/>
        </w:tblCellMar>
      </w:tblPr>
      <w:tblGrid>
        <w:gridCol w:w="1445"/>
        <w:gridCol w:w="60"/>
        <w:gridCol w:w="189"/>
        <w:gridCol w:w="1210"/>
        <w:gridCol w:w="215"/>
        <w:gridCol w:w="60"/>
        <w:gridCol w:w="170"/>
        <w:gridCol w:w="1079"/>
        <w:gridCol w:w="215"/>
        <w:gridCol w:w="60"/>
        <w:gridCol w:w="150"/>
        <w:gridCol w:w="964"/>
        <w:gridCol w:w="230"/>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2" w:type="dxa"/>
            <w:gridSpan w:val="10"/>
            <w:tcBorders>
              <w:bottom w:val="single" w:sz="8" w:space="0" w:color="000000"/>
            </w:tcBorders>
            <w:tcMar>
              <w:bottom w:w="28" w:type="dxa"/>
            </w:tcMar>
            <w:vAlign w:val="center"/>
          </w:tcPr>
          <w:p>
            <w:pPr>
              <w:pStyle w:val="TableContents"/>
              <w:bidi w:val="0"/>
              <w:spacing w:before="0" w:after="283"/>
              <w:jc w:val="center"/>
              <w:rPr>
                <w:sz w:val="20"/>
              </w:rPr>
            </w:pPr>
            <w:r>
              <w:rPr>
                <w:sz w:val="20"/>
              </w:rPr>
              <w:t>June 30, 2026</w:t>
            </w:r>
          </w:p>
        </w:tc>
        <w:tc>
          <w:tcPr>
            <w:tcW w:w="230" w:type="dxa"/>
            <w:tcBorders/>
            <w:vAlign w:val="center"/>
          </w:tcPr>
          <w:p>
            <w:pPr>
              <w:pStyle w:val="TableContents"/>
              <w:bidi w:val="0"/>
              <w:spacing w:before="0" w:after="283"/>
              <w:jc w:val="left"/>
              <w:rPr/>
            </w:pPr>
            <w:r>
              <w:rPr/>
              <w:t> </w:t>
            </w:r>
          </w:p>
        </w:tc>
      </w:tr>
      <w:tr>
        <w:trPr/>
        <w:tc>
          <w:tcPr>
            <w:tcW w:w="144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Debt Mix</w:t>
            </w:r>
          </w:p>
        </w:tc>
        <w:tc>
          <w:tcPr>
            <w:tcW w:w="60"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b w:val="false"/>
                <w:sz w:val="20"/>
              </w:rPr>
            </w:pPr>
            <w:r>
              <w:rPr>
                <w:b w:val="false"/>
                <w:sz w:val="20"/>
              </w:rPr>
              <w:t xml:space="preserve">% Total Debt </w:t>
            </w:r>
            <w:r>
              <w:rPr>
                <w:rFonts w:ascii="Times New Roman;Times;Serif" w:hAnsi="Times New Roman;Times;Serif"/>
                <w:b w:val="false"/>
                <w:i/>
                <w:position w:val="7"/>
                <w:sz w:val="16"/>
                <w:sz w:val="20"/>
              </w:rPr>
              <w:t>(1)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val="false"/>
                <w:sz w:val="20"/>
              </w:rPr>
            </w:pPr>
            <w:r>
              <w:rPr>
                <w:b w:val="false"/>
                <w:sz w:val="20"/>
              </w:rPr>
              <w:t>% Interest Rate</w:t>
              <w:br/>
              <w:t xml:space="preserve">Floating </w:t>
            </w:r>
            <w:r>
              <w:rPr>
                <w:rFonts w:ascii="Times New Roman;Times;Serif" w:hAnsi="Times New Roman;Times;Serif"/>
                <w:b w:val="false"/>
                <w:i/>
                <w:position w:val="7"/>
                <w:sz w:val="16"/>
                <w:sz w:val="20"/>
              </w:rPr>
              <w:t>(1) (2)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Average Rate</w:t>
            </w:r>
          </w:p>
        </w:tc>
        <w:tc>
          <w:tcPr>
            <w:tcW w:w="23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i/>
                <w:sz w:val="20"/>
              </w:rPr>
            </w:pPr>
            <w:r>
              <w:rPr>
                <w:i/>
                <w:sz w:val="20"/>
              </w:rPr>
              <w:t>Currency</w:t>
            </w:r>
          </w:p>
        </w:tc>
        <w:tc>
          <w:tcPr>
            <w:tcW w:w="60" w:type="dxa"/>
            <w:tcBorders/>
            <w:shd w:fill="CCEEFF" w:val="clear"/>
            <w:vAlign w:val="center"/>
          </w:tcPr>
          <w:p>
            <w:pPr>
              <w:pStyle w:val="TableContents"/>
              <w:bidi w:val="0"/>
              <w:spacing w:before="0" w:after="283"/>
              <w:jc w:val="left"/>
              <w:rPr/>
            </w:pPr>
            <w:r>
              <w:rPr/>
              <w:t> </w:t>
            </w:r>
          </w:p>
        </w:tc>
        <w:tc>
          <w:tcPr>
            <w:tcW w:w="1399" w:type="dxa"/>
            <w:gridSpan w:val="2"/>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9" w:type="dxa"/>
            <w:gridSpan w:val="2"/>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gridSpan w:val="2"/>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sz w:val="20"/>
              </w:rPr>
            </w:pPr>
            <w:r>
              <w:rPr>
                <w:sz w:val="20"/>
              </w:rPr>
              <w:t>Mexican Pesos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sz w:val="20"/>
              </w:rPr>
            </w:pPr>
            <w:r>
              <w:rPr>
                <w:sz w:val="20"/>
              </w:rPr>
              <w:t>63.7</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sz w:val="20"/>
              </w:rPr>
            </w:pPr>
            <w:r>
              <w:rPr>
                <w:sz w:val="20"/>
              </w:rPr>
              <w:t>4.1</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sz w:val="20"/>
              </w:rPr>
            </w:pPr>
            <w:r>
              <w:rPr>
                <w:sz w:val="20"/>
              </w:rPr>
              <w:t>8.8</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45" w:type="dxa"/>
            <w:tcBorders/>
            <w:shd w:fill="CCEEFF" w:val="clear"/>
            <w:vAlign w:val="center"/>
          </w:tcPr>
          <w:p>
            <w:pPr>
              <w:pStyle w:val="TableContents"/>
              <w:bidi w:val="0"/>
              <w:spacing w:before="0" w:after="283"/>
              <w:jc w:val="left"/>
              <w:rPr>
                <w:sz w:val="20"/>
              </w:rPr>
            </w:pPr>
            <w:r>
              <w:rPr>
                <w:sz w:val="20"/>
              </w:rPr>
              <w:t>U.S. Dollars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sz w:val="20"/>
              </w:rPr>
            </w:pPr>
            <w:r>
              <w:rPr>
                <w:sz w:val="20"/>
              </w:rPr>
              <w:t>13.8</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20"/>
              </w:rPr>
            </w:pPr>
            <w:r>
              <w:rPr>
                <w:sz w:val="20"/>
              </w:rPr>
              <w:t>41.1</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sz w:val="20"/>
              </w:rPr>
            </w:pPr>
            <w:r>
              <w:rPr>
                <w:sz w:val="20"/>
              </w:rPr>
              <w:t>3.9</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45" w:type="dxa"/>
            <w:tcBorders/>
            <w:shd w:fill="FFFFFF" w:val="clear"/>
            <w:vAlign w:val="center"/>
          </w:tcPr>
          <w:p>
            <w:pPr>
              <w:pStyle w:val="TableContents"/>
              <w:bidi w:val="0"/>
              <w:spacing w:before="0" w:after="283"/>
              <w:jc w:val="left"/>
              <w:rPr>
                <w:sz w:val="20"/>
              </w:rPr>
            </w:pPr>
            <w:r>
              <w:rPr>
                <w:sz w:val="20"/>
              </w:rPr>
              <w:t>Colombian Pesos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sz w:val="20"/>
              </w:rPr>
            </w:pPr>
            <w:r>
              <w:rPr>
                <w:sz w:val="20"/>
              </w:rPr>
              <w:t>1.7</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sz w:val="20"/>
              </w:rPr>
            </w:pPr>
            <w:r>
              <w:rPr>
                <w:sz w:val="20"/>
              </w:rPr>
              <w:t>81.3</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sz w:val="20"/>
              </w:rPr>
            </w:pPr>
            <w:r>
              <w:rPr>
                <w:sz w:val="20"/>
              </w:rPr>
              <w:t>12.5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45" w:type="dxa"/>
            <w:tcBorders/>
            <w:shd w:fill="CCEEFF" w:val="clear"/>
            <w:vAlign w:val="center"/>
          </w:tcPr>
          <w:p>
            <w:pPr>
              <w:pStyle w:val="TableContents"/>
              <w:bidi w:val="0"/>
              <w:spacing w:before="0" w:after="283"/>
              <w:jc w:val="left"/>
              <w:rPr>
                <w:sz w:val="20"/>
              </w:rPr>
            </w:pPr>
            <w:r>
              <w:rPr>
                <w:sz w:val="20"/>
              </w:rPr>
              <w:t>Brazilian Reals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sz w:val="20"/>
              </w:rPr>
            </w:pPr>
            <w:r>
              <w:rPr>
                <w:sz w:val="20"/>
              </w:rPr>
              <w:t>20.0</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sz w:val="20"/>
              </w:rPr>
            </w:pPr>
            <w:r>
              <w:rPr>
                <w:sz w:val="20"/>
              </w:rPr>
              <w:t>59.0</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sz w:val="20"/>
              </w:rPr>
            </w:pPr>
            <w:r>
              <w:rPr>
                <w:sz w:val="20"/>
              </w:rPr>
              <w:t>9.0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1445" w:type="dxa"/>
            <w:tcBorders/>
            <w:shd w:fill="FFFFFF" w:val="clear"/>
            <w:vAlign w:val="center"/>
          </w:tcPr>
          <w:p>
            <w:pPr>
              <w:pStyle w:val="TableContents"/>
              <w:bidi w:val="0"/>
              <w:spacing w:before="0" w:after="283"/>
              <w:jc w:val="left"/>
              <w:rPr>
                <w:sz w:val="20"/>
              </w:rPr>
            </w:pPr>
            <w:r>
              <w:rPr>
                <w:sz w:val="20"/>
              </w:rPr>
              <w:t>Argentine Pesos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sz w:val="20"/>
              </w:rPr>
            </w:pPr>
            <w:r>
              <w:rPr>
                <w:sz w:val="20"/>
              </w:rPr>
              <w:t>0.7</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sz w:val="20"/>
              </w:rPr>
            </w:pPr>
            <w:r>
              <w:rPr>
                <w:sz w:val="20"/>
              </w:rPr>
              <w:t>0.0</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sz w:val="20"/>
              </w:rPr>
            </w:pPr>
            <w:r>
              <w:rPr>
                <w:sz w:val="20"/>
              </w:rPr>
              <w:t>31.5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1445" w:type="dxa"/>
            <w:tcBorders/>
            <w:shd w:fill="CCEEFF" w:val="clear"/>
            <w:vAlign w:val="center"/>
          </w:tcPr>
          <w:p>
            <w:pPr>
              <w:pStyle w:val="TableContents"/>
              <w:bidi w:val="0"/>
              <w:spacing w:before="0" w:after="283"/>
              <w:jc w:val="left"/>
              <w:rPr>
                <w:b/>
                <w:sz w:val="20"/>
              </w:rPr>
            </w:pPr>
            <w:r>
              <w:rPr>
                <w:b/>
                <w:sz w:val="20"/>
              </w:rPr>
              <w:t>Total Debt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b/>
                <w:sz w:val="20"/>
              </w:rPr>
            </w:pPr>
            <w:r>
              <w:rPr>
                <w:b/>
                <w:sz w:val="20"/>
              </w:rPr>
              <w:t>100</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b/>
                <w:sz w:val="20"/>
              </w:rPr>
            </w:pPr>
            <w:r>
              <w:rPr>
                <w:b/>
                <w:sz w:val="20"/>
              </w:rPr>
              <w:t>24.3</w:t>
            </w:r>
          </w:p>
        </w:tc>
        <w:tc>
          <w:tcPr>
            <w:tcW w:w="215"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b/>
                <w:sz w:val="20"/>
              </w:rPr>
            </w:pPr>
            <w:r>
              <w:rPr>
                <w:b/>
                <w:sz w:val="20"/>
              </w:rPr>
              <w:t>8.0</w:t>
            </w:r>
          </w:p>
        </w:tc>
        <w:tc>
          <w:tcPr>
            <w:tcW w:w="230"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3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7"/>
                <w:sz w:val="16"/>
                <w:sz w:val="20"/>
              </w:rPr>
            </w:pPr>
            <w:r>
              <w:rPr>
                <w:position w:val="7"/>
                <w:sz w:val="16"/>
                <w:sz w:val="20"/>
              </w:rPr>
              <w:t>(1)</w:t>
            </w:r>
          </w:p>
        </w:tc>
        <w:tc>
          <w:tcPr>
            <w:tcW w:w="2300" w:type="dxa"/>
            <w:tcBorders/>
            <w:vAlign w:val="center"/>
          </w:tcPr>
          <w:p>
            <w:pPr>
              <w:pStyle w:val="TableContents"/>
              <w:bidi w:val="0"/>
              <w:spacing w:before="0" w:after="283"/>
              <w:jc w:val="both"/>
              <w:rPr>
                <w:sz w:val="20"/>
              </w:rPr>
            </w:pPr>
            <w:r>
              <w:rPr>
                <w:sz w:val="20"/>
              </w:rPr>
              <w:t>After giving effect to swaps.</w:t>
            </w:r>
          </w:p>
        </w:tc>
      </w:tr>
    </w:tbl>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7"/>
                <w:sz w:val="16"/>
                <w:sz w:val="20"/>
              </w:rPr>
            </w:pPr>
            <w:r>
              <w:rPr>
                <w:position w:val="7"/>
                <w:sz w:val="16"/>
                <w:sz w:val="20"/>
              </w:rPr>
              <w:t>(2)</w:t>
            </w:r>
          </w:p>
        </w:tc>
        <w:tc>
          <w:tcPr>
            <w:tcW w:w="6275" w:type="dxa"/>
            <w:tcBorders/>
            <w:vAlign w:val="center"/>
          </w:tcPr>
          <w:p>
            <w:pPr>
              <w:pStyle w:val="TableContents"/>
              <w:bidi w:val="0"/>
              <w:spacing w:before="0" w:after="283"/>
              <w:jc w:val="both"/>
              <w:rPr>
                <w:sz w:val="20"/>
              </w:rPr>
            </w:pPr>
            <w:r>
              <w:rPr>
                <w:sz w:val="20"/>
              </w:rPr>
              <w:t>Calculated based on the weighting of the outstanding debt mix for each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Maturity Profile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38700" cy="1295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838700" cy="12954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043" w:type="dxa"/>
        <w:jc w:val="left"/>
        <w:tblInd w:w="0" w:type="dxa"/>
        <w:tblLayout w:type="fixed"/>
        <w:tblCellMar>
          <w:top w:w="0" w:type="dxa"/>
          <w:left w:w="0" w:type="dxa"/>
          <w:bottom w:w="28" w:type="dxa"/>
          <w:right w:w="0" w:type="dxa"/>
        </w:tblCellMar>
      </w:tblPr>
      <w:tblGrid>
        <w:gridCol w:w="4595"/>
        <w:gridCol w:w="60"/>
        <w:gridCol w:w="101"/>
        <w:gridCol w:w="998"/>
        <w:gridCol w:w="185"/>
        <w:gridCol w:w="60"/>
        <w:gridCol w:w="101"/>
        <w:gridCol w:w="998"/>
        <w:gridCol w:w="185"/>
        <w:gridCol w:w="60"/>
        <w:gridCol w:w="60"/>
        <w:gridCol w:w="440"/>
        <w:gridCol w:w="200"/>
      </w:tblGrid>
      <w:tr>
        <w:trPr/>
        <w:tc>
          <w:tcPr>
            <w:tcW w:w="4595" w:type="dxa"/>
            <w:tcBorders>
              <w:bottom w:val="single" w:sz="8" w:space="0" w:color="000000"/>
            </w:tcBorders>
            <w:vAlign w:val="center"/>
          </w:tcPr>
          <w:p>
            <w:pPr>
              <w:pStyle w:val="TableContents"/>
              <w:bidi w:val="0"/>
              <w:spacing w:before="0" w:after="283"/>
              <w:jc w:val="left"/>
              <w:rPr>
                <w:b/>
                <w:sz w:val="20"/>
              </w:rPr>
            </w:pPr>
            <w:r>
              <w:rPr>
                <w:b/>
                <w:sz w:val="20"/>
              </w:rPr>
              <w:t>Financial Ratios</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center"/>
              <w:rPr>
                <w:b/>
                <w:sz w:val="20"/>
              </w:rPr>
            </w:pPr>
            <w:r>
              <w:rPr>
                <w:b/>
                <w:sz w:val="20"/>
              </w:rPr>
              <w:t>Jun 30, 2026</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center"/>
              <w:rPr>
                <w:b/>
                <w:sz w:val="20"/>
              </w:rPr>
            </w:pPr>
            <w:r>
              <w:rPr>
                <w:b/>
                <w:sz w:val="20"/>
              </w:rPr>
              <w:t>Dec 31, 2025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sz w:val="20"/>
              </w:rPr>
            </w:pPr>
            <w:r>
              <w:rPr>
                <w:b/>
                <w:sz w:val="20"/>
              </w:rPr>
              <w:t>Δ%</w:t>
            </w:r>
          </w:p>
        </w:tc>
        <w:tc>
          <w:tcPr>
            <w:tcW w:w="200" w:type="dxa"/>
            <w:tcBorders/>
            <w:tcMar>
              <w:bottom w:w="0" w:type="dxa"/>
            </w:tcMar>
            <w:vAlign w:val="center"/>
          </w:tcPr>
          <w:p>
            <w:pPr>
              <w:pStyle w:val="TableContents"/>
              <w:bidi w:val="0"/>
              <w:spacing w:before="0" w:after="283"/>
              <w:jc w:val="left"/>
              <w:rPr/>
            </w:pPr>
            <w:r>
              <w:rPr/>
              <w:t> </w:t>
            </w:r>
          </w:p>
        </w:tc>
      </w:tr>
      <w:tr>
        <w:trPr/>
        <w:tc>
          <w:tcPr>
            <w:tcW w:w="459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Net debt including effect of hedges </w:t>
            </w:r>
            <w:r>
              <w:rPr>
                <w:rFonts w:ascii="Times New Roman;Times;Serif" w:hAnsi="Times New Roman;Times;Serif"/>
                <w:b w:val="false"/>
                <w:i w:val="false"/>
                <w:caps w:val="false"/>
                <w:smallCaps w:val="false"/>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sz w:val="20"/>
              </w:rPr>
            </w:pPr>
            <w:r>
              <w:rPr>
                <w:sz w:val="20"/>
              </w:rPr>
              <w:t>45,030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sz w:val="20"/>
              </w:rPr>
            </w:pPr>
            <w:r>
              <w:rPr>
                <w:sz w:val="20"/>
              </w:rPr>
              <w:t>52,846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sz w:val="20"/>
              </w:rPr>
            </w:pPr>
            <w:r>
              <w:rPr>
                <w:sz w:val="20"/>
              </w:rPr>
              <w:t>-14.8</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459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Net debt including effect of hedges / Adj. EBITDA </w:t>
            </w:r>
            <w:r>
              <w:rPr>
                <w:rFonts w:ascii="Times New Roman;Times;Serif" w:hAnsi="Times New Roman;Times;Serif"/>
                <w:b w:val="false"/>
                <w:i w:val="false"/>
                <w:caps w:val="false"/>
                <w:smallCaps w:val="false"/>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sz w:val="20"/>
              </w:rPr>
            </w:pPr>
            <w:r>
              <w:rPr>
                <w:sz w:val="20"/>
              </w:rPr>
              <w:t>0.74</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sz w:val="20"/>
              </w:rPr>
            </w:pPr>
            <w:r>
              <w:rPr>
                <w:sz w:val="20"/>
              </w:rPr>
              <w:t>0.89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59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Adj. EBITDA/ Interest expense, net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sz w:val="20"/>
              </w:rPr>
            </w:pPr>
            <w:r>
              <w:rPr>
                <w:sz w:val="20"/>
              </w:rPr>
              <w:t>8.98</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sz w:val="20"/>
              </w:rPr>
            </w:pPr>
            <w:r>
              <w:rPr>
                <w:sz w:val="20"/>
              </w:rPr>
              <w:t>10.26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59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Capitalization </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sz w:val="20"/>
              </w:rPr>
            </w:pPr>
            <w:r>
              <w:rPr>
                <w:sz w:val="20"/>
              </w:rPr>
              <w:t>38.3</w:t>
            </w:r>
          </w:p>
        </w:tc>
        <w:tc>
          <w:tcPr>
            <w:tcW w:w="185"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sz w:val="20"/>
              </w:rPr>
            </w:pPr>
            <w:r>
              <w:rPr>
                <w:sz w:val="20"/>
              </w:rPr>
              <w:t>35.4</w:t>
            </w:r>
          </w:p>
        </w:tc>
        <w:tc>
          <w:tcPr>
            <w:tcW w:w="185"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538" w:type="dxa"/>
        <w:jc w:val="left"/>
        <w:tblInd w:w="0" w:type="dxa"/>
        <w:tblLayout w:type="fixed"/>
        <w:tblCellMar>
          <w:top w:w="0" w:type="dxa"/>
          <w:left w:w="0" w:type="dxa"/>
          <w:bottom w:w="0" w:type="dxa"/>
          <w:right w:w="0" w:type="dxa"/>
        </w:tblCellMar>
      </w:tblPr>
      <w:tblGrid>
        <w:gridCol w:w="38"/>
        <w:gridCol w:w="23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(1)</w:t>
            </w:r>
          </w:p>
        </w:tc>
        <w:tc>
          <w:tcPr>
            <w:tcW w:w="2270"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Net debt = total debt - cash</w:t>
            </w:r>
          </w:p>
        </w:tc>
      </w:tr>
    </w:tbl>
    <w:tbl>
      <w:tblPr>
        <w:tblW w:w="4098" w:type="dxa"/>
        <w:jc w:val="left"/>
        <w:tblInd w:w="0" w:type="dxa"/>
        <w:tblLayout w:type="fixed"/>
        <w:tblCellMar>
          <w:top w:w="0" w:type="dxa"/>
          <w:left w:w="0" w:type="dxa"/>
          <w:bottom w:w="0" w:type="dxa"/>
          <w:right w:w="0" w:type="dxa"/>
        </w:tblCellMar>
      </w:tblPr>
      <w:tblGrid>
        <w:gridCol w:w="38"/>
        <w:gridCol w:w="23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(2)</w:t>
            </w:r>
          </w:p>
        </w:tc>
        <w:tc>
          <w:tcPr>
            <w:tcW w:w="3830"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Total debt / (total debt + shareholders' equity)</w:t>
            </w:r>
          </w:p>
        </w:tc>
      </w:tr>
    </w:tbl>
    <w:tbl>
      <w:tblPr>
        <w:tblW w:w="2568" w:type="dxa"/>
        <w:jc w:val="left"/>
        <w:tblInd w:w="0" w:type="dxa"/>
        <w:tblLayout w:type="fixed"/>
        <w:tblCellMar>
          <w:top w:w="0" w:type="dxa"/>
          <w:left w:w="0" w:type="dxa"/>
          <w:bottom w:w="0" w:type="dxa"/>
          <w:right w:w="0" w:type="dxa"/>
        </w:tblCellMar>
      </w:tblPr>
      <w:tblGrid>
        <w:gridCol w:w="38"/>
        <w:gridCol w:w="23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(3)</w:t>
            </w:r>
          </w:p>
        </w:tc>
        <w:tc>
          <w:tcPr>
            <w:tcW w:w="2300"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After giving effect to swaps.</w:t>
            </w:r>
          </w:p>
        </w:tc>
      </w:tr>
    </w:tbl>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515"/>
        <w:gridCol w:w="1160"/>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160" w:type="dxa"/>
            <w:tcBorders/>
            <w:vAlign w:val="center"/>
          </w:tcPr>
          <w:p>
            <w:pPr>
              <w:pStyle w:val="TableContents"/>
              <w:bidi w:val="0"/>
              <w:spacing w:before="0" w:after="283"/>
              <w:jc w:val="right"/>
              <w:rPr>
                <w:b/>
                <w:sz w:val="20"/>
              </w:rPr>
            </w:pPr>
            <w:r>
              <w:rPr>
                <w:b/>
                <w:sz w:val="20"/>
              </w:rPr>
              <w:t>Page 14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sz w:val="20"/>
        </w:rPr>
      </w:pPr>
      <w:r>
        <w:rPr>
          <w:sz w:val="20"/>
        </w:rPr>
        <w:t>COCA-COLA FEMSA</w:t>
      </w:r>
    </w:p>
    <w:p>
      <w:pPr>
        <w:pStyle w:val="TextBody"/>
        <w:bidi w:val="0"/>
        <w:jc w:val="center"/>
        <w:rPr>
          <w:sz w:val="20"/>
        </w:rPr>
      </w:pPr>
      <w:r>
        <w:rPr>
          <w:sz w:val="20"/>
        </w:rPr>
        <w:t>QUARTERLY- VOLUME, TRANSACTIONS &amp; REVENUES</w:t>
      </w:r>
    </w:p>
    <w:p>
      <w:pPr>
        <w:pStyle w:val="TextBody"/>
        <w:bidi w:val="0"/>
        <w:spacing w:before="0" w:after="283"/>
        <w:jc w:val="left"/>
        <w:rPr/>
      </w:pPr>
      <w:r>
        <w:rPr/>
        <w:t> </w:t>
      </w:r>
    </w:p>
    <w:p>
      <w:pPr>
        <w:pStyle w:val="TextBody"/>
        <w:bidi w:val="0"/>
        <w:jc w:val="left"/>
        <w:rPr>
          <w:b/>
          <w:sz w:val="20"/>
        </w:rPr>
      </w:pPr>
      <w:r>
        <w:rPr>
          <w:b/>
          <w:sz w:val="20"/>
        </w:rPr>
        <w:t>Volume </w:t>
      </w:r>
    </w:p>
    <w:p>
      <w:pPr>
        <w:pStyle w:val="TextBody"/>
        <w:bidi w:val="0"/>
        <w:spacing w:before="0" w:after="283"/>
        <w:jc w:val="left"/>
        <w:rPr/>
      </w:pPr>
      <w:r>
        <w:rPr/>
        <w:t> </w:t>
      </w:r>
    </w:p>
    <w:tbl>
      <w:tblPr>
        <w:tblW w:w="9871" w:type="dxa"/>
        <w:jc w:val="left"/>
        <w:tblInd w:w="0" w:type="dxa"/>
        <w:tblLayout w:type="fixed"/>
        <w:tblCellMar>
          <w:top w:w="0" w:type="dxa"/>
          <w:left w:w="0" w:type="dxa"/>
          <w:bottom w:w="0" w:type="dxa"/>
          <w:right w:w="0" w:type="dxa"/>
        </w:tblCellMar>
      </w:tblPr>
      <w:tblGrid>
        <w:gridCol w:w="2030"/>
        <w:gridCol w:w="60"/>
        <w:gridCol w:w="89"/>
        <w:gridCol w:w="636"/>
        <w:gridCol w:w="60"/>
        <w:gridCol w:w="60"/>
        <w:gridCol w:w="104"/>
        <w:gridCol w:w="590"/>
        <w:gridCol w:w="60"/>
        <w:gridCol w:w="60"/>
        <w:gridCol w:w="69"/>
        <w:gridCol w:w="490"/>
        <w:gridCol w:w="60"/>
        <w:gridCol w:w="60"/>
        <w:gridCol w:w="60"/>
        <w:gridCol w:w="335"/>
        <w:gridCol w:w="60"/>
        <w:gridCol w:w="60"/>
        <w:gridCol w:w="60"/>
        <w:gridCol w:w="560"/>
        <w:gridCol w:w="60"/>
        <w:gridCol w:w="60"/>
        <w:gridCol w:w="89"/>
        <w:gridCol w:w="636"/>
        <w:gridCol w:w="60"/>
        <w:gridCol w:w="60"/>
        <w:gridCol w:w="104"/>
        <w:gridCol w:w="590"/>
        <w:gridCol w:w="60"/>
        <w:gridCol w:w="60"/>
        <w:gridCol w:w="69"/>
        <w:gridCol w:w="490"/>
        <w:gridCol w:w="60"/>
        <w:gridCol w:w="60"/>
        <w:gridCol w:w="60"/>
        <w:gridCol w:w="335"/>
        <w:gridCol w:w="60"/>
        <w:gridCol w:w="60"/>
        <w:gridCol w:w="60"/>
        <w:gridCol w:w="560"/>
        <w:gridCol w:w="60"/>
        <w:gridCol w:w="60"/>
        <w:gridCol w:w="60"/>
        <w:gridCol w:w="335"/>
        <w:gridCol w:w="20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3"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2Q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3"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2Q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YoY</w:t>
            </w:r>
          </w:p>
        </w:tc>
        <w:tc>
          <w:tcPr>
            <w:tcW w:w="2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Sparkling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6"/>
              </w:rPr>
            </w:pPr>
            <w:r>
              <w:rPr>
                <w:b/>
                <w:i w:val="false"/>
                <w:caps w:val="false"/>
                <w:smallCaps w:val="false"/>
                <w:sz w:val="16"/>
              </w:rPr>
              <w:t xml:space="preserve">Water </w:t>
            </w:r>
            <w:r>
              <w:rPr>
                <w:rFonts w:ascii="Times New Roman;Times;Serif" w:hAnsi="Times New Roman;Times;Serif"/>
                <w:b/>
                <w:i w:val="false"/>
                <w:caps w:val="false"/>
                <w:smallCaps w:val="false"/>
                <w:position w:val="5"/>
                <w:sz w:val="13"/>
                <w:sz w:val="16"/>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6"/>
              </w:rPr>
            </w:pPr>
            <w:r>
              <w:rPr>
                <w:b/>
                <w:i w:val="false"/>
                <w:caps w:val="false"/>
                <w:smallCaps w:val="false"/>
                <w:sz w:val="16"/>
              </w:rPr>
              <w:t xml:space="preserve">Bulk </w:t>
            </w:r>
            <w:r>
              <w:rPr>
                <w:rFonts w:ascii="Times New Roman;Times;Serif" w:hAnsi="Times New Roman;Times;Serif"/>
                <w:b/>
                <w:i w:val="false"/>
                <w:caps w:val="false"/>
                <w:smallCaps w:val="false"/>
                <w:position w:val="5"/>
                <w:sz w:val="13"/>
                <w:sz w:val="16"/>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Stills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Sparkling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6"/>
              </w:rPr>
            </w:pPr>
            <w:r>
              <w:rPr>
                <w:b/>
                <w:i w:val="false"/>
                <w:caps w:val="false"/>
                <w:smallCaps w:val="false"/>
                <w:sz w:val="16"/>
              </w:rPr>
              <w:t xml:space="preserve">Water </w:t>
            </w:r>
            <w:r>
              <w:rPr>
                <w:rFonts w:ascii="Times New Roman;Times;Serif" w:hAnsi="Times New Roman;Times;Serif"/>
                <w:b/>
                <w:i w:val="false"/>
                <w:caps w:val="false"/>
                <w:smallCaps w:val="false"/>
                <w:position w:val="5"/>
                <w:sz w:val="13"/>
                <w:sz w:val="16"/>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6"/>
              </w:rPr>
            </w:pPr>
            <w:r>
              <w:rPr>
                <w:b/>
                <w:i w:val="false"/>
                <w:caps w:val="false"/>
                <w:smallCaps w:val="false"/>
                <w:sz w:val="16"/>
              </w:rPr>
              <w:t xml:space="preserve">Bulk </w:t>
            </w:r>
            <w:r>
              <w:rPr>
                <w:rFonts w:ascii="Times New Roman;Times;Serif" w:hAnsi="Times New Roman;Times;Serif"/>
                <w:b/>
                <w:i w:val="false"/>
                <w:caps w:val="false"/>
                <w:smallCaps w:val="false"/>
                <w:position w:val="5"/>
                <w:sz w:val="13"/>
                <w:sz w:val="16"/>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Stills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Δ %</w:t>
            </w:r>
          </w:p>
        </w:tc>
        <w:tc>
          <w:tcPr>
            <w:tcW w:w="20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sz w:val="16"/>
              </w:rPr>
            </w:pPr>
            <w:r>
              <w:rPr>
                <w:sz w:val="16"/>
              </w:rPr>
              <w:t>Mexico</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b/>
                <w:sz w:val="16"/>
              </w:rPr>
            </w:pPr>
            <w:r>
              <w:rPr>
                <w:b/>
                <w:sz w:val="16"/>
              </w:rPr>
              <w:t>366.3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sz w:val="16"/>
              </w:rPr>
            </w:pPr>
            <w:r>
              <w:rPr>
                <w:b/>
                <w:sz w:val="16"/>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sz w:val="16"/>
              </w:rPr>
            </w:pPr>
            <w:r>
              <w:rPr>
                <w:b/>
                <w:sz w:val="16"/>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544.8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b/>
                <w:sz w:val="16"/>
              </w:rPr>
            </w:pPr>
            <w:r>
              <w:rPr>
                <w:b/>
                <w:sz w:val="16"/>
              </w:rPr>
              <w:t>359.7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sz w:val="16"/>
              </w:rPr>
            </w:pPr>
            <w:r>
              <w:rPr>
                <w:b/>
                <w:sz w:val="16"/>
              </w:rPr>
              <w:t>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sz w:val="16"/>
              </w:rPr>
            </w:pPr>
            <w:r>
              <w:rPr>
                <w:b/>
                <w:sz w:val="16"/>
              </w:rPr>
              <w:t>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539.4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1.0</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Guatemala</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b/>
                <w:sz w:val="16"/>
              </w:rPr>
            </w:pPr>
            <w:r>
              <w:rPr>
                <w:b/>
                <w:sz w:val="16"/>
              </w:rPr>
              <w:t>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16"/>
              </w:rPr>
            </w:pPr>
            <w:r>
              <w:rPr>
                <w:b/>
                <w:sz w:val="16"/>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sz w:val="16"/>
              </w:rPr>
            </w:pPr>
            <w:r>
              <w:rPr>
                <w:b/>
                <w:sz w:val="16"/>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b/>
                <w:sz w:val="16"/>
              </w:rPr>
            </w:pPr>
            <w:r>
              <w:rPr>
                <w:b/>
                <w:sz w:val="16"/>
              </w:rPr>
              <w:t>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16"/>
              </w:rPr>
            </w:pPr>
            <w:r>
              <w:rPr>
                <w:b/>
                <w:sz w:val="16"/>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sz w:val="16"/>
              </w:rPr>
            </w:pPr>
            <w:r>
              <w:rPr>
                <w:b/>
                <w:sz w:val="16"/>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3.4</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CAM South</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b/>
                <w:sz w:val="16"/>
              </w:rPr>
            </w:pPr>
            <w:r>
              <w:rPr>
                <w:b/>
                <w:sz w:val="16"/>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sz w:val="16"/>
              </w:rPr>
            </w:pPr>
            <w:r>
              <w:rPr>
                <w:b/>
                <w:sz w:val="16"/>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sz w:val="16"/>
              </w:rPr>
            </w:pPr>
            <w:r>
              <w:rPr>
                <w:b/>
                <w:sz w:val="16"/>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b/>
                <w:sz w:val="16"/>
              </w:rPr>
            </w:pPr>
            <w:r>
              <w:rPr>
                <w:b/>
                <w:sz w:val="16"/>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sz w:val="16"/>
              </w:rPr>
            </w:pPr>
            <w:r>
              <w:rPr>
                <w:b/>
                <w:sz w:val="16"/>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sz w:val="16"/>
              </w:rPr>
            </w:pPr>
            <w:r>
              <w:rPr>
                <w:b/>
                <w:sz w:val="16"/>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4.0</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Mexico and Central America</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b/>
                <w:sz w:val="16"/>
              </w:rPr>
            </w:pPr>
            <w:r>
              <w:rPr>
                <w:b/>
                <w:sz w:val="16"/>
              </w:rPr>
              <w:t>453.0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16"/>
              </w:rPr>
            </w:pPr>
            <w:r>
              <w:rPr>
                <w:b/>
                <w:sz w:val="16"/>
              </w:rPr>
              <w:t>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sz w:val="16"/>
              </w:rPr>
            </w:pPr>
            <w:r>
              <w:rPr>
                <w:b/>
                <w:sz w:val="16"/>
              </w:rPr>
              <w:t>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645.9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b/>
                <w:sz w:val="16"/>
              </w:rPr>
            </w:pPr>
            <w:r>
              <w:rPr>
                <w:b/>
                <w:sz w:val="16"/>
              </w:rPr>
              <w:t>443.7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16"/>
              </w:rPr>
            </w:pPr>
            <w:r>
              <w:rPr>
                <w:b/>
                <w:sz w:val="16"/>
              </w:rPr>
              <w:t>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sz w:val="16"/>
              </w:rPr>
            </w:pPr>
            <w:r>
              <w:rPr>
                <w:b/>
                <w:sz w:val="16"/>
              </w:rPr>
              <w:t>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636.9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1.4</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Colombia</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b/>
                <w:sz w:val="16"/>
              </w:rPr>
            </w:pPr>
            <w:r>
              <w:rPr>
                <w:b/>
                <w:sz w:val="16"/>
              </w:rPr>
              <w:t>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sz w:val="16"/>
              </w:rPr>
            </w:pPr>
            <w:r>
              <w:rPr>
                <w:b/>
                <w:sz w:val="16"/>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sz w:val="16"/>
              </w:rPr>
            </w:pPr>
            <w:r>
              <w:rPr>
                <w:b/>
                <w:sz w:val="16"/>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b/>
                <w:sz w:val="16"/>
              </w:rPr>
            </w:pPr>
            <w:r>
              <w:rPr>
                <w:b/>
                <w:sz w:val="16"/>
              </w:rPr>
              <w:t>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sz w:val="16"/>
              </w:rPr>
            </w:pPr>
            <w:r>
              <w:rPr>
                <w:b/>
                <w:sz w:val="16"/>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sz w:val="16"/>
              </w:rPr>
            </w:pPr>
            <w:r>
              <w:rPr>
                <w:b/>
                <w:sz w:val="16"/>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17.7</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b w:val="false"/>
                <w:i w:val="false"/>
                <w:caps w:val="false"/>
                <w:smallCaps w:val="false"/>
                <w:sz w:val="16"/>
              </w:rPr>
            </w:pPr>
            <w:r>
              <w:rPr>
                <w:b w:val="false"/>
                <w:i w:val="false"/>
                <w:caps w:val="false"/>
                <w:smallCaps w:val="false"/>
                <w:sz w:val="16"/>
              </w:rPr>
              <w:t xml:space="preserve">Brazil </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b/>
                <w:sz w:val="16"/>
              </w:rPr>
            </w:pPr>
            <w:r>
              <w:rPr>
                <w:b/>
                <w:sz w:val="16"/>
              </w:rPr>
              <w:t>230.6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16"/>
              </w:rPr>
            </w:pPr>
            <w:r>
              <w:rPr>
                <w:b/>
                <w:sz w:val="16"/>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sz w:val="16"/>
              </w:rPr>
            </w:pPr>
            <w:r>
              <w:rPr>
                <w:b/>
                <w:sz w:val="16"/>
              </w:rPr>
              <w:t>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279.2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b/>
                <w:sz w:val="16"/>
              </w:rPr>
            </w:pPr>
            <w:r>
              <w:rPr>
                <w:b/>
                <w:sz w:val="16"/>
              </w:rPr>
              <w:t>223.2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16"/>
              </w:rPr>
            </w:pPr>
            <w:r>
              <w:rPr>
                <w:b/>
                <w:sz w:val="16"/>
              </w:rPr>
              <w:t>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sz w:val="16"/>
              </w:rPr>
            </w:pPr>
            <w:r>
              <w:rPr>
                <w:b/>
                <w:sz w:val="16"/>
              </w:rPr>
              <w:t>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265.3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5.2</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Argentina</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b/>
                <w:sz w:val="16"/>
              </w:rPr>
            </w:pPr>
            <w:r>
              <w:rPr>
                <w:b/>
                <w:sz w:val="16"/>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sz w:val="16"/>
              </w:rPr>
            </w:pPr>
            <w:r>
              <w:rPr>
                <w:b/>
                <w:sz w:val="16"/>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sz w:val="16"/>
              </w:rPr>
            </w:pPr>
            <w:r>
              <w:rPr>
                <w:b/>
                <w:sz w:val="16"/>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b/>
                <w:sz w:val="16"/>
              </w:rPr>
            </w:pPr>
            <w:r>
              <w:rPr>
                <w:b/>
                <w:sz w:val="16"/>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b/>
                <w:sz w:val="16"/>
              </w:rPr>
            </w:pPr>
            <w:r>
              <w:rPr>
                <w:b/>
                <w:sz w:val="16"/>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sz w:val="16"/>
              </w:rPr>
            </w:pPr>
            <w:r>
              <w:rPr>
                <w:b/>
                <w:sz w:val="16"/>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-2.8</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Uruguay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b/>
                <w:sz w:val="16"/>
              </w:rPr>
            </w:pPr>
            <w:r>
              <w:rPr>
                <w:b/>
                <w:sz w:val="16"/>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16"/>
              </w:rPr>
            </w:pPr>
            <w:r>
              <w:rPr>
                <w:b/>
                <w:sz w:val="16"/>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sz w:val="16"/>
              </w:rPr>
            </w:pPr>
            <w:r>
              <w:rPr>
                <w:b/>
                <w:sz w:val="16"/>
              </w:rPr>
              <w:t>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b/>
                <w:sz w:val="16"/>
              </w:rPr>
            </w:pPr>
            <w:r>
              <w:rPr>
                <w:b/>
                <w:sz w:val="16"/>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16"/>
              </w:rPr>
            </w:pPr>
            <w:r>
              <w:rPr>
                <w:b/>
                <w:sz w:val="16"/>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sz w:val="16"/>
              </w:rPr>
            </w:pPr>
            <w:r>
              <w:rPr>
                <w:b/>
                <w:sz w:val="16"/>
              </w:rPr>
              <w:t>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0.6</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South America</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425.9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6.9</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b/>
                <w:sz w:val="16"/>
              </w:rPr>
            </w:pPr>
            <w:r>
              <w:rPr>
                <w:b/>
                <w:sz w:val="16"/>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795.2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1,071.8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768.4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1,035.3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3.5</w:t>
            </w:r>
          </w:p>
        </w:tc>
        <w:tc>
          <w:tcPr>
            <w:tcW w:w="200" w:type="dxa"/>
            <w:tcBorders/>
            <w:shd w:fill="FFFFFF" w:val="clear"/>
            <w:vAlign w:val="center"/>
          </w:tcPr>
          <w:p>
            <w:pPr>
              <w:pStyle w:val="TableContents"/>
              <w:bidi w:val="0"/>
              <w:spacing w:before="0" w:after="283"/>
              <w:jc w:val="left"/>
              <w:rPr>
                <w:b/>
                <w:sz w:val="16"/>
              </w:rPr>
            </w:pPr>
            <w:r>
              <w:rPr>
                <w:b/>
                <w:sz w:val="16"/>
              </w:rPr>
              <w:t>%</w:t>
            </w:r>
          </w:p>
        </w:tc>
      </w:tr>
    </w:tbl>
    <w:p>
      <w:pPr>
        <w:pStyle w:val="TextBody"/>
        <w:bidi w:val="0"/>
        <w:spacing w:before="0" w:after="283"/>
        <w:jc w:val="left"/>
        <w:rPr/>
      </w:pPr>
      <w:r>
        <w:rPr/>
        <w:t> </w:t>
      </w:r>
    </w:p>
    <w:tbl>
      <w:tblPr>
        <w:tblW w:w="6318" w:type="dxa"/>
        <w:jc w:val="left"/>
        <w:tblInd w:w="0" w:type="dxa"/>
        <w:tblLayout w:type="fixed"/>
        <w:tblCellMar>
          <w:top w:w="0" w:type="dxa"/>
          <w:left w:w="0" w:type="dxa"/>
          <w:bottom w:w="0" w:type="dxa"/>
          <w:right w:w="0" w:type="dxa"/>
        </w:tblCellMar>
      </w:tblPr>
      <w:tblGrid>
        <w:gridCol w:w="38"/>
        <w:gridCol w:w="23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(1)</w:t>
            </w:r>
          </w:p>
        </w:tc>
        <w:tc>
          <w:tcPr>
            <w:tcW w:w="6050"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Excludes water presentations larger than 5.0 Lt ; includes flavored water.</w:t>
            </w:r>
          </w:p>
        </w:tc>
      </w:tr>
    </w:tbl>
    <w:tbl>
      <w:tblPr>
        <w:tblW w:w="9303" w:type="dxa"/>
        <w:jc w:val="left"/>
        <w:tblInd w:w="0" w:type="dxa"/>
        <w:tblLayout w:type="fixed"/>
        <w:tblCellMar>
          <w:top w:w="0" w:type="dxa"/>
          <w:left w:w="0" w:type="dxa"/>
          <w:bottom w:w="0" w:type="dxa"/>
          <w:right w:w="0" w:type="dxa"/>
        </w:tblCellMar>
      </w:tblPr>
      <w:tblGrid>
        <w:gridCol w:w="38"/>
        <w:gridCol w:w="23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(2)</w:t>
            </w:r>
          </w:p>
        </w:tc>
        <w:tc>
          <w:tcPr>
            <w:tcW w:w="9035"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Bulk Water  = Still bottled water in 5.0, 19.0 and 20.0 - liter packaging presentations; includes flavored water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
          <w:sz w:val="20"/>
        </w:rPr>
      </w:pPr>
      <w:r>
        <w:rPr>
          <w:b/>
          <w:sz w:val="20"/>
        </w:rPr>
        <w:t>Transactions</w:t>
      </w:r>
    </w:p>
    <w:p>
      <w:pPr>
        <w:pStyle w:val="TextBody"/>
        <w:bidi w:val="0"/>
        <w:spacing w:before="0" w:after="0"/>
        <w:ind w:left="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2030"/>
        <w:gridCol w:w="60"/>
        <w:gridCol w:w="70"/>
        <w:gridCol w:w="655"/>
        <w:gridCol w:w="60"/>
        <w:gridCol w:w="60"/>
        <w:gridCol w:w="60"/>
        <w:gridCol w:w="425"/>
        <w:gridCol w:w="60"/>
        <w:gridCol w:w="60"/>
        <w:gridCol w:w="60"/>
        <w:gridCol w:w="425"/>
        <w:gridCol w:w="60"/>
        <w:gridCol w:w="60"/>
        <w:gridCol w:w="60"/>
        <w:gridCol w:w="560"/>
        <w:gridCol w:w="60"/>
        <w:gridCol w:w="60"/>
        <w:gridCol w:w="70"/>
        <w:gridCol w:w="655"/>
        <w:gridCol w:w="60"/>
        <w:gridCol w:w="60"/>
        <w:gridCol w:w="60"/>
        <w:gridCol w:w="425"/>
        <w:gridCol w:w="60"/>
        <w:gridCol w:w="60"/>
        <w:gridCol w:w="60"/>
        <w:gridCol w:w="425"/>
        <w:gridCol w:w="60"/>
        <w:gridCol w:w="60"/>
        <w:gridCol w:w="60"/>
        <w:gridCol w:w="560"/>
        <w:gridCol w:w="60"/>
        <w:gridCol w:w="60"/>
        <w:gridCol w:w="60"/>
        <w:gridCol w:w="335"/>
        <w:gridCol w:w="20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5" w:type="dxa"/>
            <w:gridSpan w:val="14"/>
            <w:tcBorders>
              <w:bottom w:val="single" w:sz="8" w:space="0" w:color="000000"/>
            </w:tcBorders>
            <w:tcMar>
              <w:bottom w:w="28" w:type="dxa"/>
            </w:tcMar>
            <w:vAlign w:val="center"/>
          </w:tcPr>
          <w:p>
            <w:pPr>
              <w:pStyle w:val="TableContents"/>
              <w:bidi w:val="0"/>
              <w:spacing w:before="0" w:after="283"/>
              <w:jc w:val="center"/>
              <w:rPr>
                <w:b/>
                <w:sz w:val="16"/>
              </w:rPr>
            </w:pPr>
            <w:r>
              <w:rPr>
                <w:b/>
                <w:sz w:val="16"/>
              </w:rPr>
              <w:t>2Q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5" w:type="dxa"/>
            <w:gridSpan w:val="14"/>
            <w:tcBorders>
              <w:bottom w:val="single" w:sz="8" w:space="0" w:color="000000"/>
            </w:tcBorders>
            <w:tcMar>
              <w:bottom w:w="28" w:type="dxa"/>
            </w:tcMar>
            <w:vAlign w:val="center"/>
          </w:tcPr>
          <w:p>
            <w:pPr>
              <w:pStyle w:val="TableContents"/>
              <w:bidi w:val="0"/>
              <w:spacing w:before="0" w:after="283"/>
              <w:jc w:val="center"/>
              <w:rPr>
                <w:b/>
                <w:sz w:val="16"/>
              </w:rPr>
            </w:pPr>
            <w:r>
              <w:rPr>
                <w:b/>
                <w:sz w:val="16"/>
              </w:rPr>
              <w:t>2Q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YoY</w:t>
            </w:r>
          </w:p>
        </w:tc>
        <w:tc>
          <w:tcPr>
            <w:tcW w:w="2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Sparkling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Water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Stills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Sparkling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Water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Stills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Δ %</w:t>
            </w:r>
          </w:p>
        </w:tc>
        <w:tc>
          <w:tcPr>
            <w:tcW w:w="20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sz w:val="16"/>
              </w:rPr>
            </w:pPr>
            <w:r>
              <w:rPr>
                <w:sz w:val="16"/>
              </w:rPr>
              <w:t>Mexico</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1,965.9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285.0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306.5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2,557.5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1,978.1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265.1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298.5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2,541.7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0.6</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Guatemala</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345.4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396.7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346.8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392.6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1.0</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CAM South</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281.9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357.7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273.6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345.5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3.5</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Mexico and Central America</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2,593.3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392.5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3,311.8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2,598.5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300.6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380.7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3,279.8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1.0</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Colombia</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541.8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114.2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470.8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613.5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15.6</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b w:val="false"/>
                <w:i w:val="false"/>
                <w:caps w:val="false"/>
                <w:smallCaps w:val="false"/>
                <w:sz w:val="16"/>
              </w:rPr>
            </w:pPr>
            <w:r>
              <w:rPr>
                <w:b w:val="false"/>
                <w:i w:val="false"/>
                <w:caps w:val="false"/>
                <w:smallCaps w:val="false"/>
                <w:sz w:val="16"/>
              </w:rPr>
              <w:t xml:space="preserve">Brazil </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1,615.8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162.8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319.1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2,097.8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1,547.0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154.6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266.2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1,967.8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6.6</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Argentina</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149.1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208.1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152.0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214.0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-2.7</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Uruguay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-1.4</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South America</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2,350.9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410.2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3,071.3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2,215.0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287.4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2,852.1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7.7</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b/>
                <w:sz w:val="16"/>
              </w:rPr>
            </w:pPr>
            <w:r>
              <w:rPr>
                <w:b/>
                <w:sz w:val="16"/>
              </w:rPr>
              <w:t>TOTAL</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4,944.2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636.2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802.7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6,383.1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4,813.5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588.0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730.4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6,131.9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4.1</w:t>
            </w:r>
          </w:p>
        </w:tc>
        <w:tc>
          <w:tcPr>
            <w:tcW w:w="200" w:type="dxa"/>
            <w:tcBorders/>
            <w:shd w:fill="FFFF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
          <w:sz w:val="20"/>
        </w:rPr>
      </w:pPr>
      <w:r>
        <w:rPr>
          <w:b/>
          <w:sz w:val="20"/>
        </w:rPr>
        <w:t>Revenues      </w:t>
      </w:r>
    </w:p>
    <w:p>
      <w:pPr>
        <w:pStyle w:val="TextBody"/>
        <w:bidi w:val="0"/>
        <w:spacing w:before="0" w:after="0"/>
        <w:ind w:left="0" w:right="0" w:hanging="0"/>
        <w:jc w:val="both"/>
        <w:rPr>
          <w:caps w:val="false"/>
          <w:smallCaps w:val="false"/>
        </w:rPr>
      </w:pPr>
      <w:r>
        <w:rPr>
          <w:caps w:val="false"/>
          <w:smallCaps w:val="false"/>
        </w:rPr>
        <w:t> </w:t>
      </w:r>
    </w:p>
    <w:tbl>
      <w:tblPr>
        <w:tblW w:w="5408" w:type="dxa"/>
        <w:jc w:val="left"/>
        <w:tblInd w:w="0" w:type="dxa"/>
        <w:tblLayout w:type="fixed"/>
        <w:tblCellMar>
          <w:top w:w="0" w:type="dxa"/>
          <w:left w:w="0" w:type="dxa"/>
          <w:bottom w:w="28" w:type="dxa"/>
          <w:right w:w="0" w:type="dxa"/>
        </w:tblCellMar>
      </w:tblPr>
      <w:tblGrid>
        <w:gridCol w:w="2960"/>
        <w:gridCol w:w="60"/>
        <w:gridCol w:w="68"/>
        <w:gridCol w:w="671"/>
        <w:gridCol w:w="60"/>
        <w:gridCol w:w="60"/>
        <w:gridCol w:w="68"/>
        <w:gridCol w:w="671"/>
        <w:gridCol w:w="60"/>
        <w:gridCol w:w="60"/>
        <w:gridCol w:w="60"/>
        <w:gridCol w:w="380"/>
        <w:gridCol w:w="230"/>
      </w:tblGrid>
      <w:tr>
        <w:trPr/>
        <w:tc>
          <w:tcPr>
            <w:tcW w:w="2960" w:type="dxa"/>
            <w:tcBorders>
              <w:bottom w:val="single" w:sz="8" w:space="0" w:color="000000"/>
            </w:tcBorders>
            <w:vAlign w:val="center"/>
          </w:tcPr>
          <w:p>
            <w:pPr>
              <w:pStyle w:val="TableContents"/>
              <w:bidi w:val="0"/>
              <w:spacing w:before="0" w:after="283"/>
              <w:jc w:val="left"/>
              <w:rPr>
                <w:i/>
                <w:sz w:val="20"/>
              </w:rPr>
            </w:pPr>
            <w:r>
              <w:rPr>
                <w:i/>
                <w:sz w:val="20"/>
              </w:rPr>
              <w:t>Expressed in million Mexican Pesos</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739" w:type="dxa"/>
            <w:gridSpan w:val="2"/>
            <w:tcBorders>
              <w:bottom w:val="single" w:sz="8" w:space="0" w:color="000000"/>
            </w:tcBorders>
            <w:vAlign w:val="center"/>
          </w:tcPr>
          <w:p>
            <w:pPr>
              <w:pStyle w:val="TableContents"/>
              <w:bidi w:val="0"/>
              <w:spacing w:before="0" w:after="283"/>
              <w:jc w:val="center"/>
              <w:rPr>
                <w:b/>
                <w:color w:val="393943"/>
                <w:sz w:val="20"/>
              </w:rPr>
            </w:pPr>
            <w:r>
              <w:rPr>
                <w:b/>
                <w:color w:val="393943"/>
                <w:sz w:val="20"/>
              </w:rPr>
              <w:t>2Q 2026</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739" w:type="dxa"/>
            <w:gridSpan w:val="2"/>
            <w:tcBorders>
              <w:bottom w:val="single" w:sz="8" w:space="0" w:color="000000"/>
            </w:tcBorders>
            <w:vAlign w:val="center"/>
          </w:tcPr>
          <w:p>
            <w:pPr>
              <w:pStyle w:val="TableContents"/>
              <w:bidi w:val="0"/>
              <w:spacing w:before="0" w:after="283"/>
              <w:jc w:val="center"/>
              <w:rPr>
                <w:b/>
                <w:color w:val="393943"/>
                <w:sz w:val="20"/>
              </w:rPr>
            </w:pPr>
            <w:r>
              <w:rPr>
                <w:b/>
                <w:color w:val="393943"/>
                <w:sz w:val="20"/>
              </w:rPr>
              <w:t>2Q 2025</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440" w:type="dxa"/>
            <w:gridSpan w:val="2"/>
            <w:tcBorders>
              <w:bottom w:val="single" w:sz="8" w:space="0" w:color="000000"/>
            </w:tcBorders>
            <w:vAlign w:val="center"/>
          </w:tcPr>
          <w:p>
            <w:pPr>
              <w:pStyle w:val="TableContents"/>
              <w:bidi w:val="0"/>
              <w:spacing w:before="0" w:after="283"/>
              <w:jc w:val="center"/>
              <w:rPr>
                <w:b/>
                <w:color w:val="393943"/>
                <w:sz w:val="20"/>
              </w:rPr>
            </w:pPr>
            <w:r>
              <w:rPr>
                <w:b/>
                <w:color w:val="393943"/>
                <w:sz w:val="20"/>
              </w:rPr>
              <w:t>Δ %</w:t>
            </w:r>
          </w:p>
        </w:tc>
        <w:tc>
          <w:tcPr>
            <w:tcW w:w="230" w:type="dxa"/>
            <w:tcBorders/>
            <w:tcMar>
              <w:bottom w:w="0" w:type="dxa"/>
            </w:tcMar>
            <w:vAlign w:val="center"/>
          </w:tcPr>
          <w:p>
            <w:pPr>
              <w:pStyle w:val="TableContents"/>
              <w:bidi w:val="0"/>
              <w:spacing w:before="0" w:after="283"/>
              <w:jc w:val="left"/>
              <w:rPr>
                <w:color w:val="393943"/>
              </w:rPr>
            </w:pPr>
            <w:r>
              <w:rPr>
                <w:color w:val="393943"/>
              </w:rPr>
              <w:t> </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Mexico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right"/>
              <w:rPr>
                <w:sz w:val="20"/>
              </w:rPr>
            </w:pPr>
            <w:r>
              <w:rPr>
                <w:sz w:val="20"/>
              </w:rPr>
              <w:t>36,713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right"/>
              <w:rPr>
                <w:sz w:val="20"/>
              </w:rPr>
            </w:pPr>
            <w:r>
              <w:rPr>
                <w:sz w:val="20"/>
              </w:rPr>
              <w:t>36,629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0.2</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sz w:val="20"/>
              </w:rPr>
            </w:pPr>
            <w:r>
              <w:rPr>
                <w:sz w:val="20"/>
              </w:rPr>
              <w:t>Guatemala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right"/>
              <w:rPr>
                <w:sz w:val="20"/>
              </w:rPr>
            </w:pPr>
            <w:r>
              <w:rPr>
                <w:sz w:val="20"/>
              </w:rPr>
              <w:t>4,269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right"/>
              <w:rPr>
                <w:sz w:val="20"/>
              </w:rPr>
            </w:pPr>
            <w:r>
              <w:rPr>
                <w:sz w:val="20"/>
              </w:rPr>
              <w:t>4,458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-4.3</w:t>
            </w:r>
          </w:p>
        </w:tc>
        <w:tc>
          <w:tcPr>
            <w:tcW w:w="23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CAM South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right"/>
              <w:rPr>
                <w:sz w:val="20"/>
              </w:rPr>
            </w:pPr>
            <w:r>
              <w:rPr>
                <w:sz w:val="20"/>
              </w:rPr>
              <w:t>4,468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right"/>
              <w:rPr>
                <w:sz w:val="20"/>
              </w:rPr>
            </w:pPr>
            <w:r>
              <w:rPr>
                <w:sz w:val="20"/>
              </w:rPr>
              <w:t>4,218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5.9</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sz w:val="20"/>
              </w:rPr>
            </w:pPr>
            <w:r>
              <w:rPr>
                <w:sz w:val="20"/>
              </w:rPr>
              <w:t>Mexico and Central America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right"/>
              <w:rPr>
                <w:sz w:val="20"/>
              </w:rPr>
            </w:pPr>
            <w:r>
              <w:rPr>
                <w:sz w:val="20"/>
              </w:rPr>
              <w:t>45,450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right"/>
              <w:rPr>
                <w:sz w:val="20"/>
              </w:rPr>
            </w:pPr>
            <w:r>
              <w:rPr>
                <w:sz w:val="20"/>
              </w:rPr>
              <w:t>45,306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0.3</w:t>
            </w:r>
          </w:p>
        </w:tc>
        <w:tc>
          <w:tcPr>
            <w:tcW w:w="23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Colombia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right"/>
              <w:rPr>
                <w:sz w:val="20"/>
              </w:rPr>
            </w:pPr>
            <w:r>
              <w:rPr>
                <w:sz w:val="20"/>
              </w:rPr>
              <w:t>6,593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right"/>
              <w:rPr>
                <w:sz w:val="20"/>
              </w:rPr>
            </w:pPr>
            <w:r>
              <w:rPr>
                <w:sz w:val="20"/>
              </w:rPr>
              <w:t>5,384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22.4</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Brazil </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right"/>
              <w:rPr>
                <w:sz w:val="20"/>
              </w:rPr>
            </w:pPr>
            <w:r>
              <w:rPr>
                <w:sz w:val="20"/>
              </w:rPr>
              <w:t>20,582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right"/>
              <w:rPr>
                <w:sz w:val="20"/>
              </w:rPr>
            </w:pPr>
            <w:r>
              <w:rPr>
                <w:sz w:val="20"/>
              </w:rPr>
              <w:t>18,359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12.1</w:t>
            </w:r>
          </w:p>
        </w:tc>
        <w:tc>
          <w:tcPr>
            <w:tcW w:w="23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Argentina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right"/>
              <w:rPr>
                <w:sz w:val="20"/>
              </w:rPr>
            </w:pPr>
            <w:r>
              <w:rPr>
                <w:sz w:val="20"/>
              </w:rPr>
              <w:t>2,498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71" w:type="dxa"/>
            <w:tcBorders/>
            <w:shd w:fill="CCEEFF" w:val="clear"/>
            <w:tcMar>
              <w:bottom w:w="0" w:type="dxa"/>
            </w:tcMar>
            <w:vAlign w:val="center"/>
          </w:tcPr>
          <w:p>
            <w:pPr>
              <w:pStyle w:val="TableContents"/>
              <w:bidi w:val="0"/>
              <w:spacing w:before="0" w:after="283"/>
              <w:jc w:val="right"/>
              <w:rPr>
                <w:sz w:val="20"/>
              </w:rPr>
            </w:pPr>
            <w:r>
              <w:rPr>
                <w:sz w:val="20"/>
              </w:rPr>
              <w:t>2,653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-5.8</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sz w:val="20"/>
              </w:rPr>
            </w:pPr>
            <w:r>
              <w:rPr>
                <w:sz w:val="20"/>
              </w:rPr>
              <w:t>Uruguay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right"/>
              <w:rPr>
                <w:sz w:val="20"/>
              </w:rPr>
            </w:pPr>
            <w:r>
              <w:rPr>
                <w:sz w:val="20"/>
              </w:rPr>
              <w:t>1,196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right"/>
              <w:rPr>
                <w:sz w:val="20"/>
              </w:rPr>
            </w:pPr>
            <w:r>
              <w:rPr>
                <w:sz w:val="20"/>
              </w:rPr>
              <w:t>1,215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-1.6</w:t>
            </w:r>
          </w:p>
        </w:tc>
        <w:tc>
          <w:tcPr>
            <w:tcW w:w="23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South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vAlign w:val="center"/>
          </w:tcPr>
          <w:p>
            <w:pPr>
              <w:pStyle w:val="TableContents"/>
              <w:bidi w:val="0"/>
              <w:spacing w:before="0" w:after="283"/>
              <w:jc w:val="left"/>
              <w:rPr/>
            </w:pPr>
            <w:r>
              <w:rPr/>
              <w:t> </w:t>
            </w:r>
          </w:p>
        </w:tc>
        <w:tc>
          <w:tcPr>
            <w:tcW w:w="671" w:type="dxa"/>
            <w:tcBorders>
              <w:bottom w:val="single" w:sz="8" w:space="0" w:color="000000"/>
            </w:tcBorders>
            <w:shd w:fill="CCEEFF" w:val="clear"/>
            <w:vAlign w:val="center"/>
          </w:tcPr>
          <w:p>
            <w:pPr>
              <w:pStyle w:val="TableContents"/>
              <w:bidi w:val="0"/>
              <w:spacing w:before="0" w:after="283"/>
              <w:jc w:val="right"/>
              <w:rPr>
                <w:sz w:val="20"/>
              </w:rPr>
            </w:pPr>
            <w:r>
              <w:rPr>
                <w:sz w:val="20"/>
              </w:rPr>
              <w:t>30,868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vAlign w:val="center"/>
          </w:tcPr>
          <w:p>
            <w:pPr>
              <w:pStyle w:val="TableContents"/>
              <w:bidi w:val="0"/>
              <w:spacing w:before="0" w:after="283"/>
              <w:jc w:val="left"/>
              <w:rPr/>
            </w:pPr>
            <w:r>
              <w:rPr/>
              <w:t> </w:t>
            </w:r>
          </w:p>
        </w:tc>
        <w:tc>
          <w:tcPr>
            <w:tcW w:w="671" w:type="dxa"/>
            <w:tcBorders>
              <w:bottom w:val="single" w:sz="8" w:space="0" w:color="000000"/>
            </w:tcBorders>
            <w:shd w:fill="CCEEFF" w:val="clear"/>
            <w:vAlign w:val="center"/>
          </w:tcPr>
          <w:p>
            <w:pPr>
              <w:pStyle w:val="TableContents"/>
              <w:bidi w:val="0"/>
              <w:spacing w:before="0" w:after="283"/>
              <w:jc w:val="right"/>
              <w:rPr>
                <w:sz w:val="20"/>
              </w:rPr>
            </w:pPr>
            <w:r>
              <w:rPr>
                <w:sz w:val="20"/>
              </w:rPr>
              <w:t>27,611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vAlign w:val="center"/>
          </w:tcPr>
          <w:p>
            <w:pPr>
              <w:pStyle w:val="TableContents"/>
              <w:bidi w:val="0"/>
              <w:spacing w:before="0" w:after="283"/>
              <w:jc w:val="right"/>
              <w:rPr>
                <w:sz w:val="20"/>
              </w:rPr>
            </w:pPr>
            <w:r>
              <w:rPr>
                <w:sz w:val="20"/>
              </w:rPr>
              <w:t>11.8</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double" w:sz="6" w:space="0" w:color="000000"/>
            </w:tcBorders>
            <w:shd w:fill="FFFFFF" w:val="clear"/>
            <w:vAlign w:val="center"/>
          </w:tcPr>
          <w:p>
            <w:pPr>
              <w:pStyle w:val="TableContents"/>
              <w:bidi w:val="0"/>
              <w:spacing w:before="0" w:after="283"/>
              <w:jc w:val="left"/>
              <w:rPr/>
            </w:pPr>
            <w:r>
              <w:rPr/>
              <w:t> </w:t>
            </w:r>
          </w:p>
        </w:tc>
        <w:tc>
          <w:tcPr>
            <w:tcW w:w="671" w:type="dxa"/>
            <w:tcBorders>
              <w:bottom w:val="double" w:sz="6" w:space="0" w:color="000000"/>
            </w:tcBorders>
            <w:shd w:fill="FFFFFF" w:val="clear"/>
            <w:vAlign w:val="center"/>
          </w:tcPr>
          <w:p>
            <w:pPr>
              <w:pStyle w:val="TableContents"/>
              <w:bidi w:val="0"/>
              <w:spacing w:before="0" w:after="283"/>
              <w:jc w:val="right"/>
              <w:rPr>
                <w:b/>
                <w:sz w:val="20"/>
              </w:rPr>
            </w:pPr>
            <w:r>
              <w:rPr>
                <w:b/>
                <w:sz w:val="20"/>
              </w:rPr>
              <w:t>76,318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double" w:sz="6" w:space="0" w:color="000000"/>
            </w:tcBorders>
            <w:shd w:fill="FFFFFF" w:val="clear"/>
            <w:vAlign w:val="center"/>
          </w:tcPr>
          <w:p>
            <w:pPr>
              <w:pStyle w:val="TableContents"/>
              <w:bidi w:val="0"/>
              <w:spacing w:before="0" w:after="283"/>
              <w:jc w:val="left"/>
              <w:rPr/>
            </w:pPr>
            <w:r>
              <w:rPr/>
              <w:t> </w:t>
            </w:r>
          </w:p>
        </w:tc>
        <w:tc>
          <w:tcPr>
            <w:tcW w:w="671" w:type="dxa"/>
            <w:tcBorders>
              <w:bottom w:val="double" w:sz="6" w:space="0" w:color="000000"/>
            </w:tcBorders>
            <w:shd w:fill="FFFFFF" w:val="clear"/>
            <w:vAlign w:val="center"/>
          </w:tcPr>
          <w:p>
            <w:pPr>
              <w:pStyle w:val="TableContents"/>
              <w:bidi w:val="0"/>
              <w:spacing w:before="0" w:after="283"/>
              <w:jc w:val="right"/>
              <w:rPr>
                <w:b/>
                <w:sz w:val="20"/>
              </w:rPr>
            </w:pPr>
            <w:r>
              <w:rPr>
                <w:b/>
                <w:sz w:val="20"/>
              </w:rPr>
              <w:t>72,917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vAlign w:val="center"/>
          </w:tcPr>
          <w:p>
            <w:pPr>
              <w:pStyle w:val="TableContents"/>
              <w:bidi w:val="0"/>
              <w:spacing w:before="0" w:after="283"/>
              <w:jc w:val="right"/>
              <w:rPr>
                <w:b/>
                <w:sz w:val="20"/>
              </w:rPr>
            </w:pPr>
            <w:r>
              <w:rPr>
                <w:b/>
                <w:sz w:val="20"/>
              </w:rPr>
              <w:t>4.7</w:t>
            </w:r>
          </w:p>
        </w:tc>
        <w:tc>
          <w:tcPr>
            <w:tcW w:w="230" w:type="dxa"/>
            <w:tcBorders/>
            <w:shd w:fill="FFFFFF" w:val="clear"/>
            <w:tcMar>
              <w:bottom w:w="0"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23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(3)</w:t>
            </w:r>
          </w:p>
        </w:tc>
        <w:tc>
          <w:tcPr>
            <w:tcW w:w="4460"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Volume and transactions in Brazil do not include beer</w:t>
            </w:r>
          </w:p>
        </w:tc>
      </w:tr>
    </w:tbl>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(4)</w:t>
            </w:r>
          </w:p>
        </w:tc>
        <w:tc>
          <w:tcPr>
            <w:tcW w:w="9949"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Brazil includes beer revenues of Ps. 1,140.1 million for the second quarter of 2026 and Ps. 1,025.2 million for the same period of the previous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26765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143750" cy="2676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i/>
                <w:position w:val="7"/>
                <w:sz w:val="16"/>
                <w:sz w:val="20"/>
              </w:rPr>
            </w:pPr>
            <w:r>
              <w:rPr>
                <w:i/>
                <w:position w:val="7"/>
                <w:sz w:val="16"/>
                <w:sz w:val="20"/>
              </w:rPr>
              <w:t>(1)</w:t>
            </w:r>
          </w:p>
        </w:tc>
        <w:tc>
          <w:tcPr>
            <w:tcW w:w="9973" w:type="dxa"/>
            <w:tcBorders/>
            <w:vAlign w:val="center"/>
          </w:tcPr>
          <w:p>
            <w:pPr>
              <w:pStyle w:val="TableContents"/>
              <w:bidi w:val="0"/>
              <w:spacing w:before="0" w:after="283"/>
              <w:jc w:val="both"/>
              <w:rPr>
                <w:i/>
                <w:sz w:val="20"/>
              </w:rPr>
            </w:pPr>
            <w:r>
              <w:rPr>
                <w:i/>
                <w:sz w:val="20"/>
              </w:rPr>
              <w:t xml:space="preserve">Volume is expressed in unit cases. Unit case refers to 192 ounces of finished beverage product (24 eight-ounce servings) and, when applied to soda fountains, refers to the volume of syrup, powders, and concentrate that is required to produce 192 ounces of finished beverage product. </w:t>
            </w:r>
          </w:p>
        </w:tc>
      </w:tr>
    </w:tbl>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i/>
                <w:position w:val="7"/>
                <w:sz w:val="16"/>
                <w:sz w:val="20"/>
              </w:rPr>
            </w:pPr>
            <w:r>
              <w:rPr>
                <w:i/>
                <w:position w:val="7"/>
                <w:sz w:val="16"/>
                <w:sz w:val="20"/>
              </w:rPr>
              <w:t>(2)</w:t>
            </w:r>
          </w:p>
        </w:tc>
        <w:tc>
          <w:tcPr>
            <w:tcW w:w="9972" w:type="dxa"/>
            <w:tcBorders/>
            <w:vAlign w:val="center"/>
          </w:tcPr>
          <w:p>
            <w:pPr>
              <w:pStyle w:val="TableContents"/>
              <w:bidi w:val="0"/>
              <w:spacing w:before="0" w:after="283"/>
              <w:jc w:val="left"/>
              <w:rPr>
                <w:i/>
                <w:sz w:val="20"/>
              </w:rPr>
            </w:pPr>
            <w:r>
              <w:rPr>
                <w:i/>
                <w:sz w:val="20"/>
              </w:rPr>
              <w:t>Transactions refer to the number of single units (e.g., a can or a bottle) sold, regardless of their size or volume or whether they are sold individually or in multipacks, except for soda fountains, which represent multiple transactions based on a standard 12 oz. serving.</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515"/>
        <w:gridCol w:w="1160"/>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160" w:type="dxa"/>
            <w:tcBorders/>
            <w:vAlign w:val="center"/>
          </w:tcPr>
          <w:p>
            <w:pPr>
              <w:pStyle w:val="TableContents"/>
              <w:bidi w:val="0"/>
              <w:spacing w:before="0" w:after="283"/>
              <w:jc w:val="right"/>
              <w:rPr>
                <w:b/>
                <w:sz w:val="20"/>
              </w:rPr>
            </w:pPr>
            <w:r>
              <w:rPr>
                <w:b/>
                <w:sz w:val="20"/>
              </w:rPr>
              <w:t>Page 15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COCA-COLA FEMSA</w:t>
      </w:r>
    </w:p>
    <w:p>
      <w:pPr>
        <w:pStyle w:val="TextBody"/>
        <w:bidi w:val="0"/>
        <w:jc w:val="center"/>
        <w:rPr>
          <w:sz w:val="20"/>
        </w:rPr>
      </w:pPr>
      <w:r>
        <w:rPr>
          <w:sz w:val="20"/>
        </w:rPr>
        <w:t>YTD- VOLUME, TRANSACTIONS &amp;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Volume </w:t>
      </w:r>
    </w:p>
    <w:p>
      <w:pPr>
        <w:pStyle w:val="TextBody"/>
        <w:bidi w:val="0"/>
        <w:spacing w:before="0" w:after="0"/>
        <w:ind w:left="0" w:right="0" w:hanging="0"/>
        <w:jc w:val="left"/>
        <w:rPr>
          <w:caps w:val="false"/>
          <w:smallCaps w:val="false"/>
        </w:rPr>
      </w:pPr>
      <w:r>
        <w:rPr>
          <w:caps w:val="false"/>
          <w:smallCaps w:val="false"/>
        </w:rPr>
        <w:t> </w:t>
      </w:r>
    </w:p>
    <w:tbl>
      <w:tblPr>
        <w:tblW w:w="10051" w:type="dxa"/>
        <w:jc w:val="left"/>
        <w:tblInd w:w="0" w:type="dxa"/>
        <w:tblLayout w:type="fixed"/>
        <w:tblCellMar>
          <w:top w:w="0" w:type="dxa"/>
          <w:left w:w="0" w:type="dxa"/>
          <w:bottom w:w="0" w:type="dxa"/>
          <w:right w:w="0" w:type="dxa"/>
        </w:tblCellMar>
      </w:tblPr>
      <w:tblGrid>
        <w:gridCol w:w="2030"/>
        <w:gridCol w:w="60"/>
        <w:gridCol w:w="70"/>
        <w:gridCol w:w="655"/>
        <w:gridCol w:w="60"/>
        <w:gridCol w:w="60"/>
        <w:gridCol w:w="85"/>
        <w:gridCol w:w="609"/>
        <w:gridCol w:w="60"/>
        <w:gridCol w:w="60"/>
        <w:gridCol w:w="69"/>
        <w:gridCol w:w="490"/>
        <w:gridCol w:w="60"/>
        <w:gridCol w:w="60"/>
        <w:gridCol w:w="60"/>
        <w:gridCol w:w="425"/>
        <w:gridCol w:w="60"/>
        <w:gridCol w:w="60"/>
        <w:gridCol w:w="60"/>
        <w:gridCol w:w="560"/>
        <w:gridCol w:w="60"/>
        <w:gridCol w:w="60"/>
        <w:gridCol w:w="70"/>
        <w:gridCol w:w="655"/>
        <w:gridCol w:w="60"/>
        <w:gridCol w:w="60"/>
        <w:gridCol w:w="85"/>
        <w:gridCol w:w="609"/>
        <w:gridCol w:w="60"/>
        <w:gridCol w:w="60"/>
        <w:gridCol w:w="69"/>
        <w:gridCol w:w="490"/>
        <w:gridCol w:w="60"/>
        <w:gridCol w:w="60"/>
        <w:gridCol w:w="60"/>
        <w:gridCol w:w="425"/>
        <w:gridCol w:w="60"/>
        <w:gridCol w:w="60"/>
        <w:gridCol w:w="60"/>
        <w:gridCol w:w="560"/>
        <w:gridCol w:w="60"/>
        <w:gridCol w:w="60"/>
        <w:gridCol w:w="60"/>
        <w:gridCol w:w="335"/>
        <w:gridCol w:w="20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3"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YTD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3"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YTD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YoY</w:t>
            </w:r>
          </w:p>
        </w:tc>
        <w:tc>
          <w:tcPr>
            <w:tcW w:w="2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Sparkling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6"/>
              </w:rPr>
            </w:pPr>
            <w:r>
              <w:rPr>
                <w:b/>
                <w:i w:val="false"/>
                <w:caps w:val="false"/>
                <w:smallCaps w:val="false"/>
                <w:sz w:val="16"/>
              </w:rPr>
              <w:t xml:space="preserve">Water </w:t>
            </w:r>
            <w:r>
              <w:rPr>
                <w:rFonts w:ascii="Times New Roman;Times;Serif" w:hAnsi="Times New Roman;Times;Serif"/>
                <w:b/>
                <w:i w:val="false"/>
                <w:caps w:val="false"/>
                <w:smallCaps w:val="false"/>
                <w:position w:val="5"/>
                <w:sz w:val="13"/>
                <w:sz w:val="16"/>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9"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6"/>
              </w:rPr>
            </w:pPr>
            <w:r>
              <w:rPr>
                <w:b/>
                <w:i w:val="false"/>
                <w:caps w:val="false"/>
                <w:smallCaps w:val="false"/>
                <w:sz w:val="16"/>
              </w:rPr>
              <w:t xml:space="preserve">Bulk </w:t>
            </w:r>
            <w:r>
              <w:rPr>
                <w:rFonts w:ascii="Times New Roman;Times;Serif" w:hAnsi="Times New Roman;Times;Serif"/>
                <w:b/>
                <w:i w:val="false"/>
                <w:caps w:val="false"/>
                <w:smallCaps w:val="false"/>
                <w:position w:val="5"/>
                <w:sz w:val="13"/>
                <w:sz w:val="16"/>
              </w:rPr>
              <w:t>(2)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Stills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Sparkling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6"/>
              </w:rPr>
            </w:pPr>
            <w:r>
              <w:rPr>
                <w:b/>
                <w:i w:val="false"/>
                <w:caps w:val="false"/>
                <w:smallCaps w:val="false"/>
                <w:sz w:val="16"/>
              </w:rPr>
              <w:t xml:space="preserve">Water </w:t>
            </w:r>
            <w:r>
              <w:rPr>
                <w:rFonts w:ascii="Times New Roman;Times;Serif" w:hAnsi="Times New Roman;Times;Serif"/>
                <w:b/>
                <w:i w:val="false"/>
                <w:caps w:val="false"/>
                <w:smallCaps w:val="false"/>
                <w:position w:val="5"/>
                <w:sz w:val="13"/>
                <w:sz w:val="16"/>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9"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16"/>
              </w:rPr>
            </w:pPr>
            <w:r>
              <w:rPr>
                <w:b/>
                <w:i w:val="false"/>
                <w:caps w:val="false"/>
                <w:smallCaps w:val="false"/>
                <w:sz w:val="16"/>
              </w:rPr>
              <w:t xml:space="preserve">Bulk </w:t>
            </w:r>
            <w:r>
              <w:rPr>
                <w:rFonts w:ascii="Times New Roman;Times;Serif" w:hAnsi="Times New Roman;Times;Serif"/>
                <w:b/>
                <w:i w:val="false"/>
                <w:caps w:val="false"/>
                <w:smallCaps w:val="false"/>
                <w:position w:val="5"/>
                <w:sz w:val="13"/>
                <w:sz w:val="16"/>
              </w:rPr>
              <w:t>(2)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Stills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Δ %</w:t>
            </w:r>
          </w:p>
        </w:tc>
        <w:tc>
          <w:tcPr>
            <w:tcW w:w="200" w:type="dxa"/>
            <w:tcBorders/>
            <w:vAlign w:val="center"/>
          </w:tcPr>
          <w:p>
            <w:pPr>
              <w:pStyle w:val="TableContents"/>
              <w:bidi w:val="0"/>
              <w:spacing w:before="0" w:after="283"/>
              <w:jc w:val="center"/>
              <w:rPr/>
            </w:pPr>
            <w:r>
              <w:rPr/>
              <w:t> </w:t>
            </w:r>
          </w:p>
        </w:tc>
      </w:tr>
      <w:tr>
        <w:trPr/>
        <w:tc>
          <w:tcPr>
            <w:tcW w:w="2030" w:type="dxa"/>
            <w:tcBorders/>
            <w:shd w:fill="CCEEFF" w:val="clear"/>
            <w:vAlign w:val="center"/>
          </w:tcPr>
          <w:p>
            <w:pPr>
              <w:pStyle w:val="TableContents"/>
              <w:bidi w:val="0"/>
              <w:spacing w:before="0" w:after="283"/>
              <w:jc w:val="left"/>
              <w:rPr>
                <w:sz w:val="16"/>
              </w:rPr>
            </w:pPr>
            <w:r>
              <w:rPr>
                <w:sz w:val="16"/>
              </w:rPr>
              <w:t>Mexico</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667.2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sz w:val="16"/>
              </w:rPr>
            </w:pPr>
            <w:r>
              <w:rPr>
                <w:b/>
                <w:sz w:val="16"/>
              </w:rPr>
              <w:t>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180.1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667.6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sz w:val="16"/>
              </w:rPr>
            </w:pPr>
            <w:r>
              <w:rPr>
                <w:b/>
                <w:sz w:val="16"/>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1,003.3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-0.7</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Guatemala</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b/>
                <w:sz w:val="16"/>
              </w:rPr>
            </w:pPr>
            <w:r>
              <w:rPr>
                <w:b/>
                <w:sz w:val="16"/>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b/>
                <w:sz w:val="16"/>
              </w:rPr>
            </w:pPr>
            <w:r>
              <w:rPr>
                <w:b/>
                <w:sz w:val="16"/>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3.1</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CAM South</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sz w:val="16"/>
              </w:rPr>
            </w:pPr>
            <w:r>
              <w:rPr>
                <w:b/>
                <w:sz w:val="16"/>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sz w:val="16"/>
              </w:rPr>
            </w:pPr>
            <w:r>
              <w:rPr>
                <w:b/>
                <w:sz w:val="16"/>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4.6</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Mexico and Central America</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833.7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b/>
                <w:sz w:val="16"/>
              </w:rPr>
            </w:pPr>
            <w:r>
              <w:rPr>
                <w:b/>
                <w:sz w:val="16"/>
              </w:rPr>
              <w:t>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181.5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1,190.4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828.4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b/>
                <w:sz w:val="16"/>
              </w:rPr>
            </w:pPr>
            <w:r>
              <w:rPr>
                <w:b/>
                <w:sz w:val="16"/>
              </w:rPr>
              <w:t>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187.4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1,190.2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0.0</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Colombia</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142.1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sz w:val="16"/>
              </w:rPr>
            </w:pPr>
            <w:r>
              <w:rPr>
                <w:b/>
                <w:sz w:val="16"/>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sz w:val="16"/>
              </w:rPr>
            </w:pPr>
            <w:r>
              <w:rPr>
                <w:b/>
                <w:sz w:val="16"/>
              </w:rPr>
              <w:t>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163.8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13.4</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b w:val="false"/>
                <w:i w:val="false"/>
                <w:caps w:val="false"/>
                <w:smallCaps w:val="false"/>
                <w:sz w:val="16"/>
              </w:rPr>
            </w:pPr>
            <w:r>
              <w:rPr>
                <w:b w:val="false"/>
                <w:i w:val="false"/>
                <w:caps w:val="false"/>
                <w:smallCaps w:val="false"/>
                <w:sz w:val="16"/>
              </w:rPr>
              <w:t xml:space="preserve">Brazil </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479.5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b/>
                <w:sz w:val="16"/>
              </w:rPr>
            </w:pPr>
            <w:r>
              <w:rPr>
                <w:b/>
                <w:sz w:val="16"/>
              </w:rPr>
              <w:t>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465.5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b/>
                <w:sz w:val="16"/>
              </w:rPr>
            </w:pPr>
            <w:r>
              <w:rPr>
                <w:b/>
                <w:sz w:val="16"/>
              </w:rPr>
              <w:t>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4.4</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Argentina</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sz w:val="16"/>
              </w:rPr>
            </w:pPr>
            <w:r>
              <w:rPr>
                <w:b/>
                <w:sz w:val="16"/>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sz w:val="16"/>
              </w:rPr>
            </w:pPr>
            <w:r>
              <w:rPr>
                <w:b/>
                <w:sz w:val="16"/>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b/>
                <w:sz w:val="16"/>
              </w:rPr>
            </w:pPr>
            <w:r>
              <w:rPr>
                <w:b/>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6"/>
              </w:rPr>
            </w:pPr>
            <w:r>
              <w:rPr>
                <w:b/>
                <w:sz w:val="16"/>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1.5</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Uruguay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b/>
                <w:sz w:val="16"/>
              </w:rPr>
            </w:pPr>
            <w:r>
              <w:rPr>
                <w:b/>
                <w:sz w:val="16"/>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b/>
                <w:sz w:val="16"/>
              </w:rPr>
            </w:pPr>
            <w:r>
              <w:rPr>
                <w:b/>
                <w:sz w:val="16"/>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b/>
                <w:sz w:val="16"/>
              </w:rPr>
            </w:pPr>
            <w:r>
              <w:rPr>
                <w:b/>
                <w:sz w:val="16"/>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2.1</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South America</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700.2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879.8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670.3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831.6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5.8</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b/>
                <w:sz w:val="16"/>
              </w:rPr>
            </w:pPr>
            <w:r>
              <w:rPr>
                <w:b/>
                <w:sz w:val="16"/>
              </w:rPr>
              <w:t>TOTAL</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1,533.8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2,070.2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1,498.7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201.8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2,021.8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2.4</w:t>
            </w:r>
          </w:p>
        </w:tc>
        <w:tc>
          <w:tcPr>
            <w:tcW w:w="200" w:type="dxa"/>
            <w:tcBorders/>
            <w:shd w:fill="FFFFFF" w:val="clear"/>
            <w:vAlign w:val="center"/>
          </w:tcPr>
          <w:p>
            <w:pPr>
              <w:pStyle w:val="TableContents"/>
              <w:bidi w:val="0"/>
              <w:spacing w:before="0" w:after="283"/>
              <w:jc w:val="left"/>
              <w:rPr>
                <w:b/>
                <w:sz w:val="16"/>
              </w:rPr>
            </w:pPr>
            <w:r>
              <w:rPr>
                <w:b/>
                <w:sz w:val="16"/>
              </w:rPr>
              <w:t>%</w:t>
            </w:r>
          </w:p>
        </w:tc>
      </w:tr>
    </w:tbl>
    <w:p>
      <w:pPr>
        <w:pStyle w:val="TextBody"/>
        <w:bidi w:val="0"/>
        <w:spacing w:before="0" w:after="283"/>
        <w:jc w:val="left"/>
        <w:rPr/>
      </w:pPr>
      <w:r>
        <w:rPr/>
        <w:t> </w:t>
      </w:r>
    </w:p>
    <w:tbl>
      <w:tblPr>
        <w:tblW w:w="6318" w:type="dxa"/>
        <w:jc w:val="left"/>
        <w:tblInd w:w="0" w:type="dxa"/>
        <w:tblLayout w:type="fixed"/>
        <w:tblCellMar>
          <w:top w:w="0" w:type="dxa"/>
          <w:left w:w="0" w:type="dxa"/>
          <w:bottom w:w="0" w:type="dxa"/>
          <w:right w:w="0" w:type="dxa"/>
        </w:tblCellMar>
      </w:tblPr>
      <w:tblGrid>
        <w:gridCol w:w="38"/>
        <w:gridCol w:w="23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(1)</w:t>
            </w:r>
          </w:p>
        </w:tc>
        <w:tc>
          <w:tcPr>
            <w:tcW w:w="6050"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Excludes water presentations larger than 5.0 Lt ; includes flavored water.</w:t>
            </w:r>
          </w:p>
        </w:tc>
      </w:tr>
    </w:tbl>
    <w:tbl>
      <w:tblPr>
        <w:tblW w:w="9303" w:type="dxa"/>
        <w:jc w:val="left"/>
        <w:tblInd w:w="0" w:type="dxa"/>
        <w:tblLayout w:type="fixed"/>
        <w:tblCellMar>
          <w:top w:w="0" w:type="dxa"/>
          <w:left w:w="0" w:type="dxa"/>
          <w:bottom w:w="0" w:type="dxa"/>
          <w:right w:w="0" w:type="dxa"/>
        </w:tblCellMar>
      </w:tblPr>
      <w:tblGrid>
        <w:gridCol w:w="38"/>
        <w:gridCol w:w="23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(2)</w:t>
            </w:r>
          </w:p>
        </w:tc>
        <w:tc>
          <w:tcPr>
            <w:tcW w:w="9035"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Bulk Water  = Still bottled water in 5.0, 19.0 and 20.0 - liter packaging presentations; includes flavored water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Transactions</w:t>
      </w:r>
    </w:p>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2030"/>
        <w:gridCol w:w="60"/>
        <w:gridCol w:w="70"/>
        <w:gridCol w:w="655"/>
        <w:gridCol w:w="60"/>
        <w:gridCol w:w="60"/>
        <w:gridCol w:w="60"/>
        <w:gridCol w:w="560"/>
        <w:gridCol w:w="60"/>
        <w:gridCol w:w="60"/>
        <w:gridCol w:w="60"/>
        <w:gridCol w:w="560"/>
        <w:gridCol w:w="60"/>
        <w:gridCol w:w="60"/>
        <w:gridCol w:w="60"/>
        <w:gridCol w:w="650"/>
        <w:gridCol w:w="60"/>
        <w:gridCol w:w="60"/>
        <w:gridCol w:w="70"/>
        <w:gridCol w:w="655"/>
        <w:gridCol w:w="60"/>
        <w:gridCol w:w="60"/>
        <w:gridCol w:w="60"/>
        <w:gridCol w:w="560"/>
        <w:gridCol w:w="60"/>
        <w:gridCol w:w="60"/>
        <w:gridCol w:w="60"/>
        <w:gridCol w:w="560"/>
        <w:gridCol w:w="60"/>
        <w:gridCol w:w="60"/>
        <w:gridCol w:w="60"/>
        <w:gridCol w:w="650"/>
        <w:gridCol w:w="60"/>
        <w:gridCol w:w="60"/>
        <w:gridCol w:w="60"/>
        <w:gridCol w:w="335"/>
        <w:gridCol w:w="20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gridSpan w:val="14"/>
            <w:tcBorders>
              <w:bottom w:val="single" w:sz="8" w:space="0" w:color="000000"/>
            </w:tcBorders>
            <w:tcMar>
              <w:bottom w:w="28" w:type="dxa"/>
            </w:tcMar>
            <w:vAlign w:val="center"/>
          </w:tcPr>
          <w:p>
            <w:pPr>
              <w:pStyle w:val="TableContents"/>
              <w:bidi w:val="0"/>
              <w:spacing w:before="0" w:after="283"/>
              <w:jc w:val="center"/>
              <w:rPr>
                <w:b/>
                <w:sz w:val="16"/>
              </w:rPr>
            </w:pPr>
            <w:r>
              <w:rPr>
                <w:b/>
                <w:sz w:val="16"/>
              </w:rPr>
              <w:t>YTD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gridSpan w:val="14"/>
            <w:tcBorders>
              <w:bottom w:val="single" w:sz="8" w:space="0" w:color="000000"/>
            </w:tcBorders>
            <w:tcMar>
              <w:bottom w:w="28" w:type="dxa"/>
            </w:tcMar>
            <w:vAlign w:val="center"/>
          </w:tcPr>
          <w:p>
            <w:pPr>
              <w:pStyle w:val="TableContents"/>
              <w:bidi w:val="0"/>
              <w:spacing w:before="0" w:after="283"/>
              <w:jc w:val="center"/>
              <w:rPr>
                <w:b/>
                <w:sz w:val="16"/>
              </w:rPr>
            </w:pPr>
            <w:r>
              <w:rPr>
                <w:b/>
                <w:sz w:val="16"/>
              </w:rPr>
              <w:t>YTD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YoY</w:t>
            </w:r>
          </w:p>
        </w:tc>
        <w:tc>
          <w:tcPr>
            <w:tcW w:w="2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Sparkling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Water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Stills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Sparkling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Water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Stills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Δ %</w:t>
            </w:r>
          </w:p>
        </w:tc>
        <w:tc>
          <w:tcPr>
            <w:tcW w:w="20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sz w:val="16"/>
              </w:rPr>
            </w:pPr>
            <w:r>
              <w:rPr>
                <w:sz w:val="16"/>
              </w:rPr>
              <w:t>Mexico</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3,610.5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496.1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568.0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6"/>
              </w:rPr>
            </w:pPr>
            <w:r>
              <w:rPr>
                <w:b/>
                <w:sz w:val="16"/>
              </w:rPr>
              <w:t>4,674.6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3,713.7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482.4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571.4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6"/>
              </w:rPr>
            </w:pPr>
            <w:r>
              <w:rPr>
                <w:b/>
                <w:sz w:val="16"/>
              </w:rPr>
              <w:t>4,767.5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-1.9</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Guatemala</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663.4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16"/>
              </w:rPr>
            </w:pPr>
            <w:r>
              <w:rPr>
                <w:b/>
                <w:sz w:val="16"/>
              </w:rPr>
              <w:t>758.3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658.7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16"/>
              </w:rPr>
            </w:pPr>
            <w:r>
              <w:rPr>
                <w:b/>
                <w:sz w:val="16"/>
              </w:rPr>
              <w:t>745.7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1.7</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CAM South</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6"/>
              </w:rPr>
            </w:pPr>
            <w:r>
              <w:rPr>
                <w:b/>
                <w:sz w:val="16"/>
              </w:rPr>
              <w:t>694.3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528.6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112.0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6"/>
              </w:rPr>
            </w:pPr>
            <w:r>
              <w:rPr>
                <w:b/>
                <w:sz w:val="16"/>
              </w:rPr>
              <w:t>669.7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3.7</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Mexico and Central America</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4,820.7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733.0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16"/>
              </w:rPr>
            </w:pPr>
            <w:r>
              <w:rPr>
                <w:b/>
                <w:sz w:val="16"/>
              </w:rPr>
              <w:t>6,127.2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4,901.0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731.1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16"/>
              </w:rPr>
            </w:pPr>
            <w:r>
              <w:rPr>
                <w:b/>
                <w:sz w:val="16"/>
              </w:rPr>
              <w:t>6,182.9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-0.9</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Colombia</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1,034.1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219.9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103.6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6"/>
              </w:rPr>
            </w:pPr>
            <w:r>
              <w:rPr>
                <w:b/>
                <w:sz w:val="16"/>
              </w:rPr>
              <w:t>1,357.6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916.8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194.9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6"/>
              </w:rPr>
            </w:pPr>
            <w:r>
              <w:rPr>
                <w:b/>
                <w:sz w:val="16"/>
              </w:rPr>
              <w:t>1,205.3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12.6</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b w:val="false"/>
                <w:i w:val="false"/>
                <w:caps w:val="false"/>
                <w:smallCaps w:val="false"/>
                <w:sz w:val="16"/>
              </w:rPr>
            </w:pPr>
            <w:r>
              <w:rPr>
                <w:b w:val="false"/>
                <w:i w:val="false"/>
                <w:caps w:val="false"/>
                <w:smallCaps w:val="false"/>
                <w:sz w:val="16"/>
              </w:rPr>
              <w:t xml:space="preserve">Brazil </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3,288.1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369.0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656.8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16"/>
              </w:rPr>
            </w:pPr>
            <w:r>
              <w:rPr>
                <w:b/>
                <w:sz w:val="16"/>
              </w:rPr>
              <w:t>4,313.9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3,176.7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360.8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558.9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16"/>
              </w:rPr>
            </w:pPr>
            <w:r>
              <w:rPr>
                <w:b/>
                <w:sz w:val="16"/>
              </w:rPr>
              <w:t>4,096.5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5.3</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Argentina</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6"/>
              </w:rPr>
            </w:pPr>
            <w:r>
              <w:rPr>
                <w:b/>
                <w:sz w:val="16"/>
              </w:rPr>
              <w:t>451.0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b/>
                <w:sz w:val="16"/>
              </w:rPr>
            </w:pPr>
            <w:r>
              <w:rPr>
                <w:b/>
                <w:sz w:val="16"/>
              </w:rPr>
              <w:t>312.1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sz w:val="16"/>
              </w:rPr>
            </w:pPr>
            <w:r>
              <w:rPr>
                <w:b/>
                <w:sz w:val="16"/>
              </w:rPr>
              <w:t>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6"/>
              </w:rPr>
            </w:pPr>
            <w:r>
              <w:rPr>
                <w:b/>
                <w:sz w:val="16"/>
              </w:rPr>
              <w:t>446.1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16"/>
              </w:rPr>
            </w:pPr>
            <w:r>
              <w:rPr>
                <w:sz w:val="16"/>
              </w:rPr>
              <w:t>1.1</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sz w:val="16"/>
              </w:rPr>
            </w:pPr>
            <w:r>
              <w:rPr>
                <w:sz w:val="16"/>
              </w:rPr>
              <w:t>Uruguay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16"/>
              </w:rPr>
            </w:pPr>
            <w:r>
              <w:rPr>
                <w:b/>
                <w:sz w:val="16"/>
              </w:rPr>
              <w:t>124.2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b/>
                <w:sz w:val="16"/>
              </w:rPr>
            </w:pPr>
            <w:r>
              <w:rPr>
                <w:b/>
                <w:sz w:val="16"/>
              </w:rPr>
              <w:t>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sz w:val="16"/>
              </w:rPr>
            </w:pPr>
            <w:r>
              <w:rPr>
                <w:b/>
                <w:sz w:val="16"/>
              </w:rPr>
              <w:t>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16"/>
              </w:rPr>
            </w:pPr>
            <w:r>
              <w:rPr>
                <w:b/>
                <w:sz w:val="16"/>
              </w:rPr>
              <w:t>122.9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sz w:val="16"/>
              </w:rPr>
            </w:pPr>
            <w:r>
              <w:rPr>
                <w:sz w:val="16"/>
              </w:rPr>
              <w:t>1.1</w:t>
            </w:r>
          </w:p>
        </w:tc>
        <w:tc>
          <w:tcPr>
            <w:tcW w:w="200" w:type="dxa"/>
            <w:tcBorders/>
            <w:shd w:fill="FFFFFF" w:val="clear"/>
            <w:vAlign w:val="center"/>
          </w:tcPr>
          <w:p>
            <w:pPr>
              <w:pStyle w:val="TableContents"/>
              <w:bidi w:val="0"/>
              <w:spacing w:before="0" w:after="283"/>
              <w:jc w:val="left"/>
              <w:rPr>
                <w:sz w:val="16"/>
              </w:rPr>
            </w:pPr>
            <w:r>
              <w:rPr>
                <w:sz w:val="16"/>
              </w:rPr>
              <w:t>%</w:t>
            </w:r>
          </w:p>
        </w:tc>
      </w:tr>
      <w:tr>
        <w:trPr/>
        <w:tc>
          <w:tcPr>
            <w:tcW w:w="2030" w:type="dxa"/>
            <w:tcBorders/>
            <w:shd w:fill="CCEEFF" w:val="clear"/>
            <w:vAlign w:val="center"/>
          </w:tcPr>
          <w:p>
            <w:pPr>
              <w:pStyle w:val="TableContents"/>
              <w:bidi w:val="0"/>
              <w:spacing w:before="0" w:after="283"/>
              <w:jc w:val="left"/>
              <w:rPr>
                <w:sz w:val="16"/>
              </w:rPr>
            </w:pPr>
            <w:r>
              <w:rPr>
                <w:sz w:val="16"/>
              </w:rPr>
              <w:t>South America</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4,729.7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667.4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849.7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6,246.8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4,500.2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636.1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734.4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5,870.8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6.4</w:t>
            </w:r>
          </w:p>
        </w:tc>
        <w:tc>
          <w:tcPr>
            <w:tcW w:w="200" w:type="dxa"/>
            <w:tcBorders/>
            <w:shd w:fill="CCEEFF" w:val="clear"/>
            <w:vAlign w:val="center"/>
          </w:tcPr>
          <w:p>
            <w:pPr>
              <w:pStyle w:val="TableContents"/>
              <w:bidi w:val="0"/>
              <w:spacing w:before="0" w:after="283"/>
              <w:jc w:val="left"/>
              <w:rPr>
                <w:sz w:val="16"/>
              </w:rPr>
            </w:pPr>
            <w:r>
              <w:rPr>
                <w:sz w:val="16"/>
              </w:rPr>
              <w:t>%</w:t>
            </w:r>
          </w:p>
        </w:tc>
      </w:tr>
      <w:tr>
        <w:trPr/>
        <w:tc>
          <w:tcPr>
            <w:tcW w:w="2030" w:type="dxa"/>
            <w:tcBorders/>
            <w:shd w:fill="FFFFFF" w:val="clear"/>
            <w:vAlign w:val="center"/>
          </w:tcPr>
          <w:p>
            <w:pPr>
              <w:pStyle w:val="TableContents"/>
              <w:bidi w:val="0"/>
              <w:spacing w:before="0" w:after="283"/>
              <w:jc w:val="left"/>
              <w:rPr>
                <w:b/>
                <w:sz w:val="16"/>
              </w:rPr>
            </w:pPr>
            <w:r>
              <w:rPr>
                <w:b/>
                <w:sz w:val="16"/>
              </w:rPr>
              <w:t>TOTAL</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9,550.4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1,240.8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1,582.7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12,373.9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9,401.2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1,186.9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1,465.6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12,053.7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2.7</w:t>
            </w:r>
          </w:p>
        </w:tc>
        <w:tc>
          <w:tcPr>
            <w:tcW w:w="200" w:type="dxa"/>
            <w:tcBorders/>
            <w:shd w:fill="FFFF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
          <w:sz w:val="20"/>
        </w:rPr>
      </w:pPr>
      <w:r>
        <w:rPr>
          <w:b/>
          <w:sz w:val="20"/>
        </w:rPr>
        <w:t>Revenues        </w:t>
      </w:r>
    </w:p>
    <w:p>
      <w:pPr>
        <w:pStyle w:val="TextBody"/>
        <w:bidi w:val="0"/>
        <w:spacing w:before="0" w:after="0"/>
        <w:ind w:left="0" w:right="0" w:hanging="0"/>
        <w:jc w:val="left"/>
        <w:rPr>
          <w:caps w:val="false"/>
          <w:smallCaps w:val="false"/>
        </w:rPr>
      </w:pPr>
      <w:r>
        <w:rPr>
          <w:caps w:val="false"/>
          <w:smallCaps w:val="false"/>
        </w:rPr>
        <w:t> </w:t>
      </w:r>
    </w:p>
    <w:tbl>
      <w:tblPr>
        <w:tblW w:w="5708" w:type="dxa"/>
        <w:jc w:val="left"/>
        <w:tblInd w:w="0" w:type="dxa"/>
        <w:tblLayout w:type="fixed"/>
        <w:tblCellMar>
          <w:top w:w="0" w:type="dxa"/>
          <w:left w:w="0" w:type="dxa"/>
          <w:bottom w:w="28" w:type="dxa"/>
          <w:right w:w="0" w:type="dxa"/>
        </w:tblCellMar>
      </w:tblPr>
      <w:tblGrid>
        <w:gridCol w:w="2960"/>
        <w:gridCol w:w="60"/>
        <w:gridCol w:w="70"/>
        <w:gridCol w:w="819"/>
        <w:gridCol w:w="60"/>
        <w:gridCol w:w="60"/>
        <w:gridCol w:w="70"/>
        <w:gridCol w:w="819"/>
        <w:gridCol w:w="60"/>
        <w:gridCol w:w="60"/>
        <w:gridCol w:w="60"/>
        <w:gridCol w:w="380"/>
        <w:gridCol w:w="230"/>
      </w:tblGrid>
      <w:tr>
        <w:trPr/>
        <w:tc>
          <w:tcPr>
            <w:tcW w:w="2960" w:type="dxa"/>
            <w:tcBorders>
              <w:bottom w:val="single" w:sz="8" w:space="0" w:color="000000"/>
            </w:tcBorders>
            <w:vAlign w:val="center"/>
          </w:tcPr>
          <w:p>
            <w:pPr>
              <w:pStyle w:val="TableContents"/>
              <w:bidi w:val="0"/>
              <w:spacing w:before="0" w:after="283"/>
              <w:jc w:val="left"/>
              <w:rPr>
                <w:i/>
                <w:sz w:val="20"/>
              </w:rPr>
            </w:pPr>
            <w:r>
              <w:rPr>
                <w:i/>
                <w:sz w:val="20"/>
              </w:rPr>
              <w:t>Expressed in million Mexican Pesos</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889" w:type="dxa"/>
            <w:gridSpan w:val="2"/>
            <w:tcBorders>
              <w:bottom w:val="single" w:sz="8" w:space="0" w:color="000000"/>
            </w:tcBorders>
            <w:vAlign w:val="center"/>
          </w:tcPr>
          <w:p>
            <w:pPr>
              <w:pStyle w:val="TableContents"/>
              <w:bidi w:val="0"/>
              <w:spacing w:before="0" w:after="283"/>
              <w:jc w:val="center"/>
              <w:rPr>
                <w:b/>
                <w:color w:val="393943"/>
                <w:sz w:val="20"/>
              </w:rPr>
            </w:pPr>
            <w:r>
              <w:rPr>
                <w:b/>
                <w:color w:val="393943"/>
                <w:sz w:val="20"/>
              </w:rPr>
              <w:t>YTD 2026</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889" w:type="dxa"/>
            <w:gridSpan w:val="2"/>
            <w:tcBorders>
              <w:bottom w:val="single" w:sz="8" w:space="0" w:color="000000"/>
            </w:tcBorders>
            <w:vAlign w:val="center"/>
          </w:tcPr>
          <w:p>
            <w:pPr>
              <w:pStyle w:val="TableContents"/>
              <w:bidi w:val="0"/>
              <w:spacing w:before="0" w:after="283"/>
              <w:jc w:val="right"/>
              <w:rPr>
                <w:b/>
                <w:color w:val="393943"/>
                <w:sz w:val="20"/>
              </w:rPr>
            </w:pPr>
            <w:r>
              <w:rPr>
                <w:b/>
                <w:color w:val="393943"/>
                <w:sz w:val="20"/>
              </w:rPr>
              <w:t>YTD 2025</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60" w:type="dxa"/>
            <w:tcBorders/>
            <w:tcMar>
              <w:bottom w:w="0" w:type="dxa"/>
            </w:tcMar>
            <w:vAlign w:val="center"/>
          </w:tcPr>
          <w:p>
            <w:pPr>
              <w:pStyle w:val="TableContents"/>
              <w:bidi w:val="0"/>
              <w:spacing w:before="0" w:after="283"/>
              <w:jc w:val="left"/>
              <w:rPr>
                <w:color w:val="393943"/>
              </w:rPr>
            </w:pPr>
            <w:r>
              <w:rPr>
                <w:color w:val="393943"/>
              </w:rPr>
              <w:t> </w:t>
            </w:r>
          </w:p>
        </w:tc>
        <w:tc>
          <w:tcPr>
            <w:tcW w:w="440" w:type="dxa"/>
            <w:gridSpan w:val="2"/>
            <w:tcBorders>
              <w:bottom w:val="single" w:sz="8" w:space="0" w:color="000000"/>
            </w:tcBorders>
            <w:vAlign w:val="center"/>
          </w:tcPr>
          <w:p>
            <w:pPr>
              <w:pStyle w:val="TableContents"/>
              <w:bidi w:val="0"/>
              <w:spacing w:before="0" w:after="283"/>
              <w:jc w:val="center"/>
              <w:rPr>
                <w:b/>
                <w:color w:val="393943"/>
                <w:sz w:val="20"/>
              </w:rPr>
            </w:pPr>
            <w:r>
              <w:rPr>
                <w:b/>
                <w:color w:val="393943"/>
                <w:sz w:val="20"/>
              </w:rPr>
              <w:t>Δ %</w:t>
            </w:r>
          </w:p>
        </w:tc>
        <w:tc>
          <w:tcPr>
            <w:tcW w:w="230" w:type="dxa"/>
            <w:tcBorders/>
            <w:tcMar>
              <w:bottom w:w="0" w:type="dxa"/>
            </w:tcMar>
            <w:vAlign w:val="center"/>
          </w:tcPr>
          <w:p>
            <w:pPr>
              <w:pStyle w:val="TableContents"/>
              <w:bidi w:val="0"/>
              <w:spacing w:before="0" w:after="283"/>
              <w:jc w:val="left"/>
              <w:rPr>
                <w:color w:val="393943"/>
              </w:rPr>
            </w:pPr>
            <w:r>
              <w:rPr>
                <w:color w:val="393943"/>
              </w:rPr>
              <w:t> </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Mexico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sz w:val="20"/>
              </w:rPr>
            </w:pPr>
            <w:r>
              <w:rPr>
                <w:sz w:val="20"/>
              </w:rPr>
              <w:t>67,840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sz w:val="20"/>
              </w:rPr>
            </w:pPr>
            <w:r>
              <w:rPr>
                <w:sz w:val="20"/>
              </w:rPr>
              <w:t>67,892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-0.1</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sz w:val="20"/>
              </w:rPr>
            </w:pPr>
            <w:r>
              <w:rPr>
                <w:sz w:val="20"/>
              </w:rPr>
              <w:t>Guatemala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sz w:val="20"/>
              </w:rPr>
            </w:pPr>
            <w:r>
              <w:rPr>
                <w:sz w:val="20"/>
              </w:rPr>
              <w:t>8,178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sz w:val="20"/>
              </w:rPr>
            </w:pPr>
            <w:r>
              <w:rPr>
                <w:sz w:val="20"/>
              </w:rPr>
              <w:t>8,631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-5.3</w:t>
            </w:r>
          </w:p>
        </w:tc>
        <w:tc>
          <w:tcPr>
            <w:tcW w:w="23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CAM South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sz w:val="20"/>
              </w:rPr>
            </w:pPr>
            <w:r>
              <w:rPr>
                <w:sz w:val="20"/>
              </w:rPr>
              <w:t>8,549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sz w:val="20"/>
              </w:rPr>
            </w:pPr>
            <w:r>
              <w:rPr>
                <w:sz w:val="20"/>
              </w:rPr>
              <w:t>8,452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1.1</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sz w:val="20"/>
              </w:rPr>
            </w:pPr>
            <w:r>
              <w:rPr>
                <w:sz w:val="20"/>
              </w:rPr>
              <w:t>Mexico and Central America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sz w:val="20"/>
              </w:rPr>
            </w:pPr>
            <w:r>
              <w:rPr>
                <w:sz w:val="20"/>
              </w:rPr>
              <w:t>84,567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sz w:val="20"/>
              </w:rPr>
            </w:pPr>
            <w:r>
              <w:rPr>
                <w:sz w:val="20"/>
              </w:rPr>
              <w:t>84,975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-0.5</w:t>
            </w:r>
          </w:p>
        </w:tc>
        <w:tc>
          <w:tcPr>
            <w:tcW w:w="23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Colombia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sz w:val="20"/>
              </w:rPr>
            </w:pPr>
            <w:r>
              <w:rPr>
                <w:sz w:val="20"/>
              </w:rPr>
              <w:t>12,484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sz w:val="20"/>
              </w:rPr>
            </w:pPr>
            <w:r>
              <w:rPr>
                <w:sz w:val="20"/>
              </w:rPr>
              <w:t>10,748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16.1</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Brazil </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sz w:val="20"/>
              </w:rPr>
            </w:pPr>
            <w:r>
              <w:rPr>
                <w:sz w:val="20"/>
              </w:rPr>
              <w:t>41,900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sz w:val="20"/>
              </w:rPr>
            </w:pPr>
            <w:r>
              <w:rPr>
                <w:sz w:val="20"/>
              </w:rPr>
              <w:t>38,668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8.4</w:t>
            </w:r>
          </w:p>
        </w:tc>
        <w:tc>
          <w:tcPr>
            <w:tcW w:w="23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Argentina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sz w:val="20"/>
              </w:rPr>
            </w:pPr>
            <w:r>
              <w:rPr>
                <w:sz w:val="20"/>
              </w:rPr>
              <w:t>5,602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sz w:val="20"/>
              </w:rPr>
            </w:pPr>
            <w:r>
              <w:rPr>
                <w:sz w:val="20"/>
              </w:rPr>
              <w:t>5,716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-2.0</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sz w:val="20"/>
              </w:rPr>
            </w:pPr>
            <w:r>
              <w:rPr>
                <w:sz w:val="20"/>
              </w:rPr>
              <w:t>Uruguay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sz w:val="20"/>
              </w:rPr>
            </w:pPr>
            <w:r>
              <w:rPr>
                <w:sz w:val="20"/>
              </w:rPr>
              <w:t>2,600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sz w:val="20"/>
              </w:rPr>
            </w:pPr>
            <w:r>
              <w:rPr>
                <w:sz w:val="20"/>
              </w:rPr>
              <w:t>2,595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0.2</w:t>
            </w:r>
          </w:p>
        </w:tc>
        <w:tc>
          <w:tcPr>
            <w:tcW w:w="23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CCEEFF" w:val="clear"/>
            <w:tcMar>
              <w:bottom w:w="0" w:type="dxa"/>
            </w:tcMar>
            <w:vAlign w:val="center"/>
          </w:tcPr>
          <w:p>
            <w:pPr>
              <w:pStyle w:val="TableContents"/>
              <w:bidi w:val="0"/>
              <w:spacing w:before="0" w:after="283"/>
              <w:jc w:val="left"/>
              <w:rPr>
                <w:sz w:val="20"/>
              </w:rPr>
            </w:pPr>
            <w:r>
              <w:rPr>
                <w:sz w:val="20"/>
              </w:rPr>
              <w:t>South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19" w:type="dxa"/>
            <w:tcBorders>
              <w:bottom w:val="single" w:sz="8" w:space="0" w:color="000000"/>
            </w:tcBorders>
            <w:shd w:fill="CCEEFF" w:val="clear"/>
            <w:vAlign w:val="center"/>
          </w:tcPr>
          <w:p>
            <w:pPr>
              <w:pStyle w:val="TableContents"/>
              <w:bidi w:val="0"/>
              <w:spacing w:before="0" w:after="283"/>
              <w:jc w:val="right"/>
              <w:rPr>
                <w:sz w:val="20"/>
              </w:rPr>
            </w:pPr>
            <w:r>
              <w:rPr>
                <w:sz w:val="20"/>
              </w:rPr>
              <w:t>62,586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19" w:type="dxa"/>
            <w:tcBorders>
              <w:bottom w:val="single" w:sz="8" w:space="0" w:color="000000"/>
            </w:tcBorders>
            <w:shd w:fill="CCEEFF" w:val="clear"/>
            <w:vAlign w:val="center"/>
          </w:tcPr>
          <w:p>
            <w:pPr>
              <w:pStyle w:val="TableContents"/>
              <w:bidi w:val="0"/>
              <w:spacing w:before="0" w:after="283"/>
              <w:jc w:val="right"/>
              <w:rPr>
                <w:sz w:val="20"/>
              </w:rPr>
            </w:pPr>
            <w:r>
              <w:rPr>
                <w:sz w:val="20"/>
              </w:rPr>
              <w:t>57,727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vAlign w:val="center"/>
          </w:tcPr>
          <w:p>
            <w:pPr>
              <w:pStyle w:val="TableContents"/>
              <w:bidi w:val="0"/>
              <w:spacing w:before="0" w:after="283"/>
              <w:jc w:val="right"/>
              <w:rPr>
                <w:sz w:val="20"/>
              </w:rPr>
            </w:pPr>
            <w:r>
              <w:rPr>
                <w:sz w:val="20"/>
              </w:rPr>
              <w:t>8.4</w:t>
            </w:r>
          </w:p>
        </w:tc>
        <w:tc>
          <w:tcPr>
            <w:tcW w:w="23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960" w:type="dxa"/>
            <w:tcBorders/>
            <w:shd w:fill="FFFF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819" w:type="dxa"/>
            <w:tcBorders>
              <w:bottom w:val="double" w:sz="6" w:space="0" w:color="000000"/>
            </w:tcBorders>
            <w:shd w:fill="FFFFFF" w:val="clear"/>
            <w:vAlign w:val="center"/>
          </w:tcPr>
          <w:p>
            <w:pPr>
              <w:pStyle w:val="TableContents"/>
              <w:bidi w:val="0"/>
              <w:spacing w:before="0" w:after="283"/>
              <w:jc w:val="right"/>
              <w:rPr>
                <w:b/>
                <w:sz w:val="20"/>
              </w:rPr>
            </w:pPr>
            <w:r>
              <w:rPr>
                <w:b/>
                <w:sz w:val="20"/>
              </w:rPr>
              <w:t>147,153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819" w:type="dxa"/>
            <w:tcBorders>
              <w:bottom w:val="double" w:sz="6" w:space="0" w:color="000000"/>
            </w:tcBorders>
            <w:shd w:fill="FFFFFF" w:val="clear"/>
            <w:vAlign w:val="center"/>
          </w:tcPr>
          <w:p>
            <w:pPr>
              <w:pStyle w:val="TableContents"/>
              <w:bidi w:val="0"/>
              <w:spacing w:before="0" w:after="283"/>
              <w:jc w:val="right"/>
              <w:rPr>
                <w:b/>
                <w:sz w:val="20"/>
              </w:rPr>
            </w:pPr>
            <w:r>
              <w:rPr>
                <w:b/>
                <w:sz w:val="20"/>
              </w:rPr>
              <w:t>142,703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vAlign w:val="center"/>
          </w:tcPr>
          <w:p>
            <w:pPr>
              <w:pStyle w:val="TableContents"/>
              <w:bidi w:val="0"/>
              <w:spacing w:before="0" w:after="283"/>
              <w:jc w:val="right"/>
              <w:rPr>
                <w:b/>
                <w:sz w:val="20"/>
              </w:rPr>
            </w:pPr>
            <w:r>
              <w:rPr>
                <w:b/>
                <w:sz w:val="20"/>
              </w:rPr>
              <w:t>3.1</w:t>
            </w:r>
          </w:p>
        </w:tc>
        <w:tc>
          <w:tcPr>
            <w:tcW w:w="230" w:type="dxa"/>
            <w:tcBorders/>
            <w:shd w:fill="FFFFFF" w:val="clear"/>
            <w:tcMar>
              <w:bottom w:w="0"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23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(3)</w:t>
            </w:r>
          </w:p>
        </w:tc>
        <w:tc>
          <w:tcPr>
            <w:tcW w:w="4460"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Volume and transactions in Brazil do not include beer</w:t>
            </w:r>
          </w:p>
        </w:tc>
      </w:tr>
    </w:tbl>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(4)</w:t>
            </w:r>
          </w:p>
        </w:tc>
        <w:tc>
          <w:tcPr>
            <w:tcW w:w="9949"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Brazil includes beer revenues of Ps. 2,453.1 million for the first six months of 2026 and Ps. 2,368.3 million for the same period of the previous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25717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143750" cy="2571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i/>
                <w:position w:val="7"/>
                <w:sz w:val="16"/>
                <w:sz w:val="20"/>
              </w:rPr>
            </w:pPr>
            <w:r>
              <w:rPr>
                <w:i/>
                <w:position w:val="7"/>
                <w:sz w:val="16"/>
                <w:sz w:val="20"/>
              </w:rPr>
              <w:t>(1)</w:t>
            </w:r>
          </w:p>
        </w:tc>
        <w:tc>
          <w:tcPr>
            <w:tcW w:w="9996" w:type="dxa"/>
            <w:tcBorders/>
            <w:vAlign w:val="center"/>
          </w:tcPr>
          <w:p>
            <w:pPr>
              <w:pStyle w:val="TableContents"/>
              <w:bidi w:val="0"/>
              <w:spacing w:before="0" w:after="283"/>
              <w:jc w:val="both"/>
              <w:rPr>
                <w:i/>
                <w:sz w:val="20"/>
              </w:rPr>
            </w:pPr>
            <w:r>
              <w:rPr>
                <w:i/>
                <w:sz w:val="20"/>
              </w:rPr>
              <w:t xml:space="preserve">Volume is expressed in unit cases. Unit case refers to 192 ounces of finished beverage product (24 eight-ounce servings) and, when applied to soda fountains, refers to the volume of syrup, powders, and concentrate that is required to produce 192 ounces of finished beverage product.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i/>
                <w:position w:val="7"/>
                <w:sz w:val="16"/>
                <w:sz w:val="20"/>
              </w:rPr>
            </w:pPr>
            <w:r>
              <w:rPr>
                <w:i/>
                <w:position w:val="7"/>
                <w:sz w:val="16"/>
                <w:sz w:val="20"/>
              </w:rPr>
              <w:t>(2)</w:t>
            </w:r>
          </w:p>
        </w:tc>
        <w:tc>
          <w:tcPr>
            <w:tcW w:w="9995" w:type="dxa"/>
            <w:tcBorders/>
            <w:vAlign w:val="center"/>
          </w:tcPr>
          <w:p>
            <w:pPr>
              <w:pStyle w:val="TableContents"/>
              <w:bidi w:val="0"/>
              <w:spacing w:before="0" w:after="283"/>
              <w:jc w:val="left"/>
              <w:rPr>
                <w:i/>
                <w:sz w:val="20"/>
              </w:rPr>
            </w:pPr>
            <w:r>
              <w:rPr>
                <w:i/>
                <w:sz w:val="20"/>
              </w:rPr>
              <w:t>Transactions refer to the number of single units (e.g., a can or a bottle) sold, regardless of their size or volume or whether they are sold individually or in multipacks, except for soda fountains, which represent multiple transactions based on a standard 12 oz. serving.</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515"/>
        <w:gridCol w:w="1160"/>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160" w:type="dxa"/>
            <w:tcBorders/>
            <w:vAlign w:val="center"/>
          </w:tcPr>
          <w:p>
            <w:pPr>
              <w:pStyle w:val="TableContents"/>
              <w:bidi w:val="0"/>
              <w:spacing w:before="0" w:after="283"/>
              <w:jc w:val="right"/>
              <w:rPr>
                <w:b/>
                <w:sz w:val="20"/>
              </w:rPr>
            </w:pPr>
            <w:r>
              <w:rPr>
                <w:b/>
                <w:sz w:val="20"/>
              </w:rPr>
              <w:t>Page 16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sz w:val="20"/>
        </w:rPr>
      </w:pPr>
      <w:r>
        <w:rPr>
          <w:sz w:val="20"/>
        </w:rPr>
        <w:t>COCA-COLA FEMSA</w:t>
      </w:r>
    </w:p>
    <w:p>
      <w:pPr>
        <w:pStyle w:val="TextBody"/>
        <w:bidi w:val="0"/>
        <w:jc w:val="center"/>
        <w:rPr>
          <w:sz w:val="20"/>
        </w:rPr>
      </w:pPr>
      <w:r>
        <w:rPr>
          <w:sz w:val="20"/>
        </w:rPr>
        <w:t>MACROECONOMIC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 xml:space="preserve">Inflation </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3305" w:type="dxa"/>
        <w:jc w:val="left"/>
        <w:tblInd w:w="0" w:type="dxa"/>
        <w:tblLayout w:type="fixed"/>
        <w:tblCellMar>
          <w:top w:w="0" w:type="dxa"/>
          <w:left w:w="0" w:type="dxa"/>
          <w:bottom w:w="0" w:type="dxa"/>
          <w:right w:w="0" w:type="dxa"/>
        </w:tblCellMar>
      </w:tblPr>
      <w:tblGrid>
        <w:gridCol w:w="920"/>
        <w:gridCol w:w="60"/>
        <w:gridCol w:w="60"/>
        <w:gridCol w:w="485"/>
        <w:gridCol w:w="185"/>
        <w:gridCol w:w="60"/>
        <w:gridCol w:w="60"/>
        <w:gridCol w:w="485"/>
        <w:gridCol w:w="185"/>
        <w:gridCol w:w="60"/>
        <w:gridCol w:w="60"/>
        <w:gridCol w:w="485"/>
        <w:gridCol w:w="200"/>
      </w:tblGrid>
      <w:tr>
        <w:trPr/>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LTM</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2Q26</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YTD</w:t>
            </w:r>
          </w:p>
        </w:tc>
        <w:tc>
          <w:tcPr>
            <w:tcW w:w="200" w:type="dxa"/>
            <w:tcBorders/>
            <w:vAlign w:val="center"/>
          </w:tcPr>
          <w:p>
            <w:pPr>
              <w:pStyle w:val="TableContents"/>
              <w:bidi w:val="0"/>
              <w:spacing w:before="0" w:after="283"/>
              <w:jc w:val="center"/>
              <w:rPr/>
            </w:pPr>
            <w:r>
              <w:rPr/>
              <w:t> </w:t>
            </w:r>
          </w:p>
        </w:tc>
      </w:tr>
      <w:tr>
        <w:trPr/>
        <w:tc>
          <w:tcPr>
            <w:tcW w:w="920" w:type="dxa"/>
            <w:tcBorders/>
            <w:shd w:fill="CCEEFF" w:val="clear"/>
            <w:vAlign w:val="center"/>
          </w:tcPr>
          <w:p>
            <w:pPr>
              <w:pStyle w:val="TableContents"/>
              <w:bidi w:val="0"/>
              <w:spacing w:before="0" w:after="283"/>
              <w:jc w:val="left"/>
              <w:rPr>
                <w:sz w:val="20"/>
              </w:rPr>
            </w:pPr>
            <w:r>
              <w:rPr>
                <w:sz w:val="20"/>
              </w:rPr>
              <w:t>Mexico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3.55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0.36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1.53</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Colombia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5.76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1.53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4.49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Brazil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4.68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2.05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3.38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Argentina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32.92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7.74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16.81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Costa Rica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-0.95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0.73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-0.41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Panama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2.30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2.62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2.95</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Guatemala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3.27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2.21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2.61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Nicaragua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3.64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0.70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2.20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Uruguay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3.77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1.61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3.26</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tbl>
      <w:tblPr>
        <w:tblW w:w="9603" w:type="dxa"/>
        <w:jc w:val="left"/>
        <w:tblInd w:w="0" w:type="dxa"/>
        <w:tblLayout w:type="fixed"/>
        <w:tblCellMar>
          <w:top w:w="0" w:type="dxa"/>
          <w:left w:w="0" w:type="dxa"/>
          <w:bottom w:w="0" w:type="dxa"/>
          <w:right w:w="0" w:type="dxa"/>
        </w:tblCellMar>
      </w:tblPr>
      <w:tblGrid>
        <w:gridCol w:w="38"/>
        <w:gridCol w:w="23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(1)</w:t>
            </w:r>
          </w:p>
        </w:tc>
        <w:tc>
          <w:tcPr>
            <w:tcW w:w="9335"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Source: inflation estimated by the company based on historic publications from the Central Bank of each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 xml:space="preserve">Average Exchange Rates for each period </w:t>
      </w:r>
      <w:r>
        <w:rPr>
          <w:rFonts w:ascii="Times New Roman;Times;Serif" w:hAnsi="Times New Roman;Times;Serif"/>
          <w:b/>
          <w:i w:val="false"/>
          <w:caps w:val="false"/>
          <w:smallCaps w:val="false"/>
          <w:position w:val="7"/>
          <w:sz w:val="16"/>
          <w:sz w:val="20"/>
        </w:rPr>
        <w:t>(2)</w:t>
      </w:r>
    </w:p>
    <w:p>
      <w:pPr>
        <w:pStyle w:val="TextBody"/>
        <w:bidi w:val="0"/>
        <w:spacing w:before="0" w:after="283"/>
        <w:jc w:val="left"/>
        <w:rPr/>
      </w:pPr>
      <w:r>
        <w:rPr/>
        <w:t> </w:t>
      </w:r>
    </w:p>
    <w:tbl>
      <w:tblPr>
        <w:tblW w:w="6207" w:type="dxa"/>
        <w:jc w:val="left"/>
        <w:tblInd w:w="0" w:type="dxa"/>
        <w:tblLayout w:type="fixed"/>
        <w:tblCellMar>
          <w:top w:w="0" w:type="dxa"/>
          <w:left w:w="0" w:type="dxa"/>
          <w:bottom w:w="0" w:type="dxa"/>
          <w:right w:w="0" w:type="dxa"/>
        </w:tblCellMar>
      </w:tblPr>
      <w:tblGrid>
        <w:gridCol w:w="920"/>
        <w:gridCol w:w="60"/>
        <w:gridCol w:w="60"/>
        <w:gridCol w:w="740"/>
        <w:gridCol w:w="60"/>
        <w:gridCol w:w="60"/>
        <w:gridCol w:w="60"/>
        <w:gridCol w:w="740"/>
        <w:gridCol w:w="60"/>
        <w:gridCol w:w="60"/>
        <w:gridCol w:w="60"/>
        <w:gridCol w:w="440"/>
        <w:gridCol w:w="185"/>
        <w:gridCol w:w="60"/>
        <w:gridCol w:w="62"/>
        <w:gridCol w:w="774"/>
        <w:gridCol w:w="62"/>
        <w:gridCol w:w="62"/>
        <w:gridCol w:w="62"/>
        <w:gridCol w:w="774"/>
        <w:gridCol w:w="62"/>
        <w:gridCol w:w="62"/>
        <w:gridCol w:w="62"/>
        <w:gridCol w:w="460"/>
        <w:gridCol w:w="200"/>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Quarterly Exchange Rate </w:t>
              <w:br/>
              <w:t>(Local Currency per USD)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2"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Year to Date Exchange Rate </w:t>
              <w:br/>
              <w:t>(Local Currency per USD)</w:t>
            </w:r>
          </w:p>
        </w:tc>
        <w:tc>
          <w:tcPr>
            <w:tcW w:w="20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2Q26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2Q25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Δ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YTD 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YTD 25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Δ %</w:t>
            </w:r>
          </w:p>
        </w:tc>
        <w:tc>
          <w:tcPr>
            <w:tcW w:w="20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sz w:val="20"/>
              </w:rPr>
            </w:pPr>
            <w:r>
              <w:rPr>
                <w:sz w:val="20"/>
              </w:rPr>
              <w:t>Mexico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17.41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19.55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-10.9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17.48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19.23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20"/>
              </w:rPr>
            </w:pPr>
            <w:r>
              <w:rPr>
                <w:sz w:val="20"/>
              </w:rPr>
              <w:t>-9.1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Colombia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3,612.15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4,197.35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-13.9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sz w:val="20"/>
              </w:rPr>
            </w:pPr>
            <w:r>
              <w:rPr>
                <w:sz w:val="20"/>
              </w:rPr>
              <w:t>3,649.47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sz w:val="20"/>
              </w:rPr>
            </w:pPr>
            <w:r>
              <w:rPr>
                <w:sz w:val="20"/>
              </w:rPr>
              <w:t>4,053.13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20"/>
              </w:rPr>
            </w:pPr>
            <w:r>
              <w:rPr>
                <w:sz w:val="20"/>
              </w:rPr>
              <w:t>-10.0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Brazil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-10.9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5.15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5.59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20"/>
              </w:rPr>
            </w:pPr>
            <w:r>
              <w:rPr>
                <w:sz w:val="20"/>
              </w:rPr>
              <w:t>-7.8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Argentina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1,410.26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1,151.04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22.5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sz w:val="20"/>
              </w:rPr>
            </w:pPr>
            <w:r>
              <w:rPr>
                <w:sz w:val="20"/>
              </w:rPr>
              <w:t>1,414.01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sz w:val="20"/>
              </w:rPr>
            </w:pPr>
            <w:r>
              <w:rPr>
                <w:sz w:val="20"/>
              </w:rPr>
              <w:t>1,244.54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20"/>
              </w:rPr>
            </w:pPr>
            <w:r>
              <w:rPr>
                <w:sz w:val="20"/>
              </w:rPr>
              <w:t>13.6</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Costa Rica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459.28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508.77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-9.7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472.52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506.50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20"/>
              </w:rPr>
            </w:pPr>
            <w:r>
              <w:rPr>
                <w:sz w:val="20"/>
              </w:rPr>
              <w:t>-6.7</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Panama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sz w:val="20"/>
              </w:rPr>
            </w:pPr>
            <w:r>
              <w:rPr>
                <w:sz w:val="20"/>
              </w:rPr>
              <w:t>1.00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sz w:val="20"/>
              </w:rPr>
            </w:pPr>
            <w:r>
              <w:rPr>
                <w:sz w:val="20"/>
              </w:rPr>
              <w:t>1.00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20"/>
              </w:rPr>
            </w:pPr>
            <w:r>
              <w:rPr>
                <w:sz w:val="20"/>
              </w:rPr>
              <w:t>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Guatemala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-0.8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7.64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7.68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20"/>
              </w:rPr>
            </w:pPr>
            <w:r>
              <w:rPr>
                <w:sz w:val="20"/>
              </w:rPr>
              <w:t>-0.5</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Nicaragua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sz w:val="20"/>
              </w:rPr>
            </w:pPr>
            <w:r>
              <w:rPr>
                <w:sz w:val="20"/>
              </w:rPr>
              <w:t>36.62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sz w:val="20"/>
              </w:rPr>
            </w:pPr>
            <w:r>
              <w:rPr>
                <w:sz w:val="20"/>
              </w:rPr>
              <w:t>36.62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sz w:val="20"/>
              </w:rPr>
            </w:pPr>
            <w:r>
              <w:rPr>
                <w:sz w:val="20"/>
              </w:rPr>
              <w:t>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Uruguay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40.09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41.61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-3.7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39.59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sz w:val="20"/>
              </w:rPr>
            </w:pPr>
            <w:r>
              <w:rPr>
                <w:sz w:val="20"/>
              </w:rPr>
              <w:t>41.08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sz w:val="20"/>
              </w:rPr>
            </w:pPr>
            <w:r>
              <w:rPr>
                <w:sz w:val="20"/>
              </w:rPr>
              <w:t>-3.6</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jc w:val="left"/>
        <w:rPr>
          <w:b/>
          <w:sz w:val="20"/>
        </w:rPr>
      </w:pPr>
      <w:r>
        <w:rPr>
          <w:b/>
          <w:sz w:val="20"/>
        </w:rPr>
        <w:t>End-of-period Exchange Rates</w:t>
      </w:r>
    </w:p>
    <w:p>
      <w:pPr>
        <w:pStyle w:val="TextBody"/>
        <w:bidi w:val="0"/>
        <w:spacing w:before="0" w:after="283"/>
        <w:jc w:val="left"/>
        <w:rPr/>
      </w:pPr>
      <w:r>
        <w:rPr/>
        <w:t> </w:t>
      </w:r>
    </w:p>
    <w:tbl>
      <w:tblPr>
        <w:tblW w:w="6105" w:type="dxa"/>
        <w:jc w:val="left"/>
        <w:tblInd w:w="0" w:type="dxa"/>
        <w:tblLayout w:type="fixed"/>
        <w:tblCellMar>
          <w:top w:w="0" w:type="dxa"/>
          <w:left w:w="0" w:type="dxa"/>
          <w:bottom w:w="0" w:type="dxa"/>
          <w:right w:w="0" w:type="dxa"/>
        </w:tblCellMar>
      </w:tblPr>
      <w:tblGrid>
        <w:gridCol w:w="920"/>
        <w:gridCol w:w="60"/>
        <w:gridCol w:w="60"/>
        <w:gridCol w:w="740"/>
        <w:gridCol w:w="60"/>
        <w:gridCol w:w="60"/>
        <w:gridCol w:w="60"/>
        <w:gridCol w:w="740"/>
        <w:gridCol w:w="60"/>
        <w:gridCol w:w="60"/>
        <w:gridCol w:w="60"/>
        <w:gridCol w:w="440"/>
        <w:gridCol w:w="185"/>
        <w:gridCol w:w="60"/>
        <w:gridCol w:w="60"/>
        <w:gridCol w:w="740"/>
        <w:gridCol w:w="60"/>
        <w:gridCol w:w="60"/>
        <w:gridCol w:w="60"/>
        <w:gridCol w:w="740"/>
        <w:gridCol w:w="60"/>
        <w:gridCol w:w="60"/>
        <w:gridCol w:w="60"/>
        <w:gridCol w:w="440"/>
        <w:gridCol w:w="200"/>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10"/>
            <w:tcBorders/>
            <w:vAlign w:val="center"/>
          </w:tcPr>
          <w:p>
            <w:pPr>
              <w:pStyle w:val="TableContents"/>
              <w:bidi w:val="0"/>
              <w:spacing w:before="0" w:after="283"/>
              <w:jc w:val="center"/>
              <w:rPr>
                <w:b/>
                <w:sz w:val="20"/>
              </w:rPr>
            </w:pPr>
            <w:r>
              <w:rPr>
                <w:b/>
                <w:sz w:val="20"/>
              </w:rPr>
              <w:t>Closing Exchange Rate</w:t>
              <w:br/>
              <w:t>(Local Currency per USD)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10"/>
            <w:tcBorders/>
            <w:vAlign w:val="center"/>
          </w:tcPr>
          <w:p>
            <w:pPr>
              <w:pStyle w:val="TableContents"/>
              <w:bidi w:val="0"/>
              <w:spacing w:before="0" w:after="283"/>
              <w:jc w:val="center"/>
              <w:rPr>
                <w:b/>
                <w:sz w:val="20"/>
              </w:rPr>
            </w:pPr>
            <w:r>
              <w:rPr>
                <w:b/>
                <w:sz w:val="20"/>
              </w:rPr>
              <w:t>Closing Exchange Rate</w:t>
              <w:br/>
              <w:t>(Local Currency per USD)</w:t>
            </w:r>
          </w:p>
        </w:tc>
        <w:tc>
          <w:tcPr>
            <w:tcW w:w="20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Δ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Δ %</w:t>
            </w:r>
          </w:p>
        </w:tc>
        <w:tc>
          <w:tcPr>
            <w:tcW w:w="20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sz w:val="20"/>
              </w:rPr>
            </w:pPr>
            <w:r>
              <w:rPr>
                <w:sz w:val="20"/>
              </w:rPr>
              <w:t>Mexico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17.47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-7.5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18.07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-11.1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Colombia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3,443.59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4,069.67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-15.4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3,669.96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4,192.57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-12.5</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Brazil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-5.1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-9.1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Argentina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1,482.00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1,205.00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23.0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1,382.00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1,074.00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28.7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Costa Rica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457.17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508.28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-10.1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467.85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504.21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-7.2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Panama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Guatemala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-0.9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-0.8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920" w:type="dxa"/>
            <w:tcBorders/>
            <w:shd w:fill="FFFFFF" w:val="clear"/>
            <w:vAlign w:val="center"/>
          </w:tcPr>
          <w:p>
            <w:pPr>
              <w:pStyle w:val="TableContents"/>
              <w:bidi w:val="0"/>
              <w:spacing w:before="0" w:after="283"/>
              <w:jc w:val="left"/>
              <w:rPr>
                <w:sz w:val="20"/>
              </w:rPr>
            </w:pPr>
            <w:r>
              <w:rPr>
                <w:sz w:val="20"/>
              </w:rPr>
              <w:t>Nicaragua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920" w:type="dxa"/>
            <w:tcBorders/>
            <w:shd w:fill="CCEEFF" w:val="clear"/>
            <w:vAlign w:val="center"/>
          </w:tcPr>
          <w:p>
            <w:pPr>
              <w:pStyle w:val="TableContents"/>
              <w:bidi w:val="0"/>
              <w:spacing w:before="0" w:after="283"/>
              <w:jc w:val="left"/>
              <w:rPr>
                <w:sz w:val="20"/>
              </w:rPr>
            </w:pPr>
            <w:r>
              <w:rPr>
                <w:sz w:val="20"/>
              </w:rPr>
              <w:t>Uruguay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40.12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39.55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1.4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40.48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42.13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-3.9</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tbl>
      <w:tblPr>
        <w:tblW w:w="8178" w:type="dxa"/>
        <w:jc w:val="left"/>
        <w:tblInd w:w="0" w:type="dxa"/>
        <w:tblLayout w:type="fixed"/>
        <w:tblCellMar>
          <w:top w:w="0" w:type="dxa"/>
          <w:left w:w="0" w:type="dxa"/>
          <w:bottom w:w="0" w:type="dxa"/>
          <w:right w:w="0" w:type="dxa"/>
        </w:tblCellMar>
      </w:tblPr>
      <w:tblGrid>
        <w:gridCol w:w="38"/>
        <w:gridCol w:w="23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position w:val="7"/>
                <w:sz w:val="16"/>
                <w:sz w:val="20"/>
              </w:rPr>
            </w:pPr>
            <w:r>
              <w:rPr>
                <w:rFonts w:ascii="Times New Roman;Times;Serif" w:hAnsi="Times New Roman;Times;Serif"/>
                <w:b w:val="false"/>
                <w:i/>
                <w:position w:val="7"/>
                <w:sz w:val="16"/>
                <w:sz w:val="20"/>
              </w:rPr>
              <w:t>(2)</w:t>
            </w:r>
          </w:p>
        </w:tc>
        <w:tc>
          <w:tcPr>
            <w:tcW w:w="7910" w:type="dxa"/>
            <w:tcBorders/>
            <w:vAlign w:val="center"/>
          </w:tcPr>
          <w:p>
            <w:pPr>
              <w:pStyle w:val="TableContents"/>
              <w:bidi w:val="0"/>
              <w:spacing w:before="0" w:after="283"/>
              <w:jc w:val="both"/>
              <w:rPr>
                <w:rFonts w:ascii="Times New Roman;Times;Serif" w:hAnsi="Times New Roman;Times;Serif"/>
                <w:b w:val="false"/>
                <w:i/>
                <w:sz w:val="20"/>
              </w:rPr>
            </w:pPr>
            <w:r>
              <w:rPr>
                <w:rFonts w:ascii="Times New Roman;Times;Serif" w:hAnsi="Times New Roman;Times;Serif"/>
                <w:b w:val="false"/>
                <w:i/>
                <w:sz w:val="20"/>
              </w:rPr>
              <w:t>Average exchange rate for each period computed with the average exchange rate of each month.</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515"/>
        <w:gridCol w:w="1160"/>
        <w:gridCol w:w="450"/>
      </w:tblGrid>
      <w:tr>
        <w:trPr/>
        <w:tc>
          <w:tcPr>
            <w:tcW w:w="3515" w:type="dxa"/>
            <w:tcBorders/>
            <w:vAlign w:val="center"/>
          </w:tcPr>
          <w:p>
            <w:pPr>
              <w:pStyle w:val="TableContents"/>
              <w:bidi w:val="0"/>
              <w:jc w:val="left"/>
              <w:rPr>
                <w:b/>
                <w:sz w:val="20"/>
              </w:rPr>
            </w:pPr>
            <w:r>
              <w:rPr>
                <w:b/>
                <w:sz w:val="20"/>
              </w:rPr>
              <w:t>Coca-Cola FEMSA Reports 2Q26 Results</w:t>
            </w:r>
          </w:p>
          <w:p>
            <w:pPr>
              <w:pStyle w:val="TableContents"/>
              <w:bidi w:val="0"/>
              <w:jc w:val="left"/>
              <w:rPr/>
            </w:pPr>
            <w:r>
              <w:rPr/>
              <w:t> </w:t>
            </w:r>
          </w:p>
          <w:p>
            <w:pPr>
              <w:pStyle w:val="TableContents"/>
              <w:bidi w:val="0"/>
              <w:spacing w:before="0" w:after="283"/>
              <w:jc w:val="left"/>
              <w:rPr>
                <w:b w:val="false"/>
                <w:i w:val="false"/>
                <w:caps w:val="false"/>
                <w:smallCaps w:val="false"/>
                <w:sz w:val="20"/>
              </w:rPr>
            </w:pPr>
            <w:r>
              <w:rPr>
                <w:b w:val="false"/>
                <w:i w:val="false"/>
                <w:caps w:val="false"/>
                <w:smallCaps w:val="false"/>
                <w:sz w:val="20"/>
              </w:rPr>
              <w:t>July 27</w:t>
            </w:r>
            <w:r>
              <w:rPr>
                <w:b w:val="false"/>
                <w:i w:val="false"/>
                <w:caps w:val="false"/>
                <w:smallCaps w:val="false"/>
                <w:position w:val="7"/>
                <w:sz w:val="16"/>
                <w:sz w:val="20"/>
              </w:rPr>
              <w:t>th</w:t>
            </w:r>
            <w:r>
              <w:rPr>
                <w:b w:val="false"/>
                <w:i w:val="false"/>
                <w:caps w:val="false"/>
                <w:smallCaps w:val="false"/>
                <w:sz w:val="20"/>
              </w:rPr>
              <w:t>, 2026</w:t>
            </w:r>
          </w:p>
        </w:tc>
        <w:tc>
          <w:tcPr>
            <w:tcW w:w="1160" w:type="dxa"/>
            <w:tcBorders/>
            <w:vAlign w:val="center"/>
          </w:tcPr>
          <w:p>
            <w:pPr>
              <w:pStyle w:val="TableContents"/>
              <w:bidi w:val="0"/>
              <w:spacing w:before="0" w:after="283"/>
              <w:jc w:val="right"/>
              <w:rPr>
                <w:b/>
                <w:sz w:val="20"/>
              </w:rPr>
            </w:pPr>
            <w:r>
              <w:rPr>
                <w:b/>
                <w:sz w:val="20"/>
              </w:rPr>
              <w:t>Page 17 of 17</w:t>
            </w:r>
          </w:p>
        </w:tc>
        <w:tc>
          <w:tcPr>
            <w:tcW w:w="450" w:type="dxa"/>
            <w:tcBorders/>
            <w:vAlign w:val="center"/>
          </w:tcPr>
          <w:p>
            <w:pPr>
              <w:pStyle w:val="TableContents"/>
              <w:bidi w:val="0"/>
              <w:spacing w:before="0" w:after="283"/>
              <w:jc w:val="right"/>
              <w:rPr/>
            </w:pPr>
            <w:r>
              <w:rPr/>
              <w:drawing>
                <wp:inline distT="0" distB="0" distL="0" distR="0">
                  <wp:extent cx="276225" cy="23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76225" cy="2381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4.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3.jpeg"/><Relationship Id="rId18" Type="http://schemas.openxmlformats.org/officeDocument/2006/relationships/image" Target="media/image15.jpeg"/><Relationship Id="rId19" Type="http://schemas.openxmlformats.org/officeDocument/2006/relationships/image" Target="media/image13.jpeg"/><Relationship Id="rId20" Type="http://schemas.openxmlformats.org/officeDocument/2006/relationships/image" Target="media/image13.jpeg"/><Relationship Id="rId21" Type="http://schemas.openxmlformats.org/officeDocument/2006/relationships/image" Target="media/image16.jpeg"/><Relationship Id="rId22" Type="http://schemas.openxmlformats.org/officeDocument/2006/relationships/image" Target="media/image13.jpeg"/><Relationship Id="rId23" Type="http://schemas.openxmlformats.org/officeDocument/2006/relationships/image" Target="media/image13.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3.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13.jpeg"/><Relationship Id="rId30" Type="http://schemas.openxmlformats.org/officeDocument/2006/relationships/image" Target="media/image13.jpeg"/><Relationship Id="rId31" Type="http://schemas.openxmlformats.org/officeDocument/2006/relationships/image" Target="media/image21.jpeg"/><Relationship Id="rId32" Type="http://schemas.openxmlformats.org/officeDocument/2006/relationships/image" Target="media/image13.jpeg"/><Relationship Id="rId33" Type="http://schemas.openxmlformats.org/officeDocument/2006/relationships/image" Target="media/image13.jpeg"/><Relationship Id="rId34" Type="http://schemas.openxmlformats.org/officeDocument/2006/relationships/image" Target="media/image13.jpeg"/><Relationship Id="rId35" Type="http://schemas.openxmlformats.org/officeDocument/2006/relationships/image" Target="media/image22.jpeg"/><Relationship Id="rId36" Type="http://schemas.openxmlformats.org/officeDocument/2006/relationships/image" Target="media/image13.jpeg"/><Relationship Id="rId37" Type="http://schemas.openxmlformats.org/officeDocument/2006/relationships/image" Target="media/image23.jpeg"/><Relationship Id="rId38" Type="http://schemas.openxmlformats.org/officeDocument/2006/relationships/image" Target="media/image13.jpeg"/><Relationship Id="rId39" Type="http://schemas.openxmlformats.org/officeDocument/2006/relationships/image" Target="media/image24.jpeg"/><Relationship Id="rId40" Type="http://schemas.openxmlformats.org/officeDocument/2006/relationships/image" Target="media/image13.jpeg"/><Relationship Id="rId41" Type="http://schemas.openxmlformats.org/officeDocument/2006/relationships/image" Target="media/image13.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16519</Words>
  <Characters>83144</Characters>
  <CharactersWithSpaces>106028</CharactersWithSpaces>
  <Paragraphs>16173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