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RULE 13a-16 OR 15d-16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October 2018</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FOMENTO ECONÓMICO MEXICANO, S.A.B. DE C.V.</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Mexican Economic Development,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Mexican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General Anaya No. 601 Pte.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Colonia Bella Vista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Monterrey, Nuevo León 64410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México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cover of Form 20-F or Form 40-F:</w:t>
      </w:r>
    </w:p>
    <w:p>
      <w:pPr>
        <w:spacing w:after="0" w:line="178" w:lineRule="exact"/>
        <w:rPr>
          <w:sz w:val="24"/>
          <w:szCs w:val="24"/>
          <w:color w:val="auto"/>
        </w:rPr>
      </w:pPr>
    </w:p>
    <w:p>
      <w:pPr>
        <w:jc w:val="center"/>
        <w:spacing w:after="0" w:line="207" w:lineRule="exact"/>
        <w:tabs>
          <w:tab w:leader="none" w:pos="200" w:val="left"/>
          <w:tab w:leader="none" w:pos="260" w:val="left"/>
          <w:tab w:leader="none" w:pos="1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if the registrant is submitting the Form 6-K in paper as</w:t>
      </w:r>
    </w:p>
    <w:p>
      <w:pPr>
        <w:spacing w:after="0" w:line="35"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permitted by Regulation S-T Rule 101(b)(1): 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if the registrant is submitting the Form 6-K in paper as</w:t>
      </w:r>
    </w:p>
    <w:p>
      <w:pPr>
        <w:spacing w:after="0" w:line="35"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permitted by Regulation S-T Rule 101(b)(7): _______</w:t>
      </w:r>
    </w:p>
    <w:p>
      <w:pPr>
        <w:spacing w:after="0" w:line="211" w:lineRule="exact"/>
        <w:rPr>
          <w:sz w:val="24"/>
          <w:szCs w:val="24"/>
          <w:color w:val="auto"/>
        </w:rPr>
      </w:pPr>
    </w:p>
    <w:p>
      <w:pPr>
        <w:jc w:val="center"/>
        <w:ind w:left="1460" w:right="1459"/>
        <w:spacing w:after="0" w:line="286" w:lineRule="auto"/>
        <w:rPr>
          <w:sz w:val="20"/>
          <w:szCs w:val="20"/>
          <w:color w:val="auto"/>
        </w:rPr>
      </w:pPr>
      <w:r>
        <w:rPr>
          <w:rFonts w:ascii="Arial" w:cs="Arial" w:eastAsia="Arial" w:hAnsi="Arial"/>
          <w:sz w:val="17"/>
          <w:szCs w:val="17"/>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33" w:lineRule="exact"/>
        <w:rPr>
          <w:sz w:val="24"/>
          <w:szCs w:val="24"/>
          <w:color w:val="auto"/>
        </w:rPr>
      </w:pPr>
    </w:p>
    <w:p>
      <w:pPr>
        <w:jc w:val="center"/>
        <w:spacing w:after="0" w:line="207" w:lineRule="exact"/>
        <w:tabs>
          <w:tab w:leader="none" w:pos="260" w:val="left"/>
          <w:tab w:leader="none" w:pos="340" w:val="left"/>
          <w:tab w:leader="none" w:pos="2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If “Yes” is marked, indicate below the file number assigned to the registrant in</w:t>
      </w:r>
    </w:p>
    <w:p>
      <w:pPr>
        <w:spacing w:after="0" w:line="35"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connection with Rule 12g3-2(b): 82-_____________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614680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586105</wp:posOffset>
            </wp:positionV>
            <wp:extent cx="5746115" cy="139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74611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990033"/>
        </w:rPr>
        <w:t>FEMSA Announces Third Quarter 2018 Results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Monterrey, Mexico, October 26, 2018 — </w:t>
      </w:r>
      <w:r>
        <w:rPr>
          <w:rFonts w:ascii="Arial" w:cs="Arial" w:eastAsia="Arial" w:hAnsi="Arial"/>
          <w:sz w:val="18"/>
          <w:szCs w:val="18"/>
          <w:color w:val="auto"/>
        </w:rPr>
        <w:t>Fomento Económico Mexicano, S.A.B. de C.V. (“FEMSA”) (NYSE: FMX; BMV: FEMSAUBD)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today its operational and financial results for the third quarter of 2018.</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the third quarter of 2018, we have made a change to the disclosure related to our businesses formerly named as FEMSA Comercio’s “Retail Division”: We have removed those operations that are not directly related to our proximity store business, namely our restaurant and discount retail units, from this segment. The segment is now named the “Proximity Division”, and will only include proximity and proximity-related operations, most of which operate today under the OXXO brand across markets. This change will provide a more accurate picture of the performance of this key, high-growth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FINANCIAL HIGHLIGHTS:</w:t>
      </w:r>
    </w:p>
    <w:p>
      <w:pPr>
        <w:spacing w:after="0" w:line="12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36"/>
          <w:szCs w:val="36"/>
          <w:color w:val="990033"/>
          <w:vertAlign w:val="superscript"/>
        </w:rPr>
      </w:pPr>
      <w:r>
        <w:rPr>
          <w:rFonts w:ascii="Arial" w:cs="Arial" w:eastAsia="Arial" w:hAnsi="Arial"/>
          <w:sz w:val="18"/>
          <w:szCs w:val="18"/>
          <w:color w:val="auto"/>
        </w:rPr>
        <w:t>7.9% revenue growth (8.9% on an organic</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basis) at FEMSA Consolidated</w:t>
      </w:r>
    </w:p>
    <w:p>
      <w:pPr>
        <w:ind w:left="660" w:hanging="328"/>
        <w:spacing w:after="0" w:line="180" w:lineRule="auto"/>
        <w:tabs>
          <w:tab w:leader="none" w:pos="660" w:val="left"/>
        </w:tabs>
        <w:numPr>
          <w:ilvl w:val="0"/>
          <w:numId w:val="1"/>
        </w:numPr>
        <w:rPr>
          <w:rFonts w:ascii="Arial" w:cs="Arial" w:eastAsia="Arial" w:hAnsi="Arial"/>
          <w:sz w:val="25"/>
          <w:szCs w:val="25"/>
          <w:color w:val="990033"/>
          <w:vertAlign w:val="superscript"/>
        </w:rPr>
      </w:pPr>
      <w:r>
        <w:rPr>
          <w:rFonts w:ascii="Arial" w:cs="Arial" w:eastAsia="Arial" w:hAnsi="Arial"/>
          <w:sz w:val="14"/>
          <w:szCs w:val="14"/>
          <w:color w:val="auto"/>
        </w:rPr>
        <w:t>12.1% revenue growth (11.7% on an organic</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basis) at FEMSA Comercio’s Proximity Division</w:t>
      </w:r>
    </w:p>
    <w:p>
      <w:pPr>
        <w:ind w:left="660" w:hanging="328"/>
        <w:spacing w:after="0"/>
        <w:tabs>
          <w:tab w:leader="none" w:pos="660" w:val="left"/>
        </w:tabs>
        <w:numPr>
          <w:ilvl w:val="0"/>
          <w:numId w:val="1"/>
        </w:numPr>
        <w:rPr>
          <w:rFonts w:ascii="Arial" w:cs="Arial" w:eastAsia="Arial" w:hAnsi="Arial"/>
          <w:sz w:val="18"/>
          <w:szCs w:val="18"/>
          <w:color w:val="990033"/>
        </w:rPr>
      </w:pPr>
      <w:r>
        <w:rPr>
          <w:rFonts w:ascii="Arial" w:cs="Arial" w:eastAsia="Arial" w:hAnsi="Arial"/>
          <w:sz w:val="18"/>
          <w:szCs w:val="18"/>
          <w:color w:val="auto"/>
        </w:rPr>
        <w:t>29.5% income from operations growth at FEMSA Comercio’s Health Division</w:t>
      </w:r>
    </w:p>
    <w:p>
      <w:pPr>
        <w:spacing w:after="0" w:line="7" w:lineRule="exact"/>
        <w:rPr>
          <w:rFonts w:ascii="Arial" w:cs="Arial" w:eastAsia="Arial" w:hAnsi="Arial"/>
          <w:sz w:val="18"/>
          <w:szCs w:val="18"/>
          <w:color w:val="990033"/>
        </w:rPr>
      </w:pPr>
    </w:p>
    <w:p>
      <w:pPr>
        <w:ind w:left="660" w:hanging="328"/>
        <w:spacing w:after="0"/>
        <w:tabs>
          <w:tab w:leader="none" w:pos="660" w:val="left"/>
        </w:tabs>
        <w:numPr>
          <w:ilvl w:val="0"/>
          <w:numId w:val="1"/>
        </w:numPr>
        <w:rPr>
          <w:rFonts w:ascii="Arial" w:cs="Arial" w:eastAsia="Arial" w:hAnsi="Arial"/>
          <w:sz w:val="18"/>
          <w:szCs w:val="18"/>
          <w:color w:val="990033"/>
        </w:rPr>
      </w:pPr>
      <w:r>
        <w:rPr>
          <w:rFonts w:ascii="Arial" w:cs="Arial" w:eastAsia="Arial" w:hAnsi="Arial"/>
          <w:sz w:val="18"/>
          <w:szCs w:val="18"/>
          <w:color w:val="auto"/>
        </w:rPr>
        <w:t>41.5% income from operations growth at FEMSA Comercio’s Fuel Division</w:t>
      </w:r>
    </w:p>
    <w:p>
      <w:pPr>
        <w:spacing w:after="0" w:line="9" w:lineRule="exact"/>
        <w:rPr>
          <w:rFonts w:ascii="Arial" w:cs="Arial" w:eastAsia="Arial" w:hAnsi="Arial"/>
          <w:sz w:val="18"/>
          <w:szCs w:val="18"/>
          <w:color w:val="990033"/>
        </w:rPr>
      </w:pPr>
    </w:p>
    <w:p>
      <w:pPr>
        <w:ind w:left="660" w:hanging="328"/>
        <w:spacing w:after="0" w:line="220" w:lineRule="auto"/>
        <w:tabs>
          <w:tab w:leader="none" w:pos="660" w:val="left"/>
        </w:tabs>
        <w:numPr>
          <w:ilvl w:val="0"/>
          <w:numId w:val="1"/>
        </w:numPr>
        <w:rPr>
          <w:rFonts w:ascii="Arial" w:cs="Arial" w:eastAsia="Arial" w:hAnsi="Arial"/>
          <w:sz w:val="36"/>
          <w:szCs w:val="36"/>
          <w:color w:val="990033"/>
          <w:vertAlign w:val="superscript"/>
        </w:rPr>
      </w:pPr>
      <w:r>
        <w:rPr>
          <w:rFonts w:ascii="Arial" w:cs="Arial" w:eastAsia="Arial" w:hAnsi="Arial"/>
          <w:sz w:val="18"/>
          <w:szCs w:val="18"/>
          <w:color w:val="auto"/>
        </w:rPr>
        <w:t>8.2% income from operations growth (-6.9% on an organic</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basis) at Coca-Cola FEMSA</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SUMMARY FOR THE THIRD QUARTER AND FIRST NINE MONTHS OF 2018</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Change vs. same period of last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Income</w:t>
            </w:r>
          </w:p>
        </w:tc>
        <w:tc>
          <w:tcPr>
            <w:tcW w:w="9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34"/>
        </w:trPr>
        <w:tc>
          <w:tcPr>
            <w:tcW w:w="27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0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b w:val="1"/>
                <w:bCs w:val="1"/>
                <w:color w:val="auto"/>
              </w:rPr>
              <w:t>Gross Profit</w:t>
            </w:r>
          </w:p>
        </w:tc>
        <w:tc>
          <w:tcPr>
            <w:tcW w:w="208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from Operations</w:t>
            </w:r>
          </w:p>
        </w:tc>
        <w:tc>
          <w:tcPr>
            <w:tcW w:w="19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w w:val="97"/>
              </w:rPr>
              <w:t>Same-Store Sales</w:t>
            </w:r>
          </w:p>
        </w:tc>
      </w:tr>
      <w:tr>
        <w:trPr>
          <w:trHeight w:val="210"/>
        </w:trPr>
        <w:tc>
          <w:tcPr>
            <w:tcW w:w="2780" w:type="dxa"/>
            <w:vAlign w:val="bottom"/>
          </w:tcPr>
          <w:p>
            <w:pPr>
              <w:spacing w:after="0"/>
              <w:rPr>
                <w:sz w:val="18"/>
                <w:szCs w:val="18"/>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3Q18</w:t>
            </w: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w w:val="96"/>
              </w:rPr>
              <w:t>YTD18</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3Q18</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YTD18</w:t>
            </w: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3Q18</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YTD18</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3Q18</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YTD18</w:t>
            </w:r>
          </w:p>
        </w:tc>
      </w:tr>
      <w:tr>
        <w:trPr>
          <w:trHeight w:val="216"/>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FEMSA CONSOLIDATED</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7.9%</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6.9%</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8.1%</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10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8"/>
                <w:szCs w:val="18"/>
                <w:b w:val="1"/>
                <w:bCs w:val="1"/>
                <w:color w:val="auto"/>
              </w:rPr>
              <w:t>FEMSA COMERCIO</w:t>
            </w: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Proximity Division</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12.1%</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15.7%</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8.7%</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11.6%</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780" w:type="dxa"/>
            <w:vAlign w:val="bottom"/>
          </w:tcPr>
          <w:p>
            <w:pPr>
              <w:ind w:left="160"/>
              <w:spacing w:after="0"/>
              <w:rPr>
                <w:sz w:val="20"/>
                <w:szCs w:val="20"/>
                <w:color w:val="auto"/>
              </w:rPr>
            </w:pPr>
            <w:r>
              <w:rPr>
                <w:rFonts w:ascii="Arial" w:cs="Arial" w:eastAsia="Arial" w:hAnsi="Arial"/>
                <w:sz w:val="18"/>
                <w:szCs w:val="18"/>
                <w:color w:val="auto"/>
              </w:rPr>
              <w:t>Health Division</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11.8%</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14.1%</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29.5%</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46.0%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Fuel Division</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26.7%</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21.6%</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47.4%</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47.0%</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41.5%</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122.8%</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COCA-COLA FEMSA</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(0.7)%</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8.2%</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Eduardo Padilla, FEMSA’s CEO, commented:</w:t>
      </w:r>
    </w:p>
    <w:p>
      <w:pPr>
        <w:spacing w:after="0" w:line="225"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“During the third quarter, we continued to see our business units making steady progress. Store counts, comparable sales and gross margins once again grew across retail formats and markets. However, operating margins were under moderate pressure particularly in Mexico, reflecting tight labor conditions and higher operational costs, as well as OXXO’s increased international organic expansion efforts. At Coca-Cola FEMSA, we saw positive top-line performance in several of our markets, particularly Mexico, as well as encouraging signs of progress in other regions, including the recently acquired operations in Guatemala and Uruguay.</w:t>
      </w:r>
    </w:p>
    <w:p>
      <w:pPr>
        <w:spacing w:after="0" w:line="188" w:lineRule="exact"/>
        <w:rPr>
          <w:sz w:val="20"/>
          <w:szCs w:val="20"/>
          <w:color w:val="auto"/>
        </w:rPr>
      </w:pPr>
    </w:p>
    <w:p>
      <w:pPr>
        <w:jc w:val="both"/>
        <w:ind w:left="640"/>
        <w:spacing w:after="0" w:line="312" w:lineRule="auto"/>
        <w:rPr>
          <w:sz w:val="20"/>
          <w:szCs w:val="20"/>
          <w:color w:val="auto"/>
        </w:rPr>
      </w:pPr>
      <w:r>
        <w:rPr>
          <w:rFonts w:ascii="Arial" w:cs="Arial" w:eastAsia="Arial" w:hAnsi="Arial"/>
          <w:sz w:val="16"/>
          <w:szCs w:val="16"/>
          <w:color w:val="auto"/>
        </w:rPr>
        <w:t>On the strategic front, there are interesting news as well. We recently announced our entry into Ecuador through our Health Division, with a transaction that is still subject to regulatory approval, and today we are announcing our entry into Peru through the opening of our first OXXO store in the city of Lima. These two announcements reflect our commitment to continue expanding our small-box platform across 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2" w:lineRule="exact"/>
        <w:rPr>
          <w:sz w:val="20"/>
          <w:szCs w:val="20"/>
          <w:color w:val="auto"/>
        </w:rPr>
      </w:pPr>
    </w:p>
    <w:p>
      <w:pPr>
        <w:ind w:firstLine="8"/>
        <w:spacing w:after="0" w:line="207" w:lineRule="auto"/>
        <w:tabs>
          <w:tab w:leader="none" w:pos="137"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Excludes the effects of significant mergers and acquisitions in the last twelve months and the results of Coca-Cola FEMSA Venezuela in 2017. For this quarter, it includes the consolidation of Caffenio, our sole coffee supplier in Mexico, which we now control with 50%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521585" cy="875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158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761" w:gutter="0" w:footer="0" w:header="0"/>
        </w:sectPr>
      </w:pPr>
    </w:p>
    <w:bookmarkStart w:id="2" w:name="page3"/>
    <w:bookmarkEnd w:id="2"/>
    <w:p>
      <w:pPr>
        <w:jc w:val="both"/>
        <w:ind w:left="640"/>
        <w:spacing w:after="0" w:line="264" w:lineRule="auto"/>
        <w:rPr>
          <w:sz w:val="20"/>
          <w:szCs w:val="20"/>
          <w:color w:val="auto"/>
        </w:rPr>
      </w:pPr>
      <w:r>
        <w:rPr>
          <w:rFonts w:ascii="Arial" w:cs="Arial" w:eastAsia="Arial" w:hAnsi="Arial"/>
          <w:sz w:val="18"/>
          <w:szCs w:val="18"/>
          <w:color w:val="auto"/>
        </w:rPr>
        <w:t>As we look toward the end of 2018 and into next year, we continue to see some macroeconomic uncertainty in many of our markets, including Mexico and Brazil. However, uncertainty can often bring opportunity, and with that view we are optimistic about our possibilities to create value as we chart our strategic path for 2019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74611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11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990033"/>
        </w:rPr>
        <w:t>Results are compared to the same period of previous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FEMSA CONSOLIDATED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FEMSA CONSOLIDATED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3Q18 Financial Summary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(Millions of Ps.)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3Q18</w:t>
            </w:r>
          </w:p>
        </w:tc>
        <w:tc>
          <w:tcPr>
            <w:tcW w:w="14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3Q17</w:t>
            </w:r>
          </w:p>
        </w:tc>
        <w:tc>
          <w:tcPr>
            <w:tcW w:w="17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Var.</w:t>
            </w: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Org.</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118,371</w:t>
            </w:r>
          </w:p>
        </w:tc>
        <w:tc>
          <w:tcPr>
            <w:tcW w:w="1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109,749</w:t>
            </w:r>
          </w:p>
        </w:tc>
        <w:tc>
          <w:tcPr>
            <w:tcW w:w="1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400" w:type="dxa"/>
            <w:vAlign w:val="bottom"/>
          </w:tcPr>
          <w:p>
            <w:pPr>
              <w:jc w:val="right"/>
              <w:ind w:right="350"/>
              <w:spacing w:after="0"/>
              <w:rPr>
                <w:sz w:val="20"/>
                <w:szCs w:val="20"/>
                <w:color w:val="auto"/>
              </w:rPr>
            </w:pPr>
            <w:r>
              <w:rPr>
                <w:rFonts w:ascii="Arial" w:cs="Arial" w:eastAsia="Arial" w:hAnsi="Arial"/>
                <w:sz w:val="18"/>
                <w:szCs w:val="18"/>
                <w:color w:val="auto"/>
              </w:rPr>
              <w:t>9,992</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9,240</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8.1%</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Income from Operations Margin (%)</w:t>
            </w:r>
          </w:p>
        </w:tc>
        <w:tc>
          <w:tcPr>
            <w:tcW w:w="2400" w:type="dxa"/>
            <w:vAlign w:val="bottom"/>
            <w:shd w:val="clear" w:color="auto" w:fill="CCEEFF"/>
          </w:tcPr>
          <w:p>
            <w:pPr>
              <w:jc w:val="right"/>
              <w:ind w:right="350"/>
              <w:spacing w:after="0"/>
              <w:rPr>
                <w:sz w:val="20"/>
                <w:szCs w:val="20"/>
                <w:color w:val="auto"/>
              </w:rPr>
            </w:pPr>
            <w:r>
              <w:rPr>
                <w:rFonts w:ascii="Arial" w:cs="Arial" w:eastAsia="Arial" w:hAnsi="Arial"/>
                <w:sz w:val="18"/>
                <w:szCs w:val="18"/>
                <w:i w:val="1"/>
                <w:iCs w:val="1"/>
                <w:color w:val="auto"/>
              </w:rPr>
              <w:t>8.4</w:t>
            </w:r>
          </w:p>
        </w:tc>
        <w:tc>
          <w:tcPr>
            <w:tcW w:w="1480" w:type="dxa"/>
            <w:vAlign w:val="bottom"/>
            <w:shd w:val="clear" w:color="auto" w:fill="CCEEFF"/>
          </w:tcPr>
          <w:p>
            <w:pPr>
              <w:jc w:val="right"/>
              <w:ind w:right="370"/>
              <w:spacing w:after="0"/>
              <w:rPr>
                <w:sz w:val="20"/>
                <w:szCs w:val="20"/>
                <w:color w:val="auto"/>
              </w:rPr>
            </w:pPr>
            <w:r>
              <w:rPr>
                <w:rFonts w:ascii="Arial" w:cs="Arial" w:eastAsia="Arial" w:hAnsi="Arial"/>
                <w:sz w:val="18"/>
                <w:szCs w:val="18"/>
                <w:i w:val="1"/>
                <w:iCs w:val="1"/>
                <w:color w:val="auto"/>
              </w:rPr>
              <w:t>8.4</w:t>
            </w:r>
          </w:p>
        </w:tc>
        <w:tc>
          <w:tcPr>
            <w:tcW w:w="1700" w:type="dxa"/>
            <w:vAlign w:val="bottom"/>
            <w:shd w:val="clear" w:color="auto" w:fill="CCEEFF"/>
          </w:tcPr>
          <w:p>
            <w:pPr>
              <w:jc w:val="right"/>
              <w:ind w:right="610"/>
              <w:spacing w:after="0"/>
              <w:rPr>
                <w:sz w:val="20"/>
                <w:szCs w:val="20"/>
                <w:color w:val="auto"/>
              </w:rPr>
            </w:pPr>
            <w:r>
              <w:rPr>
                <w:rFonts w:ascii="Arial" w:cs="Arial" w:eastAsia="Arial" w:hAnsi="Arial"/>
                <w:sz w:val="18"/>
                <w:szCs w:val="18"/>
                <w:i w:val="1"/>
                <w:iCs w:val="1"/>
                <w:color w:val="auto"/>
              </w:rPr>
              <w:t>0 bps</w:t>
            </w:r>
          </w:p>
        </w:tc>
        <w:tc>
          <w:tcPr>
            <w:tcW w:w="10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Operative Cash Flow (EBITDA)</w:t>
            </w:r>
          </w:p>
        </w:tc>
        <w:tc>
          <w:tcPr>
            <w:tcW w:w="2400" w:type="dxa"/>
            <w:vAlign w:val="bottom"/>
          </w:tcPr>
          <w:p>
            <w:pPr>
              <w:jc w:val="right"/>
              <w:ind w:right="350"/>
              <w:spacing w:after="0"/>
              <w:rPr>
                <w:sz w:val="20"/>
                <w:szCs w:val="20"/>
                <w:color w:val="auto"/>
              </w:rPr>
            </w:pPr>
            <w:r>
              <w:rPr>
                <w:rFonts w:ascii="Arial" w:cs="Arial" w:eastAsia="Arial" w:hAnsi="Arial"/>
                <w:sz w:val="18"/>
                <w:szCs w:val="18"/>
                <w:color w:val="auto"/>
              </w:rPr>
              <w:t>15,046</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14,106</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6.7%</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Operative Cash Flow (EBITDA) Margin (%)</w:t>
            </w:r>
          </w:p>
        </w:tc>
        <w:tc>
          <w:tcPr>
            <w:tcW w:w="2400" w:type="dxa"/>
            <w:vAlign w:val="bottom"/>
            <w:shd w:val="clear" w:color="auto" w:fill="CCEEFF"/>
          </w:tcPr>
          <w:p>
            <w:pPr>
              <w:jc w:val="right"/>
              <w:ind w:right="350"/>
              <w:spacing w:after="0"/>
              <w:rPr>
                <w:sz w:val="20"/>
                <w:szCs w:val="20"/>
                <w:color w:val="auto"/>
              </w:rPr>
            </w:pPr>
            <w:r>
              <w:rPr>
                <w:rFonts w:ascii="Arial" w:cs="Arial" w:eastAsia="Arial" w:hAnsi="Arial"/>
                <w:sz w:val="18"/>
                <w:szCs w:val="18"/>
                <w:i w:val="1"/>
                <w:iCs w:val="1"/>
                <w:color w:val="auto"/>
              </w:rPr>
              <w:t>12.7</w:t>
            </w:r>
          </w:p>
        </w:tc>
        <w:tc>
          <w:tcPr>
            <w:tcW w:w="1480" w:type="dxa"/>
            <w:vAlign w:val="bottom"/>
            <w:shd w:val="clear" w:color="auto" w:fill="CCEEFF"/>
          </w:tcPr>
          <w:p>
            <w:pPr>
              <w:jc w:val="right"/>
              <w:ind w:right="370"/>
              <w:spacing w:after="0"/>
              <w:rPr>
                <w:sz w:val="20"/>
                <w:szCs w:val="20"/>
                <w:color w:val="auto"/>
              </w:rPr>
            </w:pPr>
            <w:r>
              <w:rPr>
                <w:rFonts w:ascii="Arial" w:cs="Arial" w:eastAsia="Arial" w:hAnsi="Arial"/>
                <w:sz w:val="18"/>
                <w:szCs w:val="18"/>
                <w:i w:val="1"/>
                <w:iCs w:val="1"/>
                <w:color w:val="auto"/>
              </w:rPr>
              <w:t>12.9</w:t>
            </w:r>
          </w:p>
        </w:tc>
        <w:tc>
          <w:tcPr>
            <w:tcW w:w="1700" w:type="dxa"/>
            <w:vAlign w:val="bottom"/>
            <w:shd w:val="clear" w:color="auto" w:fill="CCEEFF"/>
          </w:tcPr>
          <w:p>
            <w:pPr>
              <w:jc w:val="right"/>
              <w:ind w:right="610"/>
              <w:spacing w:after="0"/>
              <w:rPr>
                <w:sz w:val="20"/>
                <w:szCs w:val="20"/>
                <w:color w:val="auto"/>
              </w:rPr>
            </w:pPr>
            <w:r>
              <w:rPr>
                <w:rFonts w:ascii="Arial" w:cs="Arial" w:eastAsia="Arial" w:hAnsi="Arial"/>
                <w:sz w:val="18"/>
                <w:szCs w:val="18"/>
                <w:i w:val="1"/>
                <w:iCs w:val="1"/>
                <w:color w:val="auto"/>
              </w:rPr>
              <w:t>-20 bps</w:t>
            </w:r>
          </w:p>
        </w:tc>
        <w:tc>
          <w:tcPr>
            <w:tcW w:w="108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2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6,598</w:t>
            </w: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33,715</w:t>
            </w: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(80.4)%</w:t>
            </w:r>
          </w:p>
        </w:tc>
        <w:tc>
          <w:tcPr>
            <w:tcW w:w="1080" w:type="dxa"/>
            <w:vAlign w:val="bottom"/>
            <w:tcBorders>
              <w:bottom w:val="single" w:sz="8" w:color="auto"/>
            </w:tcBorders>
          </w:tcPr>
          <w:p>
            <w:pPr>
              <w:spacing w:after="0"/>
              <w:rPr>
                <w:sz w:val="18"/>
                <w:szCs w:val="18"/>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(Millions of Ps.)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 of September 30, 2018</w:t>
            </w:r>
          </w:p>
        </w:tc>
        <w:tc>
          <w:tcPr>
            <w:tcW w:w="47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Ps.</w:t>
            </w:r>
          </w:p>
        </w:tc>
        <w:tc>
          <w:tcPr>
            <w:tcW w:w="1040" w:type="dxa"/>
            <w:vAlign w:val="bottom"/>
            <w:tcBorders>
              <w:top w:val="single" w:sz="8" w:color="auto"/>
            </w:tcBorders>
          </w:tcPr>
          <w:p>
            <w:pPr>
              <w:jc w:val="right"/>
              <w:ind w:right="10"/>
              <w:spacing w:after="0" w:line="251" w:lineRule="exact"/>
              <w:rPr>
                <w:sz w:val="20"/>
                <w:szCs w:val="20"/>
                <w:color w:val="auto"/>
              </w:rPr>
            </w:pPr>
            <w:r>
              <w:rPr>
                <w:rFonts w:ascii="Arial" w:cs="Arial" w:eastAsia="Arial" w:hAnsi="Arial"/>
                <w:sz w:val="18"/>
                <w:szCs w:val="18"/>
                <w:b w:val="1"/>
                <w:bCs w:val="1"/>
                <w:color w:val="auto"/>
              </w:rPr>
              <w:t>US$</w:t>
            </w:r>
            <w:r>
              <w:rPr>
                <w:rFonts w:ascii="Arial" w:cs="Arial" w:eastAsia="Arial" w:hAnsi="Arial"/>
                <w:sz w:val="29"/>
                <w:szCs w:val="29"/>
                <w:b w:val="1"/>
                <w:bCs w:val="1"/>
                <w:color w:val="auto"/>
                <w:vertAlign w:val="superscript"/>
              </w:rPr>
              <w:t>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4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54,166</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2,896</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Short-term debt</w:t>
            </w:r>
          </w:p>
        </w:tc>
        <w:tc>
          <w:tcPr>
            <w:tcW w:w="4760" w:type="dxa"/>
            <w:vAlign w:val="bottom"/>
          </w:tcPr>
          <w:p>
            <w:pPr>
              <w:jc w:val="right"/>
              <w:ind w:right="430"/>
              <w:spacing w:after="0"/>
              <w:rPr>
                <w:sz w:val="20"/>
                <w:szCs w:val="20"/>
                <w:color w:val="auto"/>
              </w:rPr>
            </w:pPr>
            <w:r>
              <w:rPr>
                <w:rFonts w:ascii="Arial" w:cs="Arial" w:eastAsia="Arial" w:hAnsi="Arial"/>
                <w:sz w:val="18"/>
                <w:szCs w:val="18"/>
                <w:color w:val="auto"/>
              </w:rPr>
              <w:t>12,349</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4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117,071</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6,259</w:t>
            </w:r>
          </w:p>
        </w:tc>
      </w:tr>
      <w:tr>
        <w:trPr>
          <w:trHeight w:val="257"/>
        </w:trPr>
        <w:tc>
          <w:tcPr>
            <w:tcW w:w="5620" w:type="dxa"/>
            <w:vAlign w:val="bottom"/>
            <w:tcBorders>
              <w:bottom w:val="single" w:sz="8" w:color="auto"/>
            </w:tcBorders>
          </w:tcPr>
          <w:p>
            <w:pPr>
              <w:spacing w:after="0" w:line="256" w:lineRule="exact"/>
              <w:rPr>
                <w:sz w:val="20"/>
                <w:szCs w:val="20"/>
                <w:color w:val="auto"/>
              </w:rPr>
            </w:pPr>
            <w:r>
              <w:rPr>
                <w:rFonts w:ascii="Arial" w:cs="Arial" w:eastAsia="Arial" w:hAnsi="Arial"/>
                <w:sz w:val="18"/>
                <w:szCs w:val="18"/>
                <w:b w:val="1"/>
                <w:bCs w:val="1"/>
                <w:color w:val="auto"/>
              </w:rPr>
              <w:t>Net debt</w:t>
            </w:r>
            <w:r>
              <w:rPr>
                <w:rFonts w:ascii="Arial" w:cs="Arial" w:eastAsia="Arial" w:hAnsi="Arial"/>
                <w:sz w:val="29"/>
                <w:szCs w:val="29"/>
                <w:b w:val="1"/>
                <w:bCs w:val="1"/>
                <w:color w:val="auto"/>
                <w:vertAlign w:val="superscript"/>
              </w:rPr>
              <w:t>3</w:t>
            </w:r>
          </w:p>
        </w:tc>
        <w:tc>
          <w:tcPr>
            <w:tcW w:w="4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75,254</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4,023</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990033"/>
        </w:rPr>
        <w:t xml:space="preserve">Total revenues </w:t>
      </w:r>
      <w:r>
        <w:rPr>
          <w:rFonts w:ascii="Arial" w:cs="Arial" w:eastAsia="Arial" w:hAnsi="Arial"/>
          <w:sz w:val="16"/>
          <w:szCs w:val="16"/>
          <w:color w:val="000000"/>
        </w:rPr>
        <w:t>increased 7.9%, reflecting growth across FEMSA Comercio’s three business units, partially offset by a slight decrease at Coca-Cola FEMSA.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 an organic basis,1 total revenues grew 8.9%.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 xml:space="preserve">Gross profit </w:t>
      </w:r>
      <w:r>
        <w:rPr>
          <w:rFonts w:ascii="Arial" w:cs="Arial" w:eastAsia="Arial" w:hAnsi="Arial"/>
          <w:sz w:val="18"/>
          <w:szCs w:val="18"/>
          <w:color w:val="000000"/>
        </w:rPr>
        <w:t>grew 9.3%. Gross margin expanded by 50 basis points, reflecting strong margin expansion across all business units.</w:t>
      </w:r>
    </w:p>
    <w:p>
      <w:pPr>
        <w:spacing w:after="0" w:line="23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color w:val="990033"/>
        </w:rPr>
        <w:t xml:space="preserve">Income from operations </w:t>
      </w:r>
      <w:r>
        <w:rPr>
          <w:rFonts w:ascii="Arial" w:cs="Arial" w:eastAsia="Arial" w:hAnsi="Arial"/>
          <w:sz w:val="18"/>
          <w:szCs w:val="18"/>
          <w:color w:val="000000"/>
        </w:rPr>
        <w:t>increased 8.1%. On an organic basis,</w:t>
      </w:r>
      <w:r>
        <w:rPr>
          <w:rFonts w:ascii="Arial" w:cs="Arial" w:eastAsia="Arial" w:hAnsi="Arial"/>
          <w:sz w:val="30"/>
          <w:szCs w:val="30"/>
          <w:color w:val="000000"/>
          <w:vertAlign w:val="superscript"/>
        </w:rPr>
        <w:t>1</w:t>
      </w:r>
      <w:r>
        <w:rPr>
          <w:rFonts w:ascii="Arial" w:cs="Arial" w:eastAsia="Arial" w:hAnsi="Arial"/>
          <w:sz w:val="18"/>
          <w:szCs w:val="18"/>
          <w:b w:val="1"/>
          <w:bCs w:val="1"/>
          <w:color w:val="990033"/>
        </w:rPr>
        <w:t xml:space="preserve"> </w:t>
      </w:r>
      <w:r>
        <w:rPr>
          <w:rFonts w:ascii="Arial" w:cs="Arial" w:eastAsia="Arial" w:hAnsi="Arial"/>
          <w:sz w:val="18"/>
          <w:szCs w:val="18"/>
          <w:color w:val="000000"/>
        </w:rPr>
        <w:t>income from operations decreased 1.2%, reflecting a decline at Coca-Cola FEMSA.</w:t>
      </w:r>
      <w:r>
        <w:rPr>
          <w:rFonts w:ascii="Arial" w:cs="Arial" w:eastAsia="Arial" w:hAnsi="Arial"/>
          <w:sz w:val="18"/>
          <w:szCs w:val="18"/>
          <w:b w:val="1"/>
          <w:bCs w:val="1"/>
          <w:color w:val="990033"/>
        </w:rPr>
        <w:t xml:space="preserve"> </w:t>
      </w:r>
      <w:r>
        <w:rPr>
          <w:rFonts w:ascii="Arial" w:cs="Arial" w:eastAsia="Arial" w:hAnsi="Arial"/>
          <w:sz w:val="18"/>
          <w:szCs w:val="18"/>
          <w:color w:val="000000"/>
        </w:rPr>
        <w:t>Consolidated operating margin remained in line at 8.4% of total revenues, mostly driven by margin expansion at Coca-Cola FEMSA reflecting a non-cash operating foreign exchange gain in Mexico, and operating expense efficiencies in South America. This expansion was offset by modest margin contraction at FEMSA Comercio’s Proximity Division, driven by higher operating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990033"/>
        </w:rPr>
        <w:t>effective income tax rate</w:t>
      </w:r>
      <w:r>
        <w:rPr>
          <w:rFonts w:ascii="Arial" w:cs="Arial" w:eastAsia="Arial" w:hAnsi="Arial"/>
          <w:sz w:val="18"/>
          <w:szCs w:val="18"/>
          <w:color w:val="auto"/>
        </w:rPr>
        <w:t xml:space="preserve"> was 36.6% in 3Q18 compared to 16.4% in 3Q17.</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990033"/>
        </w:rPr>
        <w:t xml:space="preserve">Net consolidated income </w:t>
      </w:r>
      <w:r>
        <w:rPr>
          <w:rFonts w:ascii="Arial" w:cs="Arial" w:eastAsia="Arial" w:hAnsi="Arial"/>
          <w:sz w:val="18"/>
          <w:szCs w:val="18"/>
          <w:color w:val="000000"/>
        </w:rPr>
        <w:t>decreased 80.4% to Ps. 6,598 million, reflecting a demanding comparison base caused by the extraordinary non-operating income</w:t>
      </w:r>
      <w:r>
        <w:rPr>
          <w:rFonts w:ascii="Arial" w:cs="Arial" w:eastAsia="Arial" w:hAnsi="Arial"/>
          <w:sz w:val="18"/>
          <w:szCs w:val="18"/>
          <w:b w:val="1"/>
          <w:bCs w:val="1"/>
          <w:color w:val="990033"/>
        </w:rPr>
        <w:t xml:space="preserve"> </w:t>
      </w:r>
      <w:r>
        <w:rPr>
          <w:rFonts w:ascii="Arial" w:cs="Arial" w:eastAsia="Arial" w:hAnsi="Arial"/>
          <w:sz w:val="18"/>
          <w:szCs w:val="18"/>
          <w:color w:val="000000"/>
        </w:rPr>
        <w:t>generated in 3Q17 from the sale of 5.24% of the combined interest in the Heineken Group. This decrease also reflected a non-cash foreign exchange loss related to FEMSA’s U.S. dollar denominated cash position, as impacted by the appreciation of the Mexican peso and partially offset by lower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0" w:lineRule="exact"/>
        <w:rPr>
          <w:sz w:val="20"/>
          <w:szCs w:val="20"/>
          <w:color w:val="auto"/>
        </w:rPr>
      </w:pPr>
    </w:p>
    <w:p>
      <w:pPr>
        <w:ind w:firstLine="8"/>
        <w:spacing w:after="0" w:line="207" w:lineRule="auto"/>
        <w:tabs>
          <w:tab w:leader="none" w:pos="137"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Excludes the effects of significant mergers and acquisitions in the last twelve months and the results of Coca-Cola FEMSA Venezuela in 2017. For this quarter, it includes the consolidation of Caffenio, our sole coffee supplier in Mexico, which we now control with 50% share ownership.</w:t>
      </w:r>
    </w:p>
    <w:p>
      <w:pPr>
        <w:ind w:right="2240"/>
        <w:spacing w:after="0" w:line="221" w:lineRule="auto"/>
        <w:rPr>
          <w:rFonts w:ascii="Arial" w:cs="Arial" w:eastAsia="Arial" w:hAnsi="Arial"/>
          <w:sz w:val="28"/>
          <w:szCs w:val="28"/>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exchange rate published by the Federal Reserve Bank of New York for September 28, 2018 was 18.7050 MXN per USD.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Includes the effect of derivative financial instruments on long-term debt.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-136525</wp:posOffset>
            </wp:positionV>
            <wp:extent cx="1715135"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990033"/>
        </w:rPr>
        <w:t xml:space="preserve">Net majority income </w:t>
      </w:r>
      <w:r>
        <w:rPr>
          <w:rFonts w:ascii="Arial" w:cs="Arial" w:eastAsia="Arial" w:hAnsi="Arial"/>
          <w:sz w:val="18"/>
          <w:szCs w:val="18"/>
          <w:color w:val="000000"/>
        </w:rPr>
        <w:t>was Ps. 1.31 per FEMSA Unit2 and US$ 0.70 per FEMSA 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 xml:space="preserve">Capital expenditures </w:t>
      </w:r>
      <w:r>
        <w:rPr>
          <w:rFonts w:ascii="Arial" w:cs="Arial" w:eastAsia="Arial" w:hAnsi="Arial"/>
          <w:sz w:val="18"/>
          <w:szCs w:val="18"/>
          <w:color w:val="000000"/>
        </w:rPr>
        <w:t>amounted to Ps. 6,650 million, reflecting higher investments across all business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FEMSA COMERCIO – PROXIMITY DIVISION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 – PROXIMITY DIVISION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3Q18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Ps. except same-stores sales)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3Q18</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3Q17</w:t>
            </w:r>
          </w:p>
        </w:tc>
        <w:tc>
          <w:tcPr>
            <w:tcW w:w="1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Var.</w:t>
            </w: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Org.</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Same-store sales (thousands of Ps.)</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811</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763</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6.2%</w:t>
            </w: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43,967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39,212</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12.1%</w:t>
            </w: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3,610</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3,320</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i w:val="1"/>
                <w:iCs w:val="1"/>
                <w:color w:val="auto"/>
              </w:rPr>
              <w:t>Income from Operations Margin (%)</w:t>
            </w:r>
          </w:p>
        </w:tc>
        <w:tc>
          <w:tcPr>
            <w:tcW w:w="1620" w:type="dxa"/>
            <w:vAlign w:val="bottom"/>
          </w:tcPr>
          <w:p>
            <w:pPr>
              <w:jc w:val="right"/>
              <w:ind w:right="230"/>
              <w:spacing w:after="0"/>
              <w:rPr>
                <w:sz w:val="20"/>
                <w:szCs w:val="20"/>
                <w:color w:val="auto"/>
              </w:rPr>
            </w:pPr>
            <w:r>
              <w:rPr>
                <w:rFonts w:ascii="Arial" w:cs="Arial" w:eastAsia="Arial" w:hAnsi="Arial"/>
                <w:sz w:val="18"/>
                <w:szCs w:val="18"/>
                <w:i w:val="1"/>
                <w:iCs w:val="1"/>
                <w:color w:val="auto"/>
              </w:rPr>
              <w:t>8.2</w:t>
            </w:r>
          </w:p>
        </w:tc>
        <w:tc>
          <w:tcPr>
            <w:tcW w:w="1120" w:type="dxa"/>
            <w:vAlign w:val="bottom"/>
          </w:tcPr>
          <w:p>
            <w:pPr>
              <w:jc w:val="right"/>
              <w:ind w:right="210"/>
              <w:spacing w:after="0"/>
              <w:rPr>
                <w:sz w:val="20"/>
                <w:szCs w:val="20"/>
                <w:color w:val="auto"/>
              </w:rPr>
            </w:pPr>
            <w:r>
              <w:rPr>
                <w:rFonts w:ascii="Arial" w:cs="Arial" w:eastAsia="Arial" w:hAnsi="Arial"/>
                <w:sz w:val="18"/>
                <w:szCs w:val="18"/>
                <w:i w:val="1"/>
                <w:iCs w:val="1"/>
                <w:color w:val="auto"/>
              </w:rPr>
              <w:t>8.5</w:t>
            </w:r>
          </w:p>
        </w:tc>
        <w:tc>
          <w:tcPr>
            <w:tcW w:w="1360" w:type="dxa"/>
            <w:vAlign w:val="bottom"/>
          </w:tcPr>
          <w:p>
            <w:pPr>
              <w:jc w:val="right"/>
              <w:ind w:right="430"/>
              <w:spacing w:after="0"/>
              <w:rPr>
                <w:sz w:val="20"/>
                <w:szCs w:val="20"/>
                <w:color w:val="auto"/>
              </w:rPr>
            </w:pPr>
            <w:r>
              <w:rPr>
                <w:rFonts w:ascii="Arial" w:cs="Arial" w:eastAsia="Arial" w:hAnsi="Arial"/>
                <w:sz w:val="18"/>
                <w:szCs w:val="18"/>
                <w:i w:val="1"/>
                <w:iCs w:val="1"/>
                <w:color w:val="auto"/>
              </w:rPr>
              <w:t>-30 bps</w:t>
            </w: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Operative Cash Flow (EBITDA)</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4,997</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4,436</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Operative Cash Flow (EBITDA) Margin (%)</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i w:val="1"/>
                <w:iCs w:val="1"/>
                <w:color w:val="auto"/>
              </w:rPr>
              <w:t>11.4</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11.3</w:t>
            </w: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i w:val="1"/>
                <w:iCs w:val="1"/>
                <w:color w:val="auto"/>
              </w:rPr>
              <w:t>10 bps</w:t>
            </w:r>
          </w:p>
        </w:tc>
        <w:tc>
          <w:tcPr>
            <w:tcW w:w="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137160</wp:posOffset>
            </wp:positionV>
            <wp:extent cx="2298065" cy="1449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9806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color w:val="990033"/>
        </w:rPr>
        <w:t xml:space="preserve">Total revenues </w:t>
      </w:r>
      <w:r>
        <w:rPr>
          <w:rFonts w:ascii="Arial" w:cs="Arial" w:eastAsia="Arial" w:hAnsi="Arial"/>
          <w:sz w:val="18"/>
          <w:szCs w:val="18"/>
          <w:color w:val="000000"/>
        </w:rPr>
        <w:t>increased 12.1% in 3Q18 compared to 3Q17. On an organic basis,</w:t>
      </w:r>
      <w:r>
        <w:rPr>
          <w:rFonts w:ascii="Arial" w:cs="Arial" w:eastAsia="Arial" w:hAnsi="Arial"/>
          <w:sz w:val="30"/>
          <w:szCs w:val="30"/>
          <w:color w:val="000000"/>
          <w:vertAlign w:val="superscript"/>
        </w:rPr>
        <w:t>1</w:t>
      </w:r>
      <w:r>
        <w:rPr>
          <w:rFonts w:ascii="Arial" w:cs="Arial" w:eastAsia="Arial" w:hAnsi="Arial"/>
          <w:sz w:val="18"/>
          <w:szCs w:val="18"/>
          <w:b w:val="1"/>
          <w:bCs w:val="1"/>
          <w:color w:val="990033"/>
        </w:rPr>
        <w:t xml:space="preserve"> </w:t>
      </w:r>
      <w:r>
        <w:rPr>
          <w:rFonts w:ascii="Arial" w:cs="Arial" w:eastAsia="Arial" w:hAnsi="Arial"/>
          <w:sz w:val="18"/>
          <w:szCs w:val="18"/>
          <w:color w:val="000000"/>
        </w:rPr>
        <w:t>total revenues grew 11.7%, reflecting the opening of 182 net new OXXO</w:t>
      </w:r>
      <w:r>
        <w:rPr>
          <w:rFonts w:ascii="Arial" w:cs="Arial" w:eastAsia="Arial" w:hAnsi="Arial"/>
          <w:sz w:val="18"/>
          <w:szCs w:val="18"/>
          <w:b w:val="1"/>
          <w:bCs w:val="1"/>
          <w:color w:val="990033"/>
        </w:rPr>
        <w:t xml:space="preserve"> </w:t>
      </w:r>
      <w:r>
        <w:rPr>
          <w:rFonts w:ascii="Arial" w:cs="Arial" w:eastAsia="Arial" w:hAnsi="Arial"/>
          <w:sz w:val="18"/>
          <w:szCs w:val="18"/>
          <w:color w:val="000000"/>
        </w:rPr>
        <w:t>stores in the quarter to reach 1,430 total net new store openings for the last twelve months. As of September 30, 2018, FEMSA Comercio’s Proximity Division had a total of 17,478 OXXO stores. OXXO’s same-store sales increased an average of 6.2%, reflecting resilient consumer demand and the undemanding comparison base that was affected by the natural disasters in central and southern Mexico during September 2017. This performance was driven by 3.6% growth in average customer ticket and a robust increase of 2.5% in store traffic.</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990033"/>
        </w:rPr>
        <w:t xml:space="preserve">Gross profit </w:t>
      </w:r>
      <w:r>
        <w:rPr>
          <w:rFonts w:ascii="Arial" w:cs="Arial" w:eastAsia="Arial" w:hAnsi="Arial"/>
          <w:sz w:val="18"/>
          <w:szCs w:val="18"/>
          <w:color w:val="000000"/>
        </w:rPr>
        <w:t>increased 17.2%, resulting in a gross margin expansion of 170 basis points to 38.8% of total revenues. This expansion mainly reflects: i)</w:t>
      </w:r>
      <w:r>
        <w:rPr>
          <w:rFonts w:ascii="Arial" w:cs="Arial" w:eastAsia="Arial" w:hAnsi="Arial"/>
          <w:sz w:val="18"/>
          <w:szCs w:val="18"/>
          <w:b w:val="1"/>
          <w:bCs w:val="1"/>
          <w:color w:val="990033"/>
        </w:rPr>
        <w:t xml:space="preserve"> </w:t>
      </w:r>
      <w:r>
        <w:rPr>
          <w:rFonts w:ascii="Arial" w:cs="Arial" w:eastAsia="Arial" w:hAnsi="Arial"/>
          <w:sz w:val="18"/>
          <w:szCs w:val="18"/>
          <w:color w:val="000000"/>
        </w:rPr>
        <w:t>sustained growth of the services category, including income from financial services; ii) increased and more efficient promotional programs with our key supplier partners; iii) healthy trends in our commercial income activity, and iv) the consolidation of Caffenio.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9" w:lineRule="exact"/>
        <w:rPr>
          <w:sz w:val="20"/>
          <w:szCs w:val="20"/>
          <w:color w:val="auto"/>
        </w:rPr>
      </w:pPr>
    </w:p>
    <w:p>
      <w:pPr>
        <w:jc w:val="both"/>
        <w:ind w:right="20"/>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Excludes the effects of significant mergers and acquisitions in the last twelve months. For this quarter, it includes the consolidation of Caffenio, our sole coffee supplier in Mexico, which we now control with 50% share ownership.</w:t>
      </w:r>
    </w:p>
    <w:p>
      <w:pPr>
        <w:jc w:val="both"/>
        <w:spacing w:after="0" w:line="217" w:lineRule="auto"/>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FEMSA Units consist of FEMSA BD Units and FEMSA B Units. Each FEMSA BD Unit is comprised of one Series B Share, two Series D-B Shares and two Series D-L Shares. Each FEMSA B Unit is comprised of five Series B Shares. The number of FEMSA Units outstanding as of September 30, 2018 was 3,578,226,270, equivalent to the total number of FEMSA Shares outstanding as of the same date, divided by 5.</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-136525</wp:posOffset>
            </wp:positionV>
            <wp:extent cx="1715135"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17"/>
          <w:szCs w:val="17"/>
          <w:b w:val="1"/>
          <w:bCs w:val="1"/>
          <w:color w:val="990033"/>
        </w:rPr>
        <w:t xml:space="preserve">Income from operations </w:t>
      </w:r>
      <w:r>
        <w:rPr>
          <w:rFonts w:ascii="Arial" w:cs="Arial" w:eastAsia="Arial" w:hAnsi="Arial"/>
          <w:sz w:val="17"/>
          <w:szCs w:val="17"/>
          <w:color w:val="000000"/>
        </w:rPr>
        <w:t>increased 8.7%. On an organic basis,</w:t>
      </w:r>
      <w:r>
        <w:rPr>
          <w:rFonts w:ascii="Arial" w:cs="Arial" w:eastAsia="Arial" w:hAnsi="Arial"/>
          <w:sz w:val="28"/>
          <w:szCs w:val="28"/>
          <w:color w:val="000000"/>
          <w:vertAlign w:val="superscript"/>
        </w:rPr>
        <w:t>1</w:t>
      </w:r>
      <w:r>
        <w:rPr>
          <w:rFonts w:ascii="Arial" w:cs="Arial" w:eastAsia="Arial" w:hAnsi="Arial"/>
          <w:sz w:val="17"/>
          <w:szCs w:val="17"/>
          <w:b w:val="1"/>
          <w:bCs w:val="1"/>
          <w:color w:val="990033"/>
        </w:rPr>
        <w:t xml:space="preserve"> </w:t>
      </w:r>
      <w:r>
        <w:rPr>
          <w:rFonts w:ascii="Arial" w:cs="Arial" w:eastAsia="Arial" w:hAnsi="Arial"/>
          <w:sz w:val="17"/>
          <w:szCs w:val="17"/>
          <w:color w:val="000000"/>
        </w:rPr>
        <w:t>income from operations grew 6.3%. Operating expenses increased 19.7% to Ps. 13,440</w:t>
      </w:r>
      <w:r>
        <w:rPr>
          <w:rFonts w:ascii="Arial" w:cs="Arial" w:eastAsia="Arial" w:hAnsi="Arial"/>
          <w:sz w:val="17"/>
          <w:szCs w:val="17"/>
          <w:b w:val="1"/>
          <w:bCs w:val="1"/>
          <w:color w:val="990033"/>
        </w:rPr>
        <w:t xml:space="preserve"> </w:t>
      </w:r>
      <w:r>
        <w:rPr>
          <w:rFonts w:ascii="Arial" w:cs="Arial" w:eastAsia="Arial" w:hAnsi="Arial"/>
          <w:sz w:val="17"/>
          <w:szCs w:val="17"/>
          <w:color w:val="000000"/>
        </w:rPr>
        <w:t>million, above revenues, mainly reflecting: i) higher secure cash transportation costs driven by increased volume and higher operational costs including fuel prices; ii) our continuing and gradual shift from commission-based store teams to employee based teams; iii) an increase in electricity tariffs during the last month of the quarter, and iv) organic growth of OXXO’s international operations that achieved healthy sales levels per store, but have yet to reach sufficient scale to better absorb overhead. Operating margin contracted 30 basis points to 8.2% of total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FEMSA COMERCIO – HEALTH DIVISION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 – HEALTH DIVISION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3Q18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Ps. except same-stores sales)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3Q18</w:t>
            </w:r>
          </w:p>
        </w:tc>
        <w:tc>
          <w:tcPr>
            <w:tcW w:w="1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3Q17</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Var.</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Same-store sales (thousands of Ps.)</w:t>
            </w:r>
          </w:p>
        </w:tc>
        <w:tc>
          <w:tcPr>
            <w:tcW w:w="2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1,532</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1,442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40" w:type="dxa"/>
            <w:vAlign w:val="bottom"/>
          </w:tcPr>
          <w:p>
            <w:pPr>
              <w:jc w:val="right"/>
              <w:ind w:right="250"/>
              <w:spacing w:after="0"/>
              <w:rPr>
                <w:sz w:val="20"/>
                <w:szCs w:val="20"/>
                <w:color w:val="auto"/>
              </w:rPr>
            </w:pPr>
            <w:r>
              <w:rPr>
                <w:rFonts w:ascii="Arial" w:cs="Arial" w:eastAsia="Arial" w:hAnsi="Arial"/>
                <w:sz w:val="18"/>
                <w:szCs w:val="18"/>
                <w:color w:val="auto"/>
              </w:rPr>
              <w:t>12,562</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11,395</w:t>
            </w: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540</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i w:val="1"/>
                <w:iCs w:val="1"/>
                <w:color w:val="auto"/>
              </w:rPr>
              <w:t>Income from Operations Margin (%)</w:t>
            </w:r>
          </w:p>
        </w:tc>
        <w:tc>
          <w:tcPr>
            <w:tcW w:w="2240" w:type="dxa"/>
            <w:vAlign w:val="bottom"/>
          </w:tcPr>
          <w:p>
            <w:pPr>
              <w:jc w:val="right"/>
              <w:ind w:right="250"/>
              <w:spacing w:after="0"/>
              <w:rPr>
                <w:sz w:val="20"/>
                <w:szCs w:val="20"/>
                <w:color w:val="auto"/>
              </w:rPr>
            </w:pPr>
            <w:r>
              <w:rPr>
                <w:rFonts w:ascii="Arial" w:cs="Arial" w:eastAsia="Arial" w:hAnsi="Arial"/>
                <w:sz w:val="18"/>
                <w:szCs w:val="18"/>
                <w:i w:val="1"/>
                <w:iCs w:val="1"/>
                <w:color w:val="auto"/>
              </w:rPr>
              <w:t>4.3</w:t>
            </w:r>
          </w:p>
        </w:tc>
        <w:tc>
          <w:tcPr>
            <w:tcW w:w="1140" w:type="dxa"/>
            <w:vAlign w:val="bottom"/>
          </w:tcPr>
          <w:p>
            <w:pPr>
              <w:jc w:val="right"/>
              <w:ind w:right="250"/>
              <w:spacing w:after="0"/>
              <w:rPr>
                <w:sz w:val="20"/>
                <w:szCs w:val="20"/>
                <w:color w:val="auto"/>
              </w:rPr>
            </w:pPr>
            <w:r>
              <w:rPr>
                <w:rFonts w:ascii="Arial" w:cs="Arial" w:eastAsia="Arial" w:hAnsi="Arial"/>
                <w:sz w:val="18"/>
                <w:szCs w:val="18"/>
                <w:i w:val="1"/>
                <w:iCs w:val="1"/>
                <w:color w:val="auto"/>
              </w:rPr>
              <w:t>3.7</w:t>
            </w:r>
          </w:p>
        </w:tc>
        <w:tc>
          <w:tcPr>
            <w:tcW w:w="980" w:type="dxa"/>
            <w:vAlign w:val="bottom"/>
          </w:tcPr>
          <w:p>
            <w:pPr>
              <w:jc w:val="right"/>
              <w:ind w:right="70"/>
              <w:spacing w:after="0"/>
              <w:rPr>
                <w:sz w:val="20"/>
                <w:szCs w:val="20"/>
                <w:color w:val="auto"/>
              </w:rPr>
            </w:pPr>
            <w:r>
              <w:rPr>
                <w:rFonts w:ascii="Arial" w:cs="Arial" w:eastAsia="Arial" w:hAnsi="Arial"/>
                <w:sz w:val="18"/>
                <w:szCs w:val="18"/>
                <w:i w:val="1"/>
                <w:iCs w:val="1"/>
                <w:color w:val="auto"/>
              </w:rPr>
              <w:t>60 bps</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Operative Cash Flow (EBITDA)</w:t>
            </w:r>
          </w:p>
        </w:tc>
        <w:tc>
          <w:tcPr>
            <w:tcW w:w="2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789</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636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Operative Cash Flow (EBITDA) Margin (%)</w:t>
            </w:r>
          </w:p>
        </w:tc>
        <w:tc>
          <w:tcPr>
            <w:tcW w:w="2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6.3</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5.6</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70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137160</wp:posOffset>
            </wp:positionV>
            <wp:extent cx="2298065" cy="1449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9806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990033"/>
        </w:rPr>
        <w:t xml:space="preserve">Total revenues </w:t>
      </w:r>
      <w:r>
        <w:rPr>
          <w:rFonts w:ascii="Arial" w:cs="Arial" w:eastAsia="Arial" w:hAnsi="Arial"/>
          <w:sz w:val="17"/>
          <w:szCs w:val="17"/>
          <w:color w:val="000000"/>
        </w:rPr>
        <w:t>increased 10.2% in 3Q18 compared to 3Q17, mainly driven by growth in our South American operations as well as a continuation of</w:t>
      </w:r>
      <w:r>
        <w:rPr>
          <w:rFonts w:ascii="Arial" w:cs="Arial" w:eastAsia="Arial" w:hAnsi="Arial"/>
          <w:sz w:val="17"/>
          <w:szCs w:val="17"/>
          <w:b w:val="1"/>
          <w:bCs w:val="1"/>
          <w:color w:val="990033"/>
        </w:rPr>
        <w:t xml:space="preserve"> </w:t>
      </w:r>
      <w:r>
        <w:rPr>
          <w:rFonts w:ascii="Arial" w:cs="Arial" w:eastAsia="Arial" w:hAnsi="Arial"/>
          <w:sz w:val="17"/>
          <w:szCs w:val="17"/>
          <w:color w:val="000000"/>
        </w:rPr>
        <w:t>gradually improving trends in Mexico. As of September 30, 2018, FEMSA Comercio’s Health Division had a total of 2,303 points of sale across our territories. This figure reflects the addition of 52 net new stores, including a small acquisition in Colombia to reach 125 total net new stores for the last twelve months. Same-store sales for drugstores increased an average of 6.3%, which includes a positive currency translation effect related to the depreciation of the Mexican peso compared to the Chilean and Colombian pesos in our operations in South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8" w:lineRule="exact"/>
        <w:rPr>
          <w:sz w:val="20"/>
          <w:szCs w:val="20"/>
          <w:color w:val="auto"/>
        </w:rPr>
      </w:pPr>
    </w:p>
    <w:p>
      <w:pPr>
        <w:ind w:firstLine="8"/>
        <w:spacing w:after="0" w:line="194" w:lineRule="auto"/>
        <w:tabs>
          <w:tab w:leader="none" w:pos="133"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Excludes the effects of significant mergers and acquisitions in the last twelve months. For this quarter, it includes the consolidation of Caffenio, our sole coffee supplier in Mexico, which we now control with 50% share ownership.</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-136525</wp:posOffset>
            </wp:positionV>
            <wp:extent cx="1715135"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5" w:name="page6"/>
    <w:bookmarkEnd w:id="5"/>
    <w:p>
      <w:pPr>
        <w:jc w:val="both"/>
        <w:spacing w:after="0" w:line="282" w:lineRule="auto"/>
        <w:rPr>
          <w:sz w:val="20"/>
          <w:szCs w:val="20"/>
          <w:color w:val="auto"/>
        </w:rPr>
      </w:pPr>
      <w:r>
        <w:rPr>
          <w:rFonts w:ascii="Arial" w:cs="Arial" w:eastAsia="Arial" w:hAnsi="Arial"/>
          <w:sz w:val="18"/>
          <w:szCs w:val="18"/>
          <w:b w:val="1"/>
          <w:bCs w:val="1"/>
          <w:color w:val="990033"/>
        </w:rPr>
        <w:t xml:space="preserve">Gross profit </w:t>
      </w:r>
      <w:r>
        <w:rPr>
          <w:rFonts w:ascii="Arial" w:cs="Arial" w:eastAsia="Arial" w:hAnsi="Arial"/>
          <w:sz w:val="18"/>
          <w:szCs w:val="18"/>
          <w:color w:val="000000"/>
        </w:rPr>
        <w:t>increased 11.8%, resulting in a gross margin expansion of 40 basis points to 30.3% of total revenues. This increase reflects commercial activity</w:t>
      </w:r>
      <w:r>
        <w:rPr>
          <w:rFonts w:ascii="Arial" w:cs="Arial" w:eastAsia="Arial" w:hAnsi="Arial"/>
          <w:sz w:val="18"/>
          <w:szCs w:val="18"/>
          <w:b w:val="1"/>
          <w:bCs w:val="1"/>
          <w:color w:val="990033"/>
        </w:rPr>
        <w:t xml:space="preserve"> </w:t>
      </w:r>
      <w:r>
        <w:rPr>
          <w:rFonts w:ascii="Arial" w:cs="Arial" w:eastAsia="Arial" w:hAnsi="Arial"/>
          <w:sz w:val="18"/>
          <w:szCs w:val="18"/>
          <w:color w:val="000000"/>
        </w:rPr>
        <w:t>driving positive margin mix and volume, as well as more effective execution across markets, mainly in South America.</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990033"/>
        </w:rPr>
        <w:t xml:space="preserve">Income from operations </w:t>
      </w:r>
      <w:r>
        <w:rPr>
          <w:rFonts w:ascii="Arial" w:cs="Arial" w:eastAsia="Arial" w:hAnsi="Arial"/>
          <w:sz w:val="18"/>
          <w:szCs w:val="18"/>
          <w:color w:val="000000"/>
        </w:rPr>
        <w:t>grew 29.5%. Operating expenses increased 9.4% to Ps. 3,272 million, below revenues. Operating margin increased 60 basis points</w:t>
      </w:r>
      <w:r>
        <w:rPr>
          <w:rFonts w:ascii="Arial" w:cs="Arial" w:eastAsia="Arial" w:hAnsi="Arial"/>
          <w:sz w:val="18"/>
          <w:szCs w:val="18"/>
          <w:b w:val="1"/>
          <w:bCs w:val="1"/>
          <w:color w:val="990033"/>
        </w:rPr>
        <w:t xml:space="preserve"> </w:t>
      </w:r>
      <w:r>
        <w:rPr>
          <w:rFonts w:ascii="Arial" w:cs="Arial" w:eastAsia="Arial" w:hAnsi="Arial"/>
          <w:sz w:val="18"/>
          <w:szCs w:val="18"/>
          <w:color w:val="000000"/>
        </w:rPr>
        <w:t>to 4.3% of total revenues reflecting the sales growth and gross margin expansion as described above, combined with: i) the strength of the Chilean and Colombian pesos relative to the Mexican peso during the third quarter; and ii) increased operating leverage generated by cost efficiencies and tight expense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FEMSA COMERCIO – FUEL DIVISION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 – FUEL DIVISION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3Q18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Ps. except same-stations sales)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3Q18</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3Q17</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Var.</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Same-station sales (thousands of Ps.)</w:t>
            </w:r>
          </w:p>
        </w:tc>
        <w:tc>
          <w:tcPr>
            <w:tcW w:w="2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8,742</w:t>
            </w: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8,163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12,196</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9,624</w:t>
            </w:r>
          </w:p>
        </w:tc>
        <w:tc>
          <w:tcPr>
            <w:tcW w:w="9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133</w:t>
            </w: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i w:val="1"/>
                <w:iCs w:val="1"/>
                <w:color w:val="auto"/>
              </w:rPr>
              <w:t>Income from Operations Margin (%)</w:t>
            </w:r>
          </w:p>
        </w:tc>
        <w:tc>
          <w:tcPr>
            <w:tcW w:w="2280" w:type="dxa"/>
            <w:vAlign w:val="bottom"/>
          </w:tcPr>
          <w:p>
            <w:pPr>
              <w:jc w:val="right"/>
              <w:ind w:right="290"/>
              <w:spacing w:after="0"/>
              <w:rPr>
                <w:sz w:val="20"/>
                <w:szCs w:val="20"/>
                <w:color w:val="auto"/>
              </w:rPr>
            </w:pPr>
            <w:r>
              <w:rPr>
                <w:rFonts w:ascii="Arial" w:cs="Arial" w:eastAsia="Arial" w:hAnsi="Arial"/>
                <w:sz w:val="18"/>
                <w:szCs w:val="18"/>
                <w:i w:val="1"/>
                <w:iCs w:val="1"/>
                <w:color w:val="auto"/>
              </w:rPr>
              <w:t>1.1</w:t>
            </w:r>
          </w:p>
        </w:tc>
        <w:tc>
          <w:tcPr>
            <w:tcW w:w="1100" w:type="dxa"/>
            <w:vAlign w:val="bottom"/>
          </w:tcPr>
          <w:p>
            <w:pPr>
              <w:jc w:val="right"/>
              <w:ind w:right="250"/>
              <w:spacing w:after="0"/>
              <w:rPr>
                <w:sz w:val="20"/>
                <w:szCs w:val="20"/>
                <w:color w:val="auto"/>
              </w:rPr>
            </w:pPr>
            <w:r>
              <w:rPr>
                <w:rFonts w:ascii="Arial" w:cs="Arial" w:eastAsia="Arial" w:hAnsi="Arial"/>
                <w:sz w:val="18"/>
                <w:szCs w:val="18"/>
                <w:i w:val="1"/>
                <w:iCs w:val="1"/>
                <w:color w:val="auto"/>
              </w:rPr>
              <w:t>1.0</w:t>
            </w:r>
          </w:p>
        </w:tc>
        <w:tc>
          <w:tcPr>
            <w:tcW w:w="980" w:type="dxa"/>
            <w:vAlign w:val="bottom"/>
          </w:tcPr>
          <w:p>
            <w:pPr>
              <w:jc w:val="right"/>
              <w:ind w:right="70"/>
              <w:spacing w:after="0"/>
              <w:rPr>
                <w:sz w:val="20"/>
                <w:szCs w:val="20"/>
                <w:color w:val="auto"/>
              </w:rPr>
            </w:pPr>
            <w:r>
              <w:rPr>
                <w:rFonts w:ascii="Arial" w:cs="Arial" w:eastAsia="Arial" w:hAnsi="Arial"/>
                <w:sz w:val="18"/>
                <w:szCs w:val="18"/>
                <w:i w:val="1"/>
                <w:iCs w:val="1"/>
                <w:color w:val="auto"/>
              </w:rPr>
              <w:t>10 bps</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Operative Cash Flow (EBITDA)</w:t>
            </w:r>
          </w:p>
        </w:tc>
        <w:tc>
          <w:tcPr>
            <w:tcW w:w="2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175</w:t>
            </w:r>
          </w:p>
        </w:tc>
        <w:tc>
          <w:tcPr>
            <w:tcW w:w="1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Operative Cash Flow (EBITDA) Margin (%)</w:t>
            </w:r>
          </w:p>
        </w:tc>
        <w:tc>
          <w:tcPr>
            <w:tcW w:w="2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i w:val="1"/>
                <w:iCs w:val="1"/>
                <w:color w:val="auto"/>
              </w:rPr>
              <w:t>1.4</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1.4</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137160</wp:posOffset>
            </wp:positionV>
            <wp:extent cx="2298065" cy="1414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9806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990033"/>
        </w:rPr>
        <w:t xml:space="preserve">Total revenues </w:t>
      </w:r>
      <w:r>
        <w:rPr>
          <w:rFonts w:ascii="Arial" w:cs="Arial" w:eastAsia="Arial" w:hAnsi="Arial"/>
          <w:sz w:val="18"/>
          <w:szCs w:val="18"/>
          <w:color w:val="000000"/>
        </w:rPr>
        <w:t>increased 26.7% in 3Q18 compared to 3Q17, reflecting the addition of 20 net new OXXO GAS stations in the quarter to reach 122 total net</w:t>
      </w:r>
      <w:r>
        <w:rPr>
          <w:rFonts w:ascii="Arial" w:cs="Arial" w:eastAsia="Arial" w:hAnsi="Arial"/>
          <w:sz w:val="18"/>
          <w:szCs w:val="18"/>
          <w:b w:val="1"/>
          <w:bCs w:val="1"/>
          <w:color w:val="990033"/>
        </w:rPr>
        <w:t xml:space="preserve"> </w:t>
      </w:r>
      <w:r>
        <w:rPr>
          <w:rFonts w:ascii="Arial" w:cs="Arial" w:eastAsia="Arial" w:hAnsi="Arial"/>
          <w:sz w:val="18"/>
          <w:szCs w:val="18"/>
          <w:color w:val="000000"/>
        </w:rPr>
        <w:t>new stations in the last twelve months. As of September 30, 2018, FEMSA Comercio’s Fuel Division had a total of 519 OXXO GAS service stations. Same-station sales increased an average of 7.1%, as average price per liter increased by 19.5%, while average volume decreased 10.4% reflecting consumer reaction to the higher prices and, to a lesser degree, increased competition.</w:t>
      </w:r>
    </w:p>
    <w:p>
      <w:pPr>
        <w:spacing w:after="0" w:line="180"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990033"/>
        </w:rPr>
        <w:t xml:space="preserve">Gross profit </w:t>
      </w:r>
      <w:r>
        <w:rPr>
          <w:rFonts w:ascii="Arial" w:cs="Arial" w:eastAsia="Arial" w:hAnsi="Arial"/>
          <w:sz w:val="16"/>
          <w:szCs w:val="16"/>
          <w:color w:val="000000"/>
        </w:rPr>
        <w:t>increased 47.4%, above revenues, resulting in a gross margin expansion of 120 basis points to 8.7% of total revenues, reflecting improved</w:t>
      </w:r>
      <w:r>
        <w:rPr>
          <w:rFonts w:ascii="Arial" w:cs="Arial" w:eastAsia="Arial" w:hAnsi="Arial"/>
          <w:sz w:val="16"/>
          <w:szCs w:val="16"/>
          <w:b w:val="1"/>
          <w:bCs w:val="1"/>
          <w:color w:val="990033"/>
        </w:rPr>
        <w:t xml:space="preserve"> </w:t>
      </w:r>
      <w:r>
        <w:rPr>
          <w:rFonts w:ascii="Arial" w:cs="Arial" w:eastAsia="Arial" w:hAnsi="Arial"/>
          <w:sz w:val="16"/>
          <w:szCs w:val="16"/>
          <w:color w:val="000000"/>
        </w:rPr>
        <w:t>supply terms and a recovery from a low comparable base as gross profit per liter was held flat in 3Q17 in peso terms in some of our territories.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990033"/>
        </w:rPr>
        <w:t xml:space="preserve">Income from operations </w:t>
      </w:r>
      <w:r>
        <w:rPr>
          <w:rFonts w:ascii="Arial" w:cs="Arial" w:eastAsia="Arial" w:hAnsi="Arial"/>
          <w:sz w:val="18"/>
          <w:szCs w:val="18"/>
          <w:color w:val="000000"/>
        </w:rPr>
        <w:t>increased 41.5%. Operating expenses increased 48.3% to Ps. 927 million, above revenues, reflecting higher labor costs</w:t>
      </w:r>
      <w:r>
        <w:rPr>
          <w:rFonts w:ascii="Arial" w:cs="Arial" w:eastAsia="Arial" w:hAnsi="Arial"/>
          <w:sz w:val="18"/>
          <w:szCs w:val="18"/>
          <w:b w:val="1"/>
          <w:bCs w:val="1"/>
          <w:color w:val="990033"/>
        </w:rPr>
        <w:t xml:space="preserve"> </w:t>
      </w:r>
      <w:r>
        <w:rPr>
          <w:rFonts w:ascii="Arial" w:cs="Arial" w:eastAsia="Arial" w:hAnsi="Arial"/>
          <w:sz w:val="18"/>
          <w:szCs w:val="18"/>
          <w:color w:val="000000"/>
        </w:rPr>
        <w:t>implemented to reduce turnover and a one-off provision related to institutional customers. In spite of this, operating margin recovered 10 basis points to 1.1% of total revenues.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-128270</wp:posOffset>
            </wp:positionV>
            <wp:extent cx="171513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5746115"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74611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990033"/>
        </w:rPr>
        <w:t>Results are compared to the same period of previous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FEMSA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Summary for the First Nine Months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Ps.)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4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Var.</w:t>
            </w: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Org.</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343,038</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326,533</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28,306</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26,668</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6.1%</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Income from Operations Margin (%)</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i w:val="1"/>
                <w:iCs w:val="1"/>
                <w:color w:val="auto"/>
              </w:rPr>
              <w:t>8.3</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8.2</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i w:val="1"/>
                <w:iCs w:val="1"/>
                <w:color w:val="auto"/>
              </w:rPr>
              <w:t>10 bps</w:t>
            </w: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Operative Cash Flow (EBITDA)</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42,001</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41,130</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Operative Cash Flow (EBITDA) Margin (%)</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i w:val="1"/>
                <w:iCs w:val="1"/>
                <w:color w:val="auto"/>
              </w:rPr>
              <w:t>12.2</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12.6</w:t>
            </w: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i w:val="1"/>
                <w:iCs w:val="1"/>
                <w:color w:val="auto"/>
              </w:rPr>
              <w:t>-40 bps</w:t>
            </w:r>
          </w:p>
        </w:tc>
        <w:tc>
          <w:tcPr>
            <w:tcW w:w="94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18,593</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45,693</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(59.3)%</w:t>
            </w:r>
          </w:p>
        </w:tc>
        <w:tc>
          <w:tcPr>
            <w:tcW w:w="940" w:type="dxa"/>
            <w:vAlign w:val="bottom"/>
            <w:tcBorders>
              <w:bottom w:val="single" w:sz="8" w:color="auto"/>
            </w:tcBorders>
          </w:tcPr>
          <w:p>
            <w:pPr>
              <w:spacing w:after="0"/>
              <w:rPr>
                <w:sz w:val="18"/>
                <w:szCs w:val="18"/>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990033"/>
        </w:rPr>
        <w:t xml:space="preserve">Total revenues </w:t>
      </w:r>
      <w:r>
        <w:rPr>
          <w:rFonts w:ascii="Arial" w:cs="Arial" w:eastAsia="Arial" w:hAnsi="Arial"/>
          <w:sz w:val="16"/>
          <w:szCs w:val="16"/>
          <w:color w:val="000000"/>
        </w:rPr>
        <w:t>increased 5.1%, mainly reflecting solid growth at FEMSA Comercio’s three divisions. On an organic basis,</w:t>
      </w:r>
      <w:r>
        <w:rPr>
          <w:rFonts w:ascii="Arial" w:cs="Arial" w:eastAsia="Arial" w:hAnsi="Arial"/>
          <w:sz w:val="26"/>
          <w:szCs w:val="26"/>
          <w:color w:val="000000"/>
          <w:vertAlign w:val="superscript"/>
        </w:rPr>
        <w:t>1</w:t>
      </w:r>
      <w:r>
        <w:rPr>
          <w:rFonts w:ascii="Arial" w:cs="Arial" w:eastAsia="Arial" w:hAnsi="Arial"/>
          <w:sz w:val="16"/>
          <w:szCs w:val="16"/>
          <w:b w:val="1"/>
          <w:bCs w:val="1"/>
          <w:color w:val="990033"/>
        </w:rPr>
        <w:t xml:space="preserve"> </w:t>
      </w:r>
      <w:r>
        <w:rPr>
          <w:rFonts w:ascii="Arial" w:cs="Arial" w:eastAsia="Arial" w:hAnsi="Arial"/>
          <w:sz w:val="16"/>
          <w:szCs w:val="16"/>
          <w:color w:val="000000"/>
        </w:rPr>
        <w:t>total revenues increased 7.1%.</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990033"/>
        </w:rPr>
        <w:t xml:space="preserve">Gross profit </w:t>
      </w:r>
      <w:r>
        <w:rPr>
          <w:rFonts w:ascii="Arial" w:cs="Arial" w:eastAsia="Arial" w:hAnsi="Arial"/>
          <w:sz w:val="16"/>
          <w:szCs w:val="16"/>
          <w:color w:val="000000"/>
        </w:rPr>
        <w:t>increased 6.9%. Gross margin increased 60 basis points to 36.6% of total revenues, reflecting gross margin expansion across all business units.</w:t>
      </w:r>
    </w:p>
    <w:p>
      <w:pPr>
        <w:spacing w:after="0" w:line="25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color w:val="990033"/>
        </w:rPr>
        <w:t xml:space="preserve">Income from operations </w:t>
      </w:r>
      <w:r>
        <w:rPr>
          <w:rFonts w:ascii="Arial" w:cs="Arial" w:eastAsia="Arial" w:hAnsi="Arial"/>
          <w:sz w:val="18"/>
          <w:szCs w:val="18"/>
          <w:color w:val="000000"/>
        </w:rPr>
        <w:t>increased 6.1%. On an organic basis,</w:t>
      </w:r>
      <w:r>
        <w:rPr>
          <w:rFonts w:ascii="Arial" w:cs="Arial" w:eastAsia="Arial" w:hAnsi="Arial"/>
          <w:sz w:val="30"/>
          <w:szCs w:val="30"/>
          <w:color w:val="000000"/>
          <w:vertAlign w:val="superscript"/>
        </w:rPr>
        <w:t>1</w:t>
      </w:r>
      <w:r>
        <w:rPr>
          <w:rFonts w:ascii="Arial" w:cs="Arial" w:eastAsia="Arial" w:hAnsi="Arial"/>
          <w:sz w:val="18"/>
          <w:szCs w:val="18"/>
          <w:b w:val="1"/>
          <w:bCs w:val="1"/>
          <w:color w:val="990033"/>
        </w:rPr>
        <w:t xml:space="preserve"> </w:t>
      </w:r>
      <w:r>
        <w:rPr>
          <w:rFonts w:ascii="Arial" w:cs="Arial" w:eastAsia="Arial" w:hAnsi="Arial"/>
          <w:sz w:val="18"/>
          <w:szCs w:val="18"/>
          <w:color w:val="000000"/>
        </w:rPr>
        <w:t>income from operations decreased 1.0%. Our consolidated operating margin increased 10</w:t>
      </w:r>
      <w:r>
        <w:rPr>
          <w:rFonts w:ascii="Arial" w:cs="Arial" w:eastAsia="Arial" w:hAnsi="Arial"/>
          <w:sz w:val="18"/>
          <w:szCs w:val="18"/>
          <w:b w:val="1"/>
          <w:bCs w:val="1"/>
          <w:color w:val="990033"/>
        </w:rPr>
        <w:t xml:space="preserve"> </w:t>
      </w:r>
      <w:r>
        <w:rPr>
          <w:rFonts w:ascii="Arial" w:cs="Arial" w:eastAsia="Arial" w:hAnsi="Arial"/>
          <w:sz w:val="18"/>
          <w:szCs w:val="18"/>
          <w:color w:val="000000"/>
        </w:rPr>
        <w:t>basis points to 8.3% of total revenues, reflecting an increase at Coca-Cola FEMSA coupled with margin expansion at FEMSA Comercio´s Health and Fuel Divisions.</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990033"/>
        </w:rPr>
        <w:t xml:space="preserve">Net consolidated income </w:t>
      </w:r>
      <w:r>
        <w:rPr>
          <w:rFonts w:ascii="Arial" w:cs="Arial" w:eastAsia="Arial" w:hAnsi="Arial"/>
          <w:sz w:val="18"/>
          <w:szCs w:val="18"/>
          <w:color w:val="000000"/>
        </w:rPr>
        <w:t>decreased 59.3% to Ps. 18,593 million, reflecting a demanding comparison base caused by the extraordinary non-operating income</w:t>
      </w:r>
      <w:r>
        <w:rPr>
          <w:rFonts w:ascii="Arial" w:cs="Arial" w:eastAsia="Arial" w:hAnsi="Arial"/>
          <w:sz w:val="18"/>
          <w:szCs w:val="18"/>
          <w:b w:val="1"/>
          <w:bCs w:val="1"/>
          <w:color w:val="990033"/>
        </w:rPr>
        <w:t xml:space="preserve"> </w:t>
      </w:r>
      <w:r>
        <w:rPr>
          <w:rFonts w:ascii="Arial" w:cs="Arial" w:eastAsia="Arial" w:hAnsi="Arial"/>
          <w:sz w:val="18"/>
          <w:szCs w:val="18"/>
          <w:color w:val="000000"/>
        </w:rPr>
        <w:t>resulting from the sale of 5.24% of the combined interest in the Heineken Group during 3Q17, offset by growth in our income from operations and lower financing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 xml:space="preserve">Net majority income </w:t>
      </w:r>
      <w:r>
        <w:rPr>
          <w:rFonts w:ascii="Arial" w:cs="Arial" w:eastAsia="Arial" w:hAnsi="Arial"/>
          <w:sz w:val="18"/>
          <w:szCs w:val="18"/>
          <w:color w:val="000000"/>
        </w:rPr>
        <w:t>per FEMSA Unit</w:t>
      </w:r>
      <w:r>
        <w:rPr>
          <w:rFonts w:ascii="Arial" w:cs="Arial" w:eastAsia="Arial" w:hAnsi="Arial"/>
          <w:sz w:val="30"/>
          <w:szCs w:val="30"/>
          <w:color w:val="000000"/>
          <w:vertAlign w:val="superscript"/>
        </w:rPr>
        <w:t>2</w:t>
      </w:r>
      <w:r>
        <w:rPr>
          <w:rFonts w:ascii="Arial" w:cs="Arial" w:eastAsia="Arial" w:hAnsi="Arial"/>
          <w:sz w:val="18"/>
          <w:szCs w:val="18"/>
          <w:b w:val="1"/>
          <w:bCs w:val="1"/>
          <w:color w:val="990033"/>
        </w:rPr>
        <w:t xml:space="preserve"> </w:t>
      </w:r>
      <w:r>
        <w:rPr>
          <w:rFonts w:ascii="Arial" w:cs="Arial" w:eastAsia="Arial" w:hAnsi="Arial"/>
          <w:sz w:val="18"/>
          <w:szCs w:val="18"/>
          <w:color w:val="000000"/>
        </w:rPr>
        <w:t>was Ps. 3.70 (US$ 1.98 per ADS).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 xml:space="preserve">Capital expenditures </w:t>
      </w:r>
      <w:r>
        <w:rPr>
          <w:rFonts w:ascii="Arial" w:cs="Arial" w:eastAsia="Arial" w:hAnsi="Arial"/>
          <w:sz w:val="18"/>
          <w:szCs w:val="18"/>
          <w:color w:val="000000"/>
        </w:rPr>
        <w:t>amounted to Ps. 16,533 million, reflecting higher investments at FEMSA Comercio’s three divisions.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5" w:lineRule="exact"/>
        <w:rPr>
          <w:sz w:val="20"/>
          <w:szCs w:val="20"/>
          <w:color w:val="auto"/>
        </w:rPr>
      </w:pPr>
    </w:p>
    <w:p>
      <w:pPr>
        <w:ind w:firstLine="8"/>
        <w:spacing w:after="0" w:line="207" w:lineRule="auto"/>
        <w:tabs>
          <w:tab w:leader="none" w:pos="137"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Excludes the effects of significant mergers and acquisitions in the last twelve months and the results of Coca-Cola FEMSA Venezuela in 2017. For this quarter, it includes the consolidation of Caffenio, our sole coffee supplier in Mexico, which we now control with 50% share ownership.</w:t>
      </w:r>
    </w:p>
    <w:p>
      <w:pPr>
        <w:spacing w:after="0" w:line="26" w:lineRule="exact"/>
        <w:rPr>
          <w:sz w:val="20"/>
          <w:szCs w:val="20"/>
          <w:color w:val="auto"/>
        </w:rPr>
      </w:pPr>
    </w:p>
    <w:p>
      <w:pPr>
        <w:jc w:val="both"/>
        <w:ind w:firstLine="8"/>
        <w:spacing w:after="0" w:line="209" w:lineRule="auto"/>
        <w:tabs>
          <w:tab w:leader="none" w:pos="128"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FEMSA Units consist of FEMSA BD Units and FEMSA B Units. Each FEMSA BD Unit is comprised of one Series B Share, two Series D-B Shares and two Series D-L Shares. Each FEMSA B Unit is comprised of five Series B Shares. The number of FEMSA Units outstanding as of September 30, 2018 was 3,578,226,270, equivalent to the total number of FEMSA Shares outstanding as of the same date, divided by 5.</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-136525</wp:posOffset>
            </wp:positionV>
            <wp:extent cx="171513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990033"/>
        </w:rPr>
        <w:t>FEMSA COMERCIO – PROXIMITY DIVISION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 – PROXIMITY DIVISION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Summary for the First Nine Months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Ps. except same-stores sales)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3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Var.</w:t>
            </w: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Org.</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Same-store sales (thousands of Ps.)</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781</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740</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5.5%</w:t>
            </w: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124,101</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110,790</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12.0%</w:t>
            </w: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9,169</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8,219</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i w:val="1"/>
                <w:iCs w:val="1"/>
                <w:color w:val="auto"/>
              </w:rPr>
              <w:t>Income from Operations Margin (%)</w:t>
            </w:r>
          </w:p>
        </w:tc>
        <w:tc>
          <w:tcPr>
            <w:tcW w:w="1620" w:type="dxa"/>
            <w:vAlign w:val="bottom"/>
          </w:tcPr>
          <w:p>
            <w:pPr>
              <w:jc w:val="right"/>
              <w:ind w:right="190"/>
              <w:spacing w:after="0"/>
              <w:rPr>
                <w:sz w:val="20"/>
                <w:szCs w:val="20"/>
                <w:color w:val="auto"/>
              </w:rPr>
            </w:pPr>
            <w:r>
              <w:rPr>
                <w:rFonts w:ascii="Arial" w:cs="Arial" w:eastAsia="Arial" w:hAnsi="Arial"/>
                <w:sz w:val="18"/>
                <w:szCs w:val="18"/>
                <w:i w:val="1"/>
                <w:iCs w:val="1"/>
                <w:color w:val="auto"/>
              </w:rPr>
              <w:t>7.4</w:t>
            </w:r>
          </w:p>
        </w:tc>
        <w:tc>
          <w:tcPr>
            <w:tcW w:w="1200" w:type="dxa"/>
            <w:vAlign w:val="bottom"/>
          </w:tcPr>
          <w:p>
            <w:pPr>
              <w:jc w:val="right"/>
              <w:ind w:right="250"/>
              <w:spacing w:after="0"/>
              <w:rPr>
                <w:sz w:val="20"/>
                <w:szCs w:val="20"/>
                <w:color w:val="auto"/>
              </w:rPr>
            </w:pPr>
            <w:r>
              <w:rPr>
                <w:rFonts w:ascii="Arial" w:cs="Arial" w:eastAsia="Arial" w:hAnsi="Arial"/>
                <w:sz w:val="18"/>
                <w:szCs w:val="18"/>
                <w:i w:val="1"/>
                <w:iCs w:val="1"/>
                <w:color w:val="auto"/>
              </w:rPr>
              <w:t>7.4</w:t>
            </w:r>
          </w:p>
        </w:tc>
        <w:tc>
          <w:tcPr>
            <w:tcW w:w="1320" w:type="dxa"/>
            <w:vAlign w:val="bottom"/>
          </w:tcPr>
          <w:p>
            <w:pPr>
              <w:jc w:val="right"/>
              <w:ind w:right="430"/>
              <w:spacing w:after="0"/>
              <w:rPr>
                <w:sz w:val="20"/>
                <w:szCs w:val="20"/>
                <w:color w:val="auto"/>
              </w:rPr>
            </w:pPr>
            <w:r>
              <w:rPr>
                <w:rFonts w:ascii="Arial" w:cs="Arial" w:eastAsia="Arial" w:hAnsi="Arial"/>
                <w:sz w:val="18"/>
                <w:szCs w:val="18"/>
                <w:i w:val="1"/>
                <w:iCs w:val="1"/>
                <w:color w:val="auto"/>
              </w:rPr>
              <w:t>0 bps</w:t>
            </w: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Operative Cash Flow (EBITDA)</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13,055</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11,492</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Operative Cash Flow (EBITDA) Margin (%)</w:t>
            </w: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10.5</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10.4</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i w:val="1"/>
                <w:iCs w:val="1"/>
                <w:color w:val="auto"/>
              </w:rPr>
              <w:t>10 bps</w:t>
            </w:r>
          </w:p>
        </w:tc>
        <w:tc>
          <w:tcPr>
            <w:tcW w:w="88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spacing w:after="0" w:line="283" w:lineRule="auto"/>
        <w:rPr>
          <w:sz w:val="20"/>
          <w:szCs w:val="20"/>
          <w:color w:val="auto"/>
        </w:rPr>
      </w:pPr>
      <w:r>
        <w:rPr>
          <w:rFonts w:ascii="Arial" w:cs="Arial" w:eastAsia="Arial" w:hAnsi="Arial"/>
          <w:sz w:val="18"/>
          <w:szCs w:val="18"/>
          <w:b w:val="1"/>
          <w:bCs w:val="1"/>
          <w:color w:val="990033"/>
        </w:rPr>
        <w:t xml:space="preserve">Total revenues </w:t>
      </w:r>
      <w:r>
        <w:rPr>
          <w:rFonts w:ascii="Arial" w:cs="Arial" w:eastAsia="Arial" w:hAnsi="Arial"/>
          <w:sz w:val="18"/>
          <w:szCs w:val="18"/>
          <w:color w:val="000000"/>
        </w:rPr>
        <w:t>increased 12.0%. OXXO’s same-store sales increased an average of 5.5%, driven by a 3.5% increase in average customer ticket and a 1.9%</w:t>
      </w:r>
      <w:r>
        <w:rPr>
          <w:rFonts w:ascii="Arial" w:cs="Arial" w:eastAsia="Arial" w:hAnsi="Arial"/>
          <w:sz w:val="18"/>
          <w:szCs w:val="18"/>
          <w:b w:val="1"/>
          <w:bCs w:val="1"/>
          <w:color w:val="990033"/>
        </w:rPr>
        <w:t xml:space="preserve"> </w:t>
      </w:r>
      <w:r>
        <w:rPr>
          <w:rFonts w:ascii="Arial" w:cs="Arial" w:eastAsia="Arial" w:hAnsi="Arial"/>
          <w:sz w:val="18"/>
          <w:szCs w:val="18"/>
          <w:color w:val="000000"/>
        </w:rPr>
        <w:t>increase in store traffic. On an organic basis,</w:t>
      </w:r>
      <w:r>
        <w:rPr>
          <w:rFonts w:ascii="Arial" w:cs="Arial" w:eastAsia="Arial" w:hAnsi="Arial"/>
          <w:sz w:val="30"/>
          <w:szCs w:val="30"/>
          <w:color w:val="000000"/>
          <w:vertAlign w:val="superscript"/>
        </w:rPr>
        <w:t>1</w:t>
      </w:r>
      <w:r>
        <w:rPr>
          <w:rFonts w:ascii="Arial" w:cs="Arial" w:eastAsia="Arial" w:hAnsi="Arial"/>
          <w:sz w:val="18"/>
          <w:szCs w:val="18"/>
          <w:color w:val="000000"/>
        </w:rPr>
        <w:t xml:space="preserve"> total revenues increased 11.8%.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 xml:space="preserve">Gross profit </w:t>
      </w:r>
      <w:r>
        <w:rPr>
          <w:rFonts w:ascii="Arial" w:cs="Arial" w:eastAsia="Arial" w:hAnsi="Arial"/>
          <w:sz w:val="18"/>
          <w:szCs w:val="18"/>
          <w:color w:val="000000"/>
        </w:rPr>
        <w:t>increased 15.7%. Gross margin expanded by 120 basis points to 37.6% of total revenues.</w:t>
      </w:r>
    </w:p>
    <w:p>
      <w:pPr>
        <w:spacing w:after="0" w:line="233" w:lineRule="exact"/>
        <w:rPr>
          <w:sz w:val="20"/>
          <w:szCs w:val="20"/>
          <w:color w:val="auto"/>
        </w:rPr>
      </w:pPr>
    </w:p>
    <w:p>
      <w:pPr>
        <w:ind w:right="20"/>
        <w:spacing w:after="0" w:line="210" w:lineRule="auto"/>
        <w:rPr>
          <w:sz w:val="20"/>
          <w:szCs w:val="20"/>
          <w:color w:val="auto"/>
        </w:rPr>
      </w:pPr>
      <w:r>
        <w:rPr>
          <w:rFonts w:ascii="Arial" w:cs="Arial" w:eastAsia="Arial" w:hAnsi="Arial"/>
          <w:sz w:val="18"/>
          <w:szCs w:val="18"/>
          <w:b w:val="1"/>
          <w:bCs w:val="1"/>
          <w:color w:val="990033"/>
        </w:rPr>
        <w:t xml:space="preserve">Income from operations </w:t>
      </w:r>
      <w:r>
        <w:rPr>
          <w:rFonts w:ascii="Arial" w:cs="Arial" w:eastAsia="Arial" w:hAnsi="Arial"/>
          <w:sz w:val="18"/>
          <w:szCs w:val="18"/>
          <w:color w:val="000000"/>
        </w:rPr>
        <w:t>increased 11.6% resulting in an operating margin of 7.4%, in line with 2017. On an organic basis,</w:t>
      </w:r>
      <w:r>
        <w:rPr>
          <w:rFonts w:ascii="Arial" w:cs="Arial" w:eastAsia="Arial" w:hAnsi="Arial"/>
          <w:sz w:val="30"/>
          <w:szCs w:val="30"/>
          <w:color w:val="000000"/>
          <w:vertAlign w:val="superscript"/>
        </w:rPr>
        <w:t>1</w:t>
      </w:r>
      <w:r>
        <w:rPr>
          <w:rFonts w:ascii="Arial" w:cs="Arial" w:eastAsia="Arial" w:hAnsi="Arial"/>
          <w:sz w:val="18"/>
          <w:szCs w:val="18"/>
          <w:b w:val="1"/>
          <w:bCs w:val="1"/>
          <w:color w:val="990033"/>
        </w:rPr>
        <w:t xml:space="preserve"> </w:t>
      </w:r>
      <w:r>
        <w:rPr>
          <w:rFonts w:ascii="Arial" w:cs="Arial" w:eastAsia="Arial" w:hAnsi="Arial"/>
          <w:sz w:val="18"/>
          <w:szCs w:val="18"/>
          <w:color w:val="000000"/>
        </w:rPr>
        <w:t>income from operations</w:t>
      </w:r>
      <w:r>
        <w:rPr>
          <w:rFonts w:ascii="Arial" w:cs="Arial" w:eastAsia="Arial" w:hAnsi="Arial"/>
          <w:sz w:val="18"/>
          <w:szCs w:val="18"/>
          <w:b w:val="1"/>
          <w:bCs w:val="1"/>
          <w:color w:val="990033"/>
        </w:rPr>
        <w:t xml:space="preserve"> </w:t>
      </w:r>
      <w:r>
        <w:rPr>
          <w:rFonts w:ascii="Arial" w:cs="Arial" w:eastAsia="Arial" w:hAnsi="Arial"/>
          <w:sz w:val="18"/>
          <w:szCs w:val="18"/>
          <w:color w:val="000000"/>
        </w:rPr>
        <w:t>increased 10.3%.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FEMSA COMERCIO – HEALTH DIVISION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 – HEALTH DIVISION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Summary for the First Nine Months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Ps. except same-stores sales)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1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Var.</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Same-store sales (thousands of Ps.)</w:t>
            </w:r>
          </w:p>
        </w:tc>
        <w:tc>
          <w:tcPr>
            <w:tcW w:w="2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1,571</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1,479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20" w:type="dxa"/>
            <w:vAlign w:val="bottom"/>
          </w:tcPr>
          <w:p>
            <w:pPr>
              <w:jc w:val="right"/>
              <w:ind w:right="230"/>
              <w:spacing w:after="0"/>
              <w:rPr>
                <w:sz w:val="20"/>
                <w:szCs w:val="20"/>
                <w:color w:val="auto"/>
              </w:rPr>
            </w:pPr>
            <w:r>
              <w:rPr>
                <w:rFonts w:ascii="Arial" w:cs="Arial" w:eastAsia="Arial" w:hAnsi="Arial"/>
                <w:sz w:val="18"/>
                <w:szCs w:val="18"/>
                <w:color w:val="auto"/>
              </w:rPr>
              <w:t>38,396</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34,850</w:t>
            </w: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1,454</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996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i w:val="1"/>
                <w:iCs w:val="1"/>
                <w:color w:val="auto"/>
              </w:rPr>
              <w:t>Income from Operations Margin (%)</w:t>
            </w:r>
          </w:p>
        </w:tc>
        <w:tc>
          <w:tcPr>
            <w:tcW w:w="2220" w:type="dxa"/>
            <w:vAlign w:val="bottom"/>
          </w:tcPr>
          <w:p>
            <w:pPr>
              <w:jc w:val="right"/>
              <w:ind w:right="230"/>
              <w:spacing w:after="0"/>
              <w:rPr>
                <w:sz w:val="20"/>
                <w:szCs w:val="20"/>
                <w:color w:val="auto"/>
              </w:rPr>
            </w:pPr>
            <w:r>
              <w:rPr>
                <w:rFonts w:ascii="Arial" w:cs="Arial" w:eastAsia="Arial" w:hAnsi="Arial"/>
                <w:sz w:val="18"/>
                <w:szCs w:val="18"/>
                <w:i w:val="1"/>
                <w:iCs w:val="1"/>
                <w:color w:val="auto"/>
              </w:rPr>
              <w:t>3.8</w:t>
            </w:r>
          </w:p>
        </w:tc>
        <w:tc>
          <w:tcPr>
            <w:tcW w:w="1160" w:type="dxa"/>
            <w:vAlign w:val="bottom"/>
          </w:tcPr>
          <w:p>
            <w:pPr>
              <w:jc w:val="right"/>
              <w:ind w:right="250"/>
              <w:spacing w:after="0"/>
              <w:rPr>
                <w:sz w:val="20"/>
                <w:szCs w:val="20"/>
                <w:color w:val="auto"/>
              </w:rPr>
            </w:pPr>
            <w:r>
              <w:rPr>
                <w:rFonts w:ascii="Arial" w:cs="Arial" w:eastAsia="Arial" w:hAnsi="Arial"/>
                <w:sz w:val="18"/>
                <w:szCs w:val="18"/>
                <w:i w:val="1"/>
                <w:iCs w:val="1"/>
                <w:color w:val="auto"/>
              </w:rPr>
              <w:t>2.9</w:t>
            </w:r>
          </w:p>
        </w:tc>
        <w:tc>
          <w:tcPr>
            <w:tcW w:w="980" w:type="dxa"/>
            <w:vAlign w:val="bottom"/>
          </w:tcPr>
          <w:p>
            <w:pPr>
              <w:jc w:val="right"/>
              <w:ind w:right="70"/>
              <w:spacing w:after="0"/>
              <w:rPr>
                <w:sz w:val="20"/>
                <w:szCs w:val="20"/>
                <w:color w:val="auto"/>
              </w:rPr>
            </w:pPr>
            <w:r>
              <w:rPr>
                <w:rFonts w:ascii="Arial" w:cs="Arial" w:eastAsia="Arial" w:hAnsi="Arial"/>
                <w:sz w:val="18"/>
                <w:szCs w:val="18"/>
                <w:i w:val="1"/>
                <w:iCs w:val="1"/>
                <w:color w:val="auto"/>
              </w:rPr>
              <w:t>90 bps</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Operative Cash Flow (EBITDA)</w:t>
            </w:r>
          </w:p>
        </w:tc>
        <w:tc>
          <w:tcPr>
            <w:tcW w:w="2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2,206</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1,694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Operative Cash Flow (EBITDA) Margin (%)</w:t>
            </w:r>
          </w:p>
        </w:tc>
        <w:tc>
          <w:tcPr>
            <w:tcW w:w="2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i w:val="1"/>
                <w:iCs w:val="1"/>
                <w:color w:val="auto"/>
              </w:rPr>
              <w:t>5.7</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4.9</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80 bps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 xml:space="preserve">Total revenues </w:t>
      </w:r>
      <w:r>
        <w:rPr>
          <w:rFonts w:ascii="Arial" w:cs="Arial" w:eastAsia="Arial" w:hAnsi="Arial"/>
          <w:sz w:val="18"/>
          <w:szCs w:val="18"/>
          <w:color w:val="000000"/>
        </w:rPr>
        <w:t>increased 10.2%. Same-store sales for drugstores increased by an average of 6.2%.</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990033"/>
        </w:rPr>
        <w:t xml:space="preserve">Gross profit </w:t>
      </w:r>
      <w:r>
        <w:rPr>
          <w:rFonts w:ascii="Arial" w:cs="Arial" w:eastAsia="Arial" w:hAnsi="Arial"/>
          <w:sz w:val="18"/>
          <w:szCs w:val="18"/>
          <w:color w:val="000000"/>
        </w:rPr>
        <w:t>increased 14.1%. Gross margin expanded by 100 basis points to 30.2% of total revenues, driven by more efficient and effective commercial</w:t>
      </w:r>
      <w:r>
        <w:rPr>
          <w:rFonts w:ascii="Arial" w:cs="Arial" w:eastAsia="Arial" w:hAnsi="Arial"/>
          <w:sz w:val="18"/>
          <w:szCs w:val="18"/>
          <w:b w:val="1"/>
          <w:bCs w:val="1"/>
          <w:color w:val="990033"/>
        </w:rPr>
        <w:t xml:space="preserve"> </w:t>
      </w:r>
      <w:r>
        <w:rPr>
          <w:rFonts w:ascii="Arial" w:cs="Arial" w:eastAsia="Arial" w:hAnsi="Arial"/>
          <w:sz w:val="18"/>
          <w:szCs w:val="18"/>
          <w:color w:val="000000"/>
        </w:rPr>
        <w:t>activity, particularly in South America, and to benefits that are gradually beginning to materialize in Mexico from our integration into a single operating platform.</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990033"/>
        </w:rPr>
        <w:t xml:space="preserve">Income from operations </w:t>
      </w:r>
      <w:r>
        <w:rPr>
          <w:rFonts w:ascii="Arial" w:cs="Arial" w:eastAsia="Arial" w:hAnsi="Arial"/>
          <w:sz w:val="18"/>
          <w:szCs w:val="18"/>
          <w:color w:val="000000"/>
        </w:rPr>
        <w:t>increased 46.0% resulting in an operating margin of 3.8%, which represents an expansion of 90 basis points, due to increased</w:t>
      </w:r>
      <w:r>
        <w:rPr>
          <w:rFonts w:ascii="Arial" w:cs="Arial" w:eastAsia="Arial" w:hAnsi="Arial"/>
          <w:sz w:val="18"/>
          <w:szCs w:val="18"/>
          <w:b w:val="1"/>
          <w:bCs w:val="1"/>
          <w:color w:val="990033"/>
        </w:rPr>
        <w:t xml:space="preserve"> </w:t>
      </w:r>
      <w:r>
        <w:rPr>
          <w:rFonts w:ascii="Arial" w:cs="Arial" w:eastAsia="Arial" w:hAnsi="Arial"/>
          <w:sz w:val="18"/>
          <w:szCs w:val="18"/>
          <w:color w:val="000000"/>
        </w:rPr>
        <w:t>operating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1" w:lineRule="exact"/>
        <w:rPr>
          <w:sz w:val="20"/>
          <w:szCs w:val="20"/>
          <w:color w:val="auto"/>
        </w:rPr>
      </w:pPr>
    </w:p>
    <w:p>
      <w:pPr>
        <w:ind w:firstLine="8"/>
        <w:spacing w:after="0" w:line="194" w:lineRule="auto"/>
        <w:tabs>
          <w:tab w:leader="none" w:pos="133"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Excludes the effects of significant mergers and acquisitions in the last twelve months. For this quarter, it includes the consolidation of Caffenio, our sole coffee supplier in Mexico, which we now control with 50% share ownership.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-136525</wp:posOffset>
            </wp:positionV>
            <wp:extent cx="171513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990033"/>
        </w:rPr>
        <w:t>FEMSA COMERCIO – FUEL DIVISION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 – FUEL DIVISION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Summary for the First Nine Months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Ps. except same-stations sales)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Var.</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Same-station sales (thousands of Ps.)</w:t>
            </w:r>
          </w:p>
        </w:tc>
        <w:tc>
          <w:tcPr>
            <w:tcW w:w="2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8,475</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8,051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40" w:type="dxa"/>
            <w:vAlign w:val="bottom"/>
          </w:tcPr>
          <w:p>
            <w:pPr>
              <w:jc w:val="right"/>
              <w:ind w:right="250"/>
              <w:spacing w:after="0"/>
              <w:rPr>
                <w:sz w:val="20"/>
                <w:szCs w:val="20"/>
                <w:color w:val="auto"/>
              </w:rPr>
            </w:pPr>
            <w:r>
              <w:rPr>
                <w:rFonts w:ascii="Arial" w:cs="Arial" w:eastAsia="Arial" w:hAnsi="Arial"/>
                <w:sz w:val="18"/>
                <w:szCs w:val="18"/>
                <w:color w:val="auto"/>
              </w:rPr>
              <w:t>34,300</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28,211</w:t>
            </w: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352</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i w:val="1"/>
                <w:iCs w:val="1"/>
                <w:color w:val="auto"/>
              </w:rPr>
              <w:t>Income from Operations Margin (%)</w:t>
            </w:r>
          </w:p>
        </w:tc>
        <w:tc>
          <w:tcPr>
            <w:tcW w:w="2240" w:type="dxa"/>
            <w:vAlign w:val="bottom"/>
          </w:tcPr>
          <w:p>
            <w:pPr>
              <w:jc w:val="right"/>
              <w:ind w:right="250"/>
              <w:spacing w:after="0"/>
              <w:rPr>
                <w:sz w:val="20"/>
                <w:szCs w:val="20"/>
                <w:color w:val="auto"/>
              </w:rPr>
            </w:pPr>
            <w:r>
              <w:rPr>
                <w:rFonts w:ascii="Arial" w:cs="Arial" w:eastAsia="Arial" w:hAnsi="Arial"/>
                <w:sz w:val="18"/>
                <w:szCs w:val="18"/>
                <w:i w:val="1"/>
                <w:iCs w:val="1"/>
                <w:color w:val="auto"/>
              </w:rPr>
              <w:t>1.0</w:t>
            </w:r>
          </w:p>
        </w:tc>
        <w:tc>
          <w:tcPr>
            <w:tcW w:w="1140" w:type="dxa"/>
            <w:vAlign w:val="bottom"/>
          </w:tcPr>
          <w:p>
            <w:pPr>
              <w:jc w:val="right"/>
              <w:ind w:right="250"/>
              <w:spacing w:after="0"/>
              <w:rPr>
                <w:sz w:val="20"/>
                <w:szCs w:val="20"/>
                <w:color w:val="auto"/>
              </w:rPr>
            </w:pPr>
            <w:r>
              <w:rPr>
                <w:rFonts w:ascii="Arial" w:cs="Arial" w:eastAsia="Arial" w:hAnsi="Arial"/>
                <w:sz w:val="18"/>
                <w:szCs w:val="18"/>
                <w:i w:val="1"/>
                <w:iCs w:val="1"/>
                <w:color w:val="auto"/>
              </w:rPr>
              <w:t>0.6</w:t>
            </w:r>
          </w:p>
        </w:tc>
        <w:tc>
          <w:tcPr>
            <w:tcW w:w="980" w:type="dxa"/>
            <w:vAlign w:val="bottom"/>
          </w:tcPr>
          <w:p>
            <w:pPr>
              <w:jc w:val="right"/>
              <w:ind w:right="70"/>
              <w:spacing w:after="0"/>
              <w:rPr>
                <w:sz w:val="20"/>
                <w:szCs w:val="20"/>
                <w:color w:val="auto"/>
              </w:rPr>
            </w:pPr>
            <w:r>
              <w:rPr>
                <w:rFonts w:ascii="Arial" w:cs="Arial" w:eastAsia="Arial" w:hAnsi="Arial"/>
                <w:sz w:val="18"/>
                <w:szCs w:val="18"/>
                <w:i w:val="1"/>
                <w:iCs w:val="1"/>
                <w:color w:val="auto"/>
              </w:rPr>
              <w:t>40 bps</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Operative Cash Flow (EBITDA)</w:t>
            </w:r>
          </w:p>
        </w:tc>
        <w:tc>
          <w:tcPr>
            <w:tcW w:w="2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470</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Operative Cash Flow (EBITDA) Margin (%)</w:t>
            </w:r>
          </w:p>
        </w:tc>
        <w:tc>
          <w:tcPr>
            <w:tcW w:w="2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1.4</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0.9</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50 bps</w:t>
            </w:r>
          </w:p>
        </w:tc>
      </w:tr>
    </w:tbl>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990033"/>
        </w:rPr>
        <w:t xml:space="preserve">Total revenues </w:t>
      </w:r>
      <w:r>
        <w:rPr>
          <w:rFonts w:ascii="Arial" w:cs="Arial" w:eastAsia="Arial" w:hAnsi="Arial"/>
          <w:sz w:val="18"/>
          <w:szCs w:val="18"/>
          <w:color w:val="000000"/>
        </w:rPr>
        <w:t>increased 21.6%. Same-station sales increased an average of 5.3%, driven by a 14.0% increase in the average price per liter and a decrease of</w:t>
      </w:r>
      <w:r>
        <w:rPr>
          <w:rFonts w:ascii="Arial" w:cs="Arial" w:eastAsia="Arial" w:hAnsi="Arial"/>
          <w:sz w:val="18"/>
          <w:szCs w:val="18"/>
          <w:b w:val="1"/>
          <w:bCs w:val="1"/>
          <w:color w:val="990033"/>
        </w:rPr>
        <w:t xml:space="preserve"> </w:t>
      </w:r>
      <w:r>
        <w:rPr>
          <w:rFonts w:ascii="Arial" w:cs="Arial" w:eastAsia="Arial" w:hAnsi="Arial"/>
          <w:sz w:val="18"/>
          <w:szCs w:val="18"/>
          <w:color w:val="000000"/>
        </w:rPr>
        <w:t>7.7% in the average volume.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990033"/>
        </w:rPr>
        <w:t xml:space="preserve">Gross profit </w:t>
      </w:r>
      <w:r>
        <w:rPr>
          <w:rFonts w:ascii="Arial" w:cs="Arial" w:eastAsia="Arial" w:hAnsi="Arial"/>
          <w:sz w:val="18"/>
          <w:szCs w:val="18"/>
          <w:color w:val="000000"/>
        </w:rPr>
        <w:t>increased 47.0%. Gross margin expanded by 140 basis points to 8.3% of total revenues, reflecting a recovery from a low comparable base as</w:t>
      </w:r>
      <w:r>
        <w:rPr>
          <w:rFonts w:ascii="Arial" w:cs="Arial" w:eastAsia="Arial" w:hAnsi="Arial"/>
          <w:sz w:val="18"/>
          <w:szCs w:val="18"/>
          <w:b w:val="1"/>
          <w:bCs w:val="1"/>
          <w:color w:val="990033"/>
        </w:rPr>
        <w:t xml:space="preserve"> </w:t>
      </w:r>
      <w:r>
        <w:rPr>
          <w:rFonts w:ascii="Arial" w:cs="Arial" w:eastAsia="Arial" w:hAnsi="Arial"/>
          <w:sz w:val="18"/>
          <w:szCs w:val="18"/>
          <w:color w:val="000000"/>
        </w:rPr>
        <w:t>gross profit per liter was held flat in peso terms for most of the comparable period in 2017 in some of our territories.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990033"/>
        </w:rPr>
        <w:t xml:space="preserve">Income from operations </w:t>
      </w:r>
      <w:r>
        <w:rPr>
          <w:rFonts w:ascii="Arial" w:cs="Arial" w:eastAsia="Arial" w:hAnsi="Arial"/>
          <w:sz w:val="18"/>
          <w:szCs w:val="18"/>
          <w:color w:val="000000"/>
        </w:rPr>
        <w:t>increased 122.8%, resulting in an operating margin of 1.0%, which represents a recovery of 40 basis points. This increase reflects</w:t>
      </w:r>
      <w:r>
        <w:rPr>
          <w:rFonts w:ascii="Arial" w:cs="Arial" w:eastAsia="Arial" w:hAnsi="Arial"/>
          <w:sz w:val="18"/>
          <w:szCs w:val="18"/>
          <w:b w:val="1"/>
          <w:bCs w:val="1"/>
          <w:color w:val="990033"/>
        </w:rPr>
        <w:t xml:space="preserve"> </w:t>
      </w:r>
      <w:r>
        <w:rPr>
          <w:rFonts w:ascii="Arial" w:cs="Arial" w:eastAsia="Arial" w:hAnsi="Arial"/>
          <w:sz w:val="18"/>
          <w:szCs w:val="18"/>
          <w:color w:val="000000"/>
        </w:rPr>
        <w:t>better operating leverage that more than offset higher regulatory and expansion-related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990033"/>
        </w:rPr>
        <w:t>COCA-COLA FEMSA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Coca-Cola FEMSA’s financial results and discussion thereof are incorporated by reference from Coca-Cola FEMSA’s press release, which is attached to this press release or may be accessed by visiting </w:t>
      </w:r>
      <w:r>
        <w:rPr>
          <w:rFonts w:ascii="Arial" w:cs="Arial" w:eastAsia="Arial" w:hAnsi="Arial"/>
          <w:sz w:val="18"/>
          <w:szCs w:val="18"/>
          <w:i w:val="1"/>
          <w:iCs w:val="1"/>
          <w:u w:val="single" w:color="auto"/>
          <w:color w:val="auto"/>
        </w:rPr>
        <w:t>www.coca-colafemsa.com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74611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611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60" w:hanging="252"/>
        <w:spacing w:after="0" w:line="271" w:lineRule="auto"/>
        <w:tabs>
          <w:tab w:leader="none" w:pos="260" w:val="left"/>
        </w:tabs>
        <w:numPr>
          <w:ilvl w:val="0"/>
          <w:numId w:val="8"/>
        </w:numPr>
        <w:rPr>
          <w:rFonts w:ascii="Arial" w:cs="Arial" w:eastAsia="Arial" w:hAnsi="Arial"/>
          <w:sz w:val="17"/>
          <w:szCs w:val="17"/>
          <w:color w:val="990033"/>
        </w:rPr>
      </w:pPr>
      <w:r>
        <w:rPr>
          <w:rFonts w:ascii="Arial" w:cs="Arial" w:eastAsia="Arial" w:hAnsi="Arial"/>
          <w:sz w:val="17"/>
          <w:szCs w:val="17"/>
          <w:color w:val="auto"/>
        </w:rPr>
        <w:t>On September 24, FEMSA Comercio announced that that through its majority-owned subsidiary Socofar, it had reached an agreement to acquire Corporación GPF; a leading drugstore operator based in Quito, Ecuador, with almost 90 years of solid trajectory, operating more than 620 points of sale nationwide mainly under the Fybeca and SanaSana banners. This transaction represents a new building block of FEMSA Comercio’s drugstore strategy in South America, following its successful acquisition of a controlling stake in the drugstore and distribution platform of Chile-based Socofar in 2015. The announcement marked another important step for FEMSA Comercio as it brings its considerable retail expertise and Socofar’s deep industry knowledge to the Ecuadorian market and its more than 16 million consumers. GPF is a strong local operator with attractive growth prospects, and it will help Socofar as it continues to build a robust base from which to expand further in the region. The transaction is subject to customary regulatory approvals and is expected to close during the first quarter of 2019.</w:t>
      </w:r>
    </w:p>
    <w:p>
      <w:pPr>
        <w:spacing w:after="0" w:line="178" w:lineRule="exact"/>
        <w:rPr>
          <w:rFonts w:ascii="Arial" w:cs="Arial" w:eastAsia="Arial" w:hAnsi="Arial"/>
          <w:sz w:val="17"/>
          <w:szCs w:val="17"/>
          <w:color w:val="990033"/>
        </w:rPr>
      </w:pPr>
    </w:p>
    <w:p>
      <w:pPr>
        <w:jc w:val="both"/>
        <w:ind w:left="260" w:hanging="252"/>
        <w:spacing w:after="0" w:line="255" w:lineRule="auto"/>
        <w:tabs>
          <w:tab w:leader="none" w:pos="260" w:val="left"/>
        </w:tabs>
        <w:numPr>
          <w:ilvl w:val="0"/>
          <w:numId w:val="8"/>
        </w:numPr>
        <w:rPr>
          <w:rFonts w:ascii="Arial" w:cs="Arial" w:eastAsia="Arial" w:hAnsi="Arial"/>
          <w:sz w:val="18"/>
          <w:szCs w:val="18"/>
          <w:color w:val="990033"/>
        </w:rPr>
      </w:pPr>
      <w:r>
        <w:rPr>
          <w:rFonts w:ascii="Arial" w:cs="Arial" w:eastAsia="Arial" w:hAnsi="Arial"/>
          <w:sz w:val="18"/>
          <w:szCs w:val="18"/>
          <w:color w:val="auto"/>
        </w:rPr>
        <w:t>On October 26, FEMSA Comercio announces that it is opening its first OXXO store in Lima, Peru. OXXO’s entry into Peru marks the beginning of a new stage in the format’s international growth strategy. Since 2009, when OXXO opened its first five stores in Colombia, OXXO has gradually and consistently improved its capabilities to adjust the value proposition of its stores to better satisfy the needs of different consumers, across different markets. These improved capabilities are already being put to work in Colombia and Chile, and now they will also enable growth at OXXO Peru. This announcement marks another important step for FEMSA Comercio as it brings its considerable expertise in small-box retail to the attractive Peruvian market and its more than 32 million consumers.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-128270</wp:posOffset>
            </wp:positionV>
            <wp:extent cx="171513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t>CONFERENCE CALL INFORMATION:</w:t>
      </w:r>
    </w:p>
    <w:p>
      <w:pPr>
        <w:spacing w:after="0" w:line="337"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 xml:space="preserve">Our Third Quarter 2018 Conference Call will be held on: Friday, October 26, 2018, 10:00 AM Eastern Time (9:00 AM Mexico City Time). To participate in the conference call, please dial: Domestic US: (866) 575 6539; International: +1 (323) 994 2082; Conference Id: 6746007. The conference call will be webcast live through streaming audio. For details please visit </w:t>
      </w:r>
      <w:r>
        <w:rPr>
          <w:rFonts w:ascii="Arial" w:cs="Arial" w:eastAsia="Arial" w:hAnsi="Arial"/>
          <w:sz w:val="18"/>
          <w:szCs w:val="18"/>
          <w:u w:val="single" w:color="auto"/>
          <w:color w:val="auto"/>
        </w:rPr>
        <w:t>www.femsa.com/investor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If you are unable to participate live, the conference call audio will be available on </w:t>
      </w:r>
      <w:r>
        <w:rPr>
          <w:rFonts w:ascii="Arial" w:cs="Arial" w:eastAsia="Arial" w:hAnsi="Arial"/>
          <w:sz w:val="18"/>
          <w:szCs w:val="18"/>
          <w:u w:val="single" w:color="auto"/>
          <w:color w:val="auto"/>
        </w:rPr>
        <w:t>http://ir.FEMSA.com/results.cfm</w:t>
      </w:r>
      <w:r>
        <w:rPr>
          <w:rFonts w:ascii="Arial" w:cs="Arial" w:eastAsia="Arial" w:hAnsi="Arial"/>
          <w:sz w:val="18"/>
          <w:szCs w:val="18"/>
          <w:color w:val="auto"/>
        </w:rPr>
        <w:t>.</w:t>
      </w: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FEMSA is a leading company that participates in the beverage industry through Coca-Cola FEMSA, the largest franchise bottler of Coca-Cola products in the world by volume; and in the beer industry, through its ownership of the second largest equity stake in Heineken, one of the world’s leading brewers with operations in over 70 countries. In the retail industry it participates through FEMSA Comercio, comprising a Proximity Division operating OXXO, a small-format store chain, a Health Division, which includes all drugstores and related operations, and a Fuel Division, which operates the OXXO GAS chain of retail service stations. Additionally, through its Strategic Businesses unit, it provides logistics, point-of-sale refrigeration solutions and plastics solutions to FEMSA’s business units and third-party clients.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translations of Mexican pesos into US dollars are included solely for the convenience of the reader, using the noon buying rate for Mexican pesos as published by the Federal Reserve Bank of New York on September 28, 2018, which was 18.7050 Mexican pesos per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report may contain certain forward-looking statements concerning our future performance that should be considered as good faith estimates made by us. These forward-looking statements reflect management’s expectations and are based upon currently available data. Actual results are subject to future events and uncertainties, which could materially impact our actual performance.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Seven pages of tables and Coca-Cola FEMSA’s press release to follow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-128270</wp:posOffset>
            </wp:positionV>
            <wp:extent cx="1715135"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FEMSA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Pesos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9"/>
              </w:rPr>
              <w:t>For the third quarter of:</w:t>
            </w: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7"/>
              </w:rPr>
              <w:t>For the nine months of:</w:t>
            </w: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28"/>
              <w:spacing w:after="0" w:line="183" w:lineRule="exact"/>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21"/>
                <w:szCs w:val="21"/>
                <w:b w:val="1"/>
                <w:bCs w:val="1"/>
                <w:color w:val="auto"/>
                <w:vertAlign w:val="superscript"/>
              </w:rPr>
              <w:t>(A)</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rev.</w:t>
            </w:r>
          </w:p>
        </w:tc>
        <w:tc>
          <w:tcPr>
            <w:tcW w:w="920" w:type="dxa"/>
            <w:vAlign w:val="bottom"/>
            <w:tcBorders>
              <w:bottom w:val="single" w:sz="8" w:color="auto"/>
            </w:tcBorders>
          </w:tcPr>
          <w:p>
            <w:pPr>
              <w:jc w:val="right"/>
              <w:ind w:right="128"/>
              <w:spacing w:after="0" w:line="183" w:lineRule="exact"/>
              <w:rPr>
                <w:sz w:val="20"/>
                <w:szCs w:val="20"/>
                <w:color w:val="auto"/>
              </w:rPr>
            </w:pPr>
            <w:r>
              <w:rPr>
                <w:rFonts w:ascii="Arial" w:cs="Arial" w:eastAsia="Arial" w:hAnsi="Arial"/>
                <w:sz w:val="13"/>
                <w:szCs w:val="13"/>
                <w:b w:val="1"/>
                <w:bCs w:val="1"/>
                <w:color w:val="auto"/>
              </w:rPr>
              <w:t xml:space="preserve">2017 </w:t>
            </w:r>
            <w:r>
              <w:rPr>
                <w:rFonts w:ascii="Arial" w:cs="Arial" w:eastAsia="Arial" w:hAnsi="Arial"/>
                <w:sz w:val="21"/>
                <w:szCs w:val="21"/>
                <w:b w:val="1"/>
                <w:bCs w:val="1"/>
                <w:color w:val="auto"/>
                <w:vertAlign w:val="superscript"/>
              </w:rPr>
              <w:t>(A)</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of rev.</w:t>
            </w: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Var.</w:t>
            </w:r>
          </w:p>
        </w:tc>
        <w:tc>
          <w:tcPr>
            <w:tcW w:w="72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b w:val="1"/>
                <w:bCs w:val="1"/>
                <w:color w:val="auto"/>
                <w:w w:val="97"/>
              </w:rPr>
              <w:t xml:space="preserve">% Org </w:t>
            </w:r>
            <w:r>
              <w:rPr>
                <w:rFonts w:ascii="Arial" w:cs="Arial" w:eastAsia="Arial" w:hAnsi="Arial"/>
                <w:sz w:val="21"/>
                <w:szCs w:val="21"/>
                <w:b w:val="1"/>
                <w:bCs w:val="1"/>
                <w:color w:val="auto"/>
                <w:w w:val="97"/>
                <w:vertAlign w:val="superscript"/>
              </w:rPr>
              <w:t>(B)</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48"/>
              <w:spacing w:after="0" w:line="183" w:lineRule="exact"/>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21"/>
                <w:szCs w:val="21"/>
                <w:b w:val="1"/>
                <w:bCs w:val="1"/>
                <w:color w:val="auto"/>
                <w:vertAlign w:val="superscript"/>
              </w:rPr>
              <w:t>(A)</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ind w:right="48"/>
              <w:spacing w:after="0" w:line="183" w:lineRule="exact"/>
              <w:rPr>
                <w:sz w:val="20"/>
                <w:szCs w:val="20"/>
                <w:color w:val="auto"/>
              </w:rPr>
            </w:pPr>
            <w:r>
              <w:rPr>
                <w:rFonts w:ascii="Arial" w:cs="Arial" w:eastAsia="Arial" w:hAnsi="Arial"/>
                <w:sz w:val="13"/>
                <w:szCs w:val="13"/>
                <w:b w:val="1"/>
                <w:bCs w:val="1"/>
                <w:color w:val="auto"/>
              </w:rPr>
              <w:t xml:space="preserve">2017 </w:t>
            </w:r>
            <w:r>
              <w:rPr>
                <w:rFonts w:ascii="Arial" w:cs="Arial" w:eastAsia="Arial" w:hAnsi="Arial"/>
                <w:sz w:val="21"/>
                <w:szCs w:val="21"/>
                <w:b w:val="1"/>
                <w:bCs w:val="1"/>
                <w:color w:val="auto"/>
                <w:vertAlign w:val="superscript"/>
              </w:rPr>
              <w:t>(A)</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of rev.</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Var.</w:t>
            </w:r>
          </w:p>
        </w:tc>
        <w:tc>
          <w:tcPr>
            <w:tcW w:w="82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3"/>
                <w:szCs w:val="13"/>
                <w:b w:val="1"/>
                <w:bCs w:val="1"/>
                <w:color w:val="auto"/>
              </w:rPr>
              <w:t xml:space="preserve">% Org </w:t>
            </w:r>
            <w:r>
              <w:rPr>
                <w:rFonts w:ascii="Arial" w:cs="Arial" w:eastAsia="Arial" w:hAnsi="Arial"/>
                <w:sz w:val="21"/>
                <w:szCs w:val="21"/>
                <w:b w:val="1"/>
                <w:bCs w:val="1"/>
                <w:color w:val="auto"/>
                <w:vertAlign w:val="superscript"/>
              </w:rPr>
              <w:t>(B)</w:t>
            </w:r>
          </w:p>
        </w:tc>
        <w:tc>
          <w:tcPr>
            <w:tcW w:w="0" w:type="dxa"/>
            <w:vAlign w:val="bottom"/>
          </w:tcPr>
          <w:p>
            <w:pPr>
              <w:spacing w:after="0"/>
              <w:rPr>
                <w:sz w:val="1"/>
                <w:szCs w:val="1"/>
                <w:color w:val="auto"/>
              </w:rPr>
            </w:pPr>
          </w:p>
        </w:tc>
      </w:tr>
      <w:tr>
        <w:trPr>
          <w:trHeight w:val="142"/>
        </w:trPr>
        <w:tc>
          <w:tcPr>
            <w:tcW w:w="19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revenues</w:t>
            </w:r>
          </w:p>
        </w:tc>
        <w:tc>
          <w:tcPr>
            <w:tcW w:w="78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b w:val="1"/>
                <w:bCs w:val="1"/>
                <w:color w:val="auto"/>
              </w:rPr>
              <w:t>118,371</w:t>
            </w:r>
          </w:p>
        </w:tc>
        <w:tc>
          <w:tcPr>
            <w:tcW w:w="7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100.0</w:t>
            </w:r>
          </w:p>
        </w:tc>
        <w:tc>
          <w:tcPr>
            <w:tcW w:w="92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b w:val="1"/>
                <w:bCs w:val="1"/>
                <w:color w:val="auto"/>
              </w:rPr>
              <w:t>109,749</w:t>
            </w:r>
          </w:p>
        </w:tc>
        <w:tc>
          <w:tcPr>
            <w:tcW w:w="80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100.0</w:t>
            </w:r>
          </w:p>
        </w:tc>
        <w:tc>
          <w:tcPr>
            <w:tcW w:w="80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7.9</w:t>
            </w:r>
          </w:p>
        </w:tc>
        <w:tc>
          <w:tcPr>
            <w:tcW w:w="720" w:type="dxa"/>
            <w:vAlign w:val="bottom"/>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343,038</w:t>
            </w:r>
          </w:p>
        </w:tc>
        <w:tc>
          <w:tcPr>
            <w:tcW w:w="7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100.0</w:t>
            </w:r>
          </w:p>
        </w:tc>
        <w:tc>
          <w:tcPr>
            <w:tcW w:w="82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326,533</w:t>
            </w:r>
          </w:p>
        </w:tc>
        <w:tc>
          <w:tcPr>
            <w:tcW w:w="84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100.0</w:t>
            </w:r>
          </w:p>
        </w:tc>
        <w:tc>
          <w:tcPr>
            <w:tcW w:w="7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5.1</w:t>
            </w:r>
          </w:p>
        </w:tc>
        <w:tc>
          <w:tcPr>
            <w:tcW w:w="820" w:type="dxa"/>
            <w:vAlign w:val="bottom"/>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rPr>
              <w:t>Cost of sales</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75,066</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63.4</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70,141</w:t>
            </w: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63.9</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217,603</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63.4</w:t>
            </w: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209,144</w:t>
            </w: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64.0</w:t>
            </w: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4.0</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b w:val="1"/>
                <w:bCs w:val="1"/>
                <w:color w:val="auto"/>
              </w:rPr>
              <w:t>43,305</w:t>
            </w:r>
          </w:p>
        </w:tc>
        <w:tc>
          <w:tcPr>
            <w:tcW w:w="70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36.6</w:t>
            </w:r>
          </w:p>
        </w:tc>
        <w:tc>
          <w:tcPr>
            <w:tcW w:w="92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b w:val="1"/>
                <w:bCs w:val="1"/>
                <w:color w:val="auto"/>
              </w:rPr>
              <w:t>39,608</w:t>
            </w:r>
          </w:p>
        </w:tc>
        <w:tc>
          <w:tcPr>
            <w:tcW w:w="80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36.1</w:t>
            </w:r>
          </w:p>
        </w:tc>
        <w:tc>
          <w:tcPr>
            <w:tcW w:w="8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9.3</w:t>
            </w:r>
          </w:p>
        </w:tc>
        <w:tc>
          <w:tcPr>
            <w:tcW w:w="7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125,435</w:t>
            </w:r>
          </w:p>
        </w:tc>
        <w:tc>
          <w:tcPr>
            <w:tcW w:w="7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36.6</w:t>
            </w:r>
          </w:p>
        </w:tc>
        <w:tc>
          <w:tcPr>
            <w:tcW w:w="82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117,389</w:t>
            </w:r>
          </w:p>
        </w:tc>
        <w:tc>
          <w:tcPr>
            <w:tcW w:w="84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36.0</w:t>
            </w:r>
          </w:p>
        </w:tc>
        <w:tc>
          <w:tcPr>
            <w:tcW w:w="7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6.9</w:t>
            </w:r>
          </w:p>
        </w:tc>
        <w:tc>
          <w:tcPr>
            <w:tcW w:w="82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180"/>
              <w:spacing w:after="0" w:line="142" w:lineRule="exact"/>
              <w:rPr>
                <w:sz w:val="20"/>
                <w:szCs w:val="20"/>
                <w:color w:val="auto"/>
              </w:rPr>
            </w:pPr>
            <w:r>
              <w:rPr>
                <w:rFonts w:ascii="Arial" w:cs="Arial" w:eastAsia="Arial" w:hAnsi="Arial"/>
                <w:sz w:val="14"/>
                <w:szCs w:val="14"/>
                <w:color w:val="auto"/>
              </w:rPr>
              <w:t>Administrative expenses</w:t>
            </w:r>
          </w:p>
        </w:tc>
        <w:tc>
          <w:tcPr>
            <w:tcW w:w="120" w:type="dxa"/>
            <w:vAlign w:val="bottom"/>
          </w:tcPr>
          <w:p>
            <w:pPr>
              <w:spacing w:after="0"/>
              <w:rPr>
                <w:sz w:val="12"/>
                <w:szCs w:val="12"/>
                <w:color w:val="auto"/>
              </w:rPr>
            </w:pPr>
          </w:p>
        </w:tc>
        <w:tc>
          <w:tcPr>
            <w:tcW w:w="7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4,458</w:t>
            </w:r>
          </w:p>
        </w:tc>
        <w:tc>
          <w:tcPr>
            <w:tcW w:w="700" w:type="dxa"/>
            <w:vAlign w:val="bottom"/>
          </w:tcPr>
          <w:p>
            <w:pPr>
              <w:jc w:val="right"/>
              <w:ind w:right="8"/>
              <w:spacing w:after="0" w:line="142" w:lineRule="exact"/>
              <w:rPr>
                <w:sz w:val="20"/>
                <w:szCs w:val="20"/>
                <w:color w:val="auto"/>
              </w:rPr>
            </w:pPr>
            <w:r>
              <w:rPr>
                <w:rFonts w:ascii="Arial" w:cs="Arial" w:eastAsia="Arial" w:hAnsi="Arial"/>
                <w:sz w:val="14"/>
                <w:szCs w:val="14"/>
                <w:color w:val="auto"/>
              </w:rPr>
              <w:t>3.8</w:t>
            </w:r>
          </w:p>
        </w:tc>
        <w:tc>
          <w:tcPr>
            <w:tcW w:w="92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3,570</w:t>
            </w:r>
          </w:p>
        </w:tc>
        <w:tc>
          <w:tcPr>
            <w:tcW w:w="80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3.3</w:t>
            </w:r>
          </w:p>
        </w:tc>
        <w:tc>
          <w:tcPr>
            <w:tcW w:w="80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24.9</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12,892</w:t>
            </w:r>
          </w:p>
        </w:tc>
        <w:tc>
          <w:tcPr>
            <w:tcW w:w="7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3.8</w:t>
            </w:r>
          </w:p>
        </w:tc>
        <w:tc>
          <w:tcPr>
            <w:tcW w:w="8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11,307</w:t>
            </w:r>
          </w:p>
        </w:tc>
        <w:tc>
          <w:tcPr>
            <w:tcW w:w="84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3.5</w:t>
            </w:r>
          </w:p>
        </w:tc>
        <w:tc>
          <w:tcPr>
            <w:tcW w:w="7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14.0</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Selling expenses</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28,563</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24.2</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26,516</w:t>
            </w:r>
          </w:p>
        </w:tc>
        <w:tc>
          <w:tcPr>
            <w:tcW w:w="8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24.1</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7.7</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83,168</w:t>
            </w: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24.2</w:t>
            </w: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79,313</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24.3</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gridSpan w:val="2"/>
          </w:tcPr>
          <w:p>
            <w:pPr>
              <w:spacing w:after="0" w:line="140" w:lineRule="exact"/>
              <w:rPr>
                <w:sz w:val="20"/>
                <w:szCs w:val="20"/>
                <w:color w:val="auto"/>
              </w:rPr>
            </w:pPr>
            <w:r>
              <w:rPr>
                <w:rFonts w:ascii="Arial" w:cs="Arial" w:eastAsia="Arial" w:hAnsi="Arial"/>
                <w:sz w:val="14"/>
                <w:szCs w:val="14"/>
                <w:color w:val="auto"/>
              </w:rPr>
              <w:t>Other operating expenses</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(income), net </w:t>
            </w:r>
            <w:r>
              <w:rPr>
                <w:rFonts w:ascii="Arial" w:cs="Arial" w:eastAsia="Arial" w:hAnsi="Arial"/>
                <w:sz w:val="22"/>
                <w:szCs w:val="22"/>
                <w:color w:val="auto"/>
                <w:vertAlign w:val="superscript"/>
              </w:rPr>
              <w:t>(1)</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292</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282</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0.3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3.5</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1,069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101</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3"/>
                <w:szCs w:val="13"/>
                <w:color w:val="auto"/>
              </w:rPr>
              <w:t>Income from operations</w:t>
            </w:r>
            <w:r>
              <w:rPr>
                <w:rFonts w:ascii="Arial" w:cs="Arial" w:eastAsia="Arial" w:hAnsi="Arial"/>
                <w:sz w:val="21"/>
                <w:szCs w:val="21"/>
                <w:color w:val="auto"/>
                <w:vertAlign w:val="superscript"/>
              </w:rPr>
              <w:t>(2)</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9,992</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9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9,240</w:t>
            </w:r>
          </w:p>
        </w:tc>
        <w:tc>
          <w:tcPr>
            <w:tcW w:w="8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8.4</w:t>
            </w:r>
          </w:p>
        </w:tc>
        <w:tc>
          <w:tcPr>
            <w:tcW w:w="8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28,306</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26,668</w:t>
            </w:r>
          </w:p>
        </w:tc>
        <w:tc>
          <w:tcPr>
            <w:tcW w:w="8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8.2</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3"/>
        </w:trPr>
        <w:tc>
          <w:tcPr>
            <w:tcW w:w="1840" w:type="dxa"/>
            <w:vAlign w:val="bottom"/>
          </w:tcPr>
          <w:p>
            <w:pPr>
              <w:spacing w:after="0" w:line="123" w:lineRule="exact"/>
              <w:rPr>
                <w:sz w:val="20"/>
                <w:szCs w:val="20"/>
                <w:color w:val="auto"/>
              </w:rPr>
            </w:pPr>
            <w:r>
              <w:rPr>
                <w:rFonts w:ascii="Arial" w:cs="Arial" w:eastAsia="Arial" w:hAnsi="Arial"/>
                <w:sz w:val="14"/>
                <w:szCs w:val="14"/>
                <w:color w:val="auto"/>
                <w:w w:val="96"/>
              </w:rPr>
              <w:t>Other non-operating expenses</w:t>
            </w:r>
          </w:p>
        </w:tc>
        <w:tc>
          <w:tcPr>
            <w:tcW w:w="120" w:type="dxa"/>
            <w:vAlign w:val="bottom"/>
          </w:tcPr>
          <w:p>
            <w:pPr>
              <w:spacing w:after="0"/>
              <w:rPr>
                <w:sz w:val="10"/>
                <w:szCs w:val="10"/>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391</w:t>
            </w:r>
          </w:p>
        </w:tc>
        <w:tc>
          <w:tcPr>
            <w:tcW w:w="700" w:type="dxa"/>
            <w:vAlign w:val="bottom"/>
          </w:tcPr>
          <w:p>
            <w:pPr>
              <w:spacing w:after="0"/>
              <w:rPr>
                <w:sz w:val="10"/>
                <w:szCs w:val="10"/>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(28,161)</w:t>
            </w: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995</w:t>
            </w:r>
          </w:p>
        </w:tc>
        <w:tc>
          <w:tcPr>
            <w:tcW w:w="760" w:type="dxa"/>
            <w:vAlign w:val="bottom"/>
          </w:tcPr>
          <w:p>
            <w:pPr>
              <w:spacing w:after="0"/>
              <w:rPr>
                <w:sz w:val="10"/>
                <w:szCs w:val="10"/>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(27,793)</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60" w:type="dxa"/>
            <w:vAlign w:val="bottom"/>
            <w:gridSpan w:val="2"/>
          </w:tcPr>
          <w:p>
            <w:pPr>
              <w:spacing w:after="0"/>
              <w:rPr>
                <w:sz w:val="20"/>
                <w:szCs w:val="20"/>
                <w:color w:val="auto"/>
              </w:rPr>
            </w:pPr>
            <w:r>
              <w:rPr>
                <w:rFonts w:ascii="Arial" w:cs="Arial" w:eastAsia="Arial" w:hAnsi="Arial"/>
                <w:sz w:val="14"/>
                <w:szCs w:val="14"/>
                <w:color w:val="auto"/>
              </w:rPr>
              <w:t>(income)</w:t>
            </w:r>
          </w:p>
        </w:tc>
        <w:tc>
          <w:tcPr>
            <w:tcW w:w="7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(101.4)</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(103.6)</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Interest expense</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b w:val="1"/>
                <w:bCs w:val="1"/>
                <w:color w:val="auto"/>
              </w:rPr>
              <w:t>2,334</w:t>
            </w:r>
          </w:p>
        </w:tc>
        <w:tc>
          <w:tcPr>
            <w:tcW w:w="7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b w:val="1"/>
                <w:bCs w:val="1"/>
                <w:color w:val="auto"/>
              </w:rPr>
              <w:t>2,746</w:t>
            </w:r>
          </w:p>
        </w:tc>
        <w:tc>
          <w:tcPr>
            <w:tcW w:w="8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(15.0)</w:t>
            </w: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7,152</w:t>
            </w:r>
          </w:p>
        </w:tc>
        <w:tc>
          <w:tcPr>
            <w:tcW w:w="7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8,556</w:t>
            </w:r>
          </w:p>
        </w:tc>
        <w:tc>
          <w:tcPr>
            <w:tcW w:w="8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(16.4)</w:t>
            </w: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income</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748</w:t>
            </w:r>
          </w:p>
        </w:tc>
        <w:tc>
          <w:tcPr>
            <w:tcW w:w="700" w:type="dxa"/>
            <w:vAlign w:val="bottom"/>
          </w:tcPr>
          <w:p>
            <w:pPr>
              <w:spacing w:after="0"/>
              <w:rPr>
                <w:sz w:val="12"/>
                <w:szCs w:val="12"/>
                <w:color w:val="auto"/>
              </w:rPr>
            </w:pP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422</w:t>
            </w:r>
          </w:p>
        </w:tc>
        <w:tc>
          <w:tcPr>
            <w:tcW w:w="800" w:type="dxa"/>
            <w:vAlign w:val="bottom"/>
          </w:tcPr>
          <w:p>
            <w:pPr>
              <w:spacing w:after="0"/>
              <w:rPr>
                <w:sz w:val="12"/>
                <w:szCs w:val="12"/>
                <w:color w:val="auto"/>
              </w:rPr>
            </w:pP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77.2</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2,002</w:t>
            </w:r>
          </w:p>
        </w:tc>
        <w:tc>
          <w:tcPr>
            <w:tcW w:w="76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1,025</w:t>
            </w:r>
          </w:p>
        </w:tc>
        <w:tc>
          <w:tcPr>
            <w:tcW w:w="8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95.4</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expense, net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1,586</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2,324</w:t>
            </w: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(31.8)</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5,150</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7,531</w:t>
            </w: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(31.6)</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Foreign exchange loss (gain)</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3,310</w:t>
            </w:r>
          </w:p>
        </w:tc>
        <w:tc>
          <w:tcPr>
            <w:tcW w:w="700" w:type="dxa"/>
            <w:vAlign w:val="bottom"/>
          </w:tcPr>
          <w:p>
            <w:pPr>
              <w:spacing w:after="0"/>
              <w:rPr>
                <w:sz w:val="12"/>
                <w:szCs w:val="12"/>
                <w:color w:val="auto"/>
              </w:rPr>
            </w:pP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(758)</w:t>
            </w:r>
          </w:p>
        </w:tc>
        <w:tc>
          <w:tcPr>
            <w:tcW w:w="800" w:type="dxa"/>
            <w:vAlign w:val="bottom"/>
          </w:tcPr>
          <w:p>
            <w:pPr>
              <w:spacing w:after="0"/>
              <w:rPr>
                <w:sz w:val="12"/>
                <w:szCs w:val="12"/>
                <w:color w:val="auto"/>
              </w:rPr>
            </w:pP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N.S.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2,649</w:t>
            </w:r>
          </w:p>
        </w:tc>
        <w:tc>
          <w:tcPr>
            <w:tcW w:w="76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1,420</w:t>
            </w:r>
          </w:p>
        </w:tc>
        <w:tc>
          <w:tcPr>
            <w:tcW w:w="8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86.6</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6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Other financial expenses</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(166)</w:t>
            </w:r>
          </w:p>
        </w:tc>
        <w:tc>
          <w:tcPr>
            <w:tcW w:w="7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(1,535)</w:t>
            </w: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w:t>
            </w:r>
          </w:p>
        </w:tc>
        <w:tc>
          <w:tcPr>
            <w:tcW w:w="7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(2,819)</w:t>
            </w:r>
          </w:p>
        </w:tc>
        <w:tc>
          <w:tcPr>
            <w:tcW w:w="8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net.</w:t>
            </w:r>
          </w:p>
        </w:tc>
        <w:tc>
          <w:tcPr>
            <w:tcW w:w="78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(89.2)</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(105.7)</w:t>
            </w: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Financing expenses, net</w:t>
            </w:r>
          </w:p>
        </w:tc>
        <w:tc>
          <w:tcPr>
            <w:tcW w:w="1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4,730</w:t>
            </w:r>
          </w:p>
        </w:tc>
        <w:tc>
          <w:tcPr>
            <w:tcW w:w="7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31</w:t>
            </w:r>
          </w:p>
        </w:tc>
        <w:tc>
          <w:tcPr>
            <w:tcW w:w="8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N.S.</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7,959</w:t>
            </w:r>
          </w:p>
        </w:tc>
        <w:tc>
          <w:tcPr>
            <w:tcW w:w="7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6,132</w:t>
            </w:r>
          </w:p>
        </w:tc>
        <w:tc>
          <w:tcPr>
            <w:tcW w:w="8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29.8</w:t>
            </w:r>
          </w:p>
        </w:tc>
        <w:tc>
          <w:tcPr>
            <w:tcW w:w="8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8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6"/>
              </w:rPr>
              <w:t>Income before income tax and</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participation in associates</w:t>
            </w:r>
          </w:p>
        </w:tc>
        <w:tc>
          <w:tcPr>
            <w:tcW w:w="7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4,871</w:t>
            </w:r>
          </w:p>
        </w:tc>
        <w:tc>
          <w:tcPr>
            <w:tcW w:w="7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37,370</w:t>
            </w: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19,352</w:t>
            </w:r>
          </w:p>
        </w:tc>
        <w:tc>
          <w:tcPr>
            <w:tcW w:w="7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48,329</w:t>
            </w: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results</w:t>
            </w:r>
          </w:p>
        </w:tc>
        <w:tc>
          <w:tcPr>
            <w:tcW w:w="78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(87.0)</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1,784</w:t>
            </w:r>
          </w:p>
        </w:tc>
        <w:tc>
          <w:tcPr>
            <w:tcW w:w="700" w:type="dxa"/>
            <w:vAlign w:val="bottom"/>
          </w:tcPr>
          <w:p>
            <w:pPr>
              <w:spacing w:after="0"/>
              <w:rPr>
                <w:sz w:val="12"/>
                <w:szCs w:val="12"/>
                <w:color w:val="auto"/>
              </w:rPr>
            </w:pP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6,125</w:t>
            </w:r>
          </w:p>
        </w:tc>
        <w:tc>
          <w:tcPr>
            <w:tcW w:w="80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(70.9)</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6,498</w:t>
            </w:r>
          </w:p>
        </w:tc>
        <w:tc>
          <w:tcPr>
            <w:tcW w:w="76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8,904</w:t>
            </w:r>
          </w:p>
        </w:tc>
        <w:tc>
          <w:tcPr>
            <w:tcW w:w="84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(27.0)</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Participation in associates</w:t>
            </w: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results</w:t>
            </w:r>
            <w:r>
              <w:rPr>
                <w:rFonts w:ascii="Arial" w:cs="Arial" w:eastAsia="Arial" w:hAnsi="Arial"/>
                <w:sz w:val="22"/>
                <w:szCs w:val="22"/>
                <w:color w:val="auto"/>
                <w:vertAlign w:val="superscript"/>
              </w:rPr>
              <w:t>(3)</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3,101</w:t>
            </w: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2,456</w:t>
            </w: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26.3</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5,163</w:t>
            </w: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5,568</w:t>
            </w: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8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Net income from continuing</w:t>
            </w:r>
          </w:p>
        </w:tc>
        <w:tc>
          <w:tcPr>
            <w:tcW w:w="12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6,188</w:t>
            </w:r>
          </w:p>
        </w:tc>
        <w:tc>
          <w:tcPr>
            <w:tcW w:w="7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33,700</w:t>
            </w:r>
          </w:p>
        </w:tc>
        <w:tc>
          <w:tcPr>
            <w:tcW w:w="8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18,017</w:t>
            </w:r>
          </w:p>
        </w:tc>
        <w:tc>
          <w:tcPr>
            <w:tcW w:w="7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44,993</w:t>
            </w:r>
          </w:p>
        </w:tc>
        <w:tc>
          <w:tcPr>
            <w:tcW w:w="8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60" w:type="dxa"/>
            <w:vAlign w:val="bottom"/>
            <w:gridSpan w:val="2"/>
          </w:tcPr>
          <w:p>
            <w:pPr>
              <w:spacing w:after="0"/>
              <w:rPr>
                <w:sz w:val="20"/>
                <w:szCs w:val="20"/>
                <w:color w:val="auto"/>
              </w:rPr>
            </w:pPr>
            <w:r>
              <w:rPr>
                <w:rFonts w:ascii="Arial" w:cs="Arial" w:eastAsia="Arial" w:hAnsi="Arial"/>
                <w:sz w:val="14"/>
                <w:szCs w:val="14"/>
                <w:color w:val="auto"/>
              </w:rPr>
              <w:t>operations</w:t>
            </w:r>
          </w:p>
        </w:tc>
        <w:tc>
          <w:tcPr>
            <w:tcW w:w="7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(81.6)</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Net income from discontinued</w:t>
            </w:r>
          </w:p>
        </w:tc>
        <w:tc>
          <w:tcPr>
            <w:tcW w:w="7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410</w:t>
            </w:r>
          </w:p>
        </w:tc>
        <w:tc>
          <w:tcPr>
            <w:tcW w:w="7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15</w:t>
            </w: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576</w:t>
            </w:r>
          </w:p>
        </w:tc>
        <w:tc>
          <w:tcPr>
            <w:tcW w:w="7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700</w:t>
            </w:r>
          </w:p>
        </w:tc>
        <w:tc>
          <w:tcPr>
            <w:tcW w:w="8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operations</w:t>
            </w:r>
          </w:p>
        </w:tc>
        <w:tc>
          <w:tcPr>
            <w:tcW w:w="78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(98.8)</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w:t>
            </w: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Net consolidated income</w:t>
            </w:r>
          </w:p>
        </w:tc>
        <w:tc>
          <w:tcPr>
            <w:tcW w:w="1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6,598</w:t>
            </w:r>
          </w:p>
        </w:tc>
        <w:tc>
          <w:tcPr>
            <w:tcW w:w="7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33,715</w:t>
            </w:r>
          </w:p>
        </w:tc>
        <w:tc>
          <w:tcPr>
            <w:tcW w:w="8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(80.4)</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18,593</w:t>
            </w:r>
          </w:p>
        </w:tc>
        <w:tc>
          <w:tcPr>
            <w:tcW w:w="7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45,693</w:t>
            </w:r>
          </w:p>
        </w:tc>
        <w:tc>
          <w:tcPr>
            <w:tcW w:w="8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(59.3)</w:t>
            </w:r>
          </w:p>
        </w:tc>
        <w:tc>
          <w:tcPr>
            <w:tcW w:w="8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majority income</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b w:val="1"/>
                <w:bCs w:val="1"/>
                <w:color w:val="auto"/>
              </w:rPr>
              <w:t>4,693</w:t>
            </w:r>
          </w:p>
        </w:tc>
        <w:tc>
          <w:tcPr>
            <w:tcW w:w="7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b w:val="1"/>
                <w:bCs w:val="1"/>
                <w:color w:val="auto"/>
              </w:rPr>
              <w:t>32,449</w:t>
            </w: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(85.5)</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13,230</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39,368</w:t>
            </w: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(66.4)</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minority income</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1,906</w:t>
            </w:r>
          </w:p>
        </w:tc>
        <w:tc>
          <w:tcPr>
            <w:tcW w:w="7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1,266</w:t>
            </w:r>
          </w:p>
        </w:tc>
        <w:tc>
          <w:tcPr>
            <w:tcW w:w="8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50.6</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5,363</w:t>
            </w: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6,325</w:t>
            </w:r>
          </w:p>
        </w:tc>
        <w:tc>
          <w:tcPr>
            <w:tcW w:w="8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(15.2)</w:t>
            </w: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Operative Cash Flow &amp;</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23"/>
                <w:szCs w:val="23"/>
                <w:b w:val="1"/>
                <w:bCs w:val="1"/>
                <w:color w:val="auto"/>
                <w:vertAlign w:val="superscript"/>
              </w:rPr>
              <w:t>(A)</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 of</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23"/>
                <w:szCs w:val="23"/>
                <w:b w:val="1"/>
                <w:bCs w:val="1"/>
                <w:color w:val="auto"/>
                <w:vertAlign w:val="superscript"/>
              </w:rPr>
              <w:t>(A)</w:t>
            </w: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 of</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Var.</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 Org</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23"/>
                <w:szCs w:val="23"/>
                <w:b w:val="1"/>
                <w:bCs w:val="1"/>
                <w:color w:val="auto"/>
                <w:vertAlign w:val="superscript"/>
              </w:rPr>
              <w:t>(A)</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 of</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23"/>
                <w:szCs w:val="23"/>
                <w:b w:val="1"/>
                <w:bCs w:val="1"/>
                <w:color w:val="auto"/>
                <w:vertAlign w:val="superscript"/>
              </w:rPr>
              <w:t>(A)</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 of</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Var.</w:t>
            </w:r>
          </w:p>
        </w:tc>
        <w:tc>
          <w:tcPr>
            <w:tcW w:w="820" w:type="dxa"/>
            <w:vAlign w:val="bottom"/>
          </w:tcPr>
          <w:p>
            <w:pPr>
              <w:jc w:val="right"/>
              <w:ind w:right="30"/>
              <w:spacing w:after="0"/>
              <w:rPr>
                <w:sz w:val="20"/>
                <w:szCs w:val="20"/>
                <w:color w:val="auto"/>
              </w:rPr>
            </w:pPr>
            <w:r>
              <w:rPr>
                <w:rFonts w:ascii="Arial" w:cs="Arial" w:eastAsia="Arial" w:hAnsi="Arial"/>
                <w:sz w:val="14"/>
                <w:szCs w:val="14"/>
                <w:b w:val="1"/>
                <w:bCs w:val="1"/>
                <w:color w:val="auto"/>
              </w:rPr>
              <w:t>% Org</w:t>
            </w: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CAPEX</w:t>
            </w:r>
          </w:p>
        </w:tc>
        <w:tc>
          <w:tcPr>
            <w:tcW w:w="780" w:type="dxa"/>
            <w:vAlign w:val="bottom"/>
            <w:vMerge w:val="continue"/>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rev.</w:t>
            </w:r>
          </w:p>
        </w:tc>
        <w:tc>
          <w:tcPr>
            <w:tcW w:w="920" w:type="dxa"/>
            <w:vAlign w:val="bottom"/>
            <w:vMerge w:val="continue"/>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rev.</w:t>
            </w:r>
          </w:p>
        </w:tc>
        <w:tc>
          <w:tcPr>
            <w:tcW w:w="800" w:type="dxa"/>
            <w:vAlign w:val="bottom"/>
            <w:vMerge w:val="continue"/>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(B)</w:t>
            </w:r>
          </w:p>
        </w:tc>
        <w:tc>
          <w:tcPr>
            <w:tcW w:w="700" w:type="dxa"/>
            <w:vAlign w:val="bottom"/>
            <w:vMerge w:val="continue"/>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rev.</w:t>
            </w:r>
          </w:p>
        </w:tc>
        <w:tc>
          <w:tcPr>
            <w:tcW w:w="820" w:type="dxa"/>
            <w:vAlign w:val="bottom"/>
            <w:vMerge w:val="continue"/>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rev.</w:t>
            </w:r>
          </w:p>
        </w:tc>
        <w:tc>
          <w:tcPr>
            <w:tcW w:w="700" w:type="dxa"/>
            <w:vAlign w:val="bottom"/>
            <w:vMerge w:val="continue"/>
          </w:tcPr>
          <w:p>
            <w:pPr>
              <w:spacing w:after="0"/>
              <w:rPr>
                <w:sz w:val="15"/>
                <w:szCs w:val="15"/>
                <w:color w:val="auto"/>
              </w:rPr>
            </w:pPr>
          </w:p>
        </w:tc>
        <w:tc>
          <w:tcPr>
            <w:tcW w:w="820" w:type="dxa"/>
            <w:vAlign w:val="bottom"/>
          </w:tcPr>
          <w:p>
            <w:pPr>
              <w:jc w:val="right"/>
              <w:ind w:right="30"/>
              <w:spacing w:after="0"/>
              <w:rPr>
                <w:sz w:val="20"/>
                <w:szCs w:val="20"/>
                <w:color w:val="auto"/>
              </w:rPr>
            </w:pPr>
            <w:r>
              <w:rPr>
                <w:rFonts w:ascii="Arial" w:cs="Arial" w:eastAsia="Arial" w:hAnsi="Arial"/>
                <w:sz w:val="12"/>
                <w:szCs w:val="12"/>
                <w:b w:val="1"/>
                <w:bCs w:val="1"/>
                <w:color w:val="auto"/>
              </w:rPr>
              <w:t>(B)</w:t>
            </w:r>
          </w:p>
        </w:tc>
        <w:tc>
          <w:tcPr>
            <w:tcW w:w="0" w:type="dxa"/>
            <w:vAlign w:val="bottom"/>
          </w:tcPr>
          <w:p>
            <w:pPr>
              <w:spacing w:after="0"/>
              <w:rPr>
                <w:sz w:val="1"/>
                <w:szCs w:val="1"/>
                <w:color w:val="auto"/>
              </w:rPr>
            </w:pPr>
          </w:p>
        </w:tc>
      </w:tr>
      <w:tr>
        <w:trPr>
          <w:trHeight w:val="149"/>
        </w:trPr>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9,992</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8.4</w:t>
            </w: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9,240</w:t>
            </w:r>
          </w:p>
        </w:tc>
        <w:tc>
          <w:tcPr>
            <w:tcW w:w="8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8.4</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28,306</w:t>
            </w: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8.3</w:t>
            </w: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26,668</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8.2</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18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2"/>
                <w:szCs w:val="12"/>
                <w:color w:val="auto"/>
              </w:rPr>
            </w:pPr>
          </w:p>
        </w:tc>
        <w:tc>
          <w:tcPr>
            <w:tcW w:w="7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3,803</w:t>
            </w:r>
          </w:p>
        </w:tc>
        <w:tc>
          <w:tcPr>
            <w:tcW w:w="7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3.2</w:t>
            </w:r>
          </w:p>
        </w:tc>
        <w:tc>
          <w:tcPr>
            <w:tcW w:w="9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3,682</w:t>
            </w:r>
          </w:p>
        </w:tc>
        <w:tc>
          <w:tcPr>
            <w:tcW w:w="8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3.4</w:t>
            </w:r>
          </w:p>
        </w:tc>
        <w:tc>
          <w:tcPr>
            <w:tcW w:w="8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3.3</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10,738</w:t>
            </w:r>
          </w:p>
        </w:tc>
        <w:tc>
          <w:tcPr>
            <w:tcW w:w="76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3.1</w:t>
            </w:r>
          </w:p>
        </w:tc>
        <w:tc>
          <w:tcPr>
            <w:tcW w:w="8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11,045</w:t>
            </w:r>
          </w:p>
        </w:tc>
        <w:tc>
          <w:tcPr>
            <w:tcW w:w="84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3.4</w:t>
            </w:r>
          </w:p>
        </w:tc>
        <w:tc>
          <w:tcPr>
            <w:tcW w:w="7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-2.8</w:t>
            </w: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Amortization &amp; other non-cash</w:t>
            </w:r>
          </w:p>
        </w:tc>
        <w:tc>
          <w:tcPr>
            <w:tcW w:w="7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1,251</w:t>
            </w:r>
          </w:p>
        </w:tc>
        <w:tc>
          <w:tcPr>
            <w:tcW w:w="7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1,185</w:t>
            </w:r>
          </w:p>
        </w:tc>
        <w:tc>
          <w:tcPr>
            <w:tcW w:w="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2,957</w:t>
            </w:r>
          </w:p>
        </w:tc>
        <w:tc>
          <w:tcPr>
            <w:tcW w:w="7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3,417</w:t>
            </w:r>
          </w:p>
        </w:tc>
        <w:tc>
          <w:tcPr>
            <w:tcW w:w="8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charges</w:t>
            </w:r>
          </w:p>
        </w:tc>
        <w:tc>
          <w:tcPr>
            <w:tcW w:w="78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92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5.6</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82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Operative Cash Flow</w:t>
            </w:r>
          </w:p>
        </w:tc>
        <w:tc>
          <w:tcPr>
            <w:tcW w:w="12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15,046</w:t>
            </w:r>
          </w:p>
        </w:tc>
        <w:tc>
          <w:tcPr>
            <w:tcW w:w="7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14,106</w:t>
            </w:r>
          </w:p>
        </w:tc>
        <w:tc>
          <w:tcPr>
            <w:tcW w:w="8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42,001</w:t>
            </w:r>
          </w:p>
        </w:tc>
        <w:tc>
          <w:tcPr>
            <w:tcW w:w="7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41,130</w:t>
            </w:r>
          </w:p>
        </w:tc>
        <w:tc>
          <w:tcPr>
            <w:tcW w:w="8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(EBITDA)</w:t>
            </w:r>
          </w:p>
        </w:tc>
        <w:tc>
          <w:tcPr>
            <w:tcW w:w="780" w:type="dxa"/>
            <w:vAlign w:val="bottom"/>
            <w:vMerge w:val="continue"/>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920" w:type="dxa"/>
            <w:vAlign w:val="bottom"/>
            <w:vMerge w:val="continue"/>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12.9</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6.7</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820" w:type="dxa"/>
            <w:vAlign w:val="bottom"/>
            <w:vMerge w:val="continue"/>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12.6</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18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CAPEX</w:t>
            </w:r>
          </w:p>
        </w:tc>
        <w:tc>
          <w:tcPr>
            <w:tcW w:w="1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6,650</w:t>
            </w:r>
          </w:p>
        </w:tc>
        <w:tc>
          <w:tcPr>
            <w:tcW w:w="7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6,139</w:t>
            </w:r>
          </w:p>
        </w:tc>
        <w:tc>
          <w:tcPr>
            <w:tcW w:w="8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8.3</w:t>
            </w:r>
          </w:p>
        </w:tc>
        <w:tc>
          <w:tcPr>
            <w:tcW w:w="7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16,533</w:t>
            </w:r>
          </w:p>
        </w:tc>
        <w:tc>
          <w:tcPr>
            <w:tcW w:w="7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15,667</w:t>
            </w:r>
          </w:p>
        </w:tc>
        <w:tc>
          <w:tcPr>
            <w:tcW w:w="8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5.5</w:t>
            </w:r>
          </w:p>
        </w:tc>
        <w:tc>
          <w:tcPr>
            <w:tcW w:w="8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Ratios</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23"/>
                <w:szCs w:val="23"/>
                <w:color w:val="auto"/>
              </w:rPr>
            </w:pP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23"/>
                <w:szCs w:val="23"/>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Var.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9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p.p.</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color w:val="auto"/>
              </w:rPr>
              <w:t>Liquidity</w:t>
            </w:r>
            <w:r>
              <w:rPr>
                <w:rFonts w:ascii="Arial" w:cs="Arial" w:eastAsia="Arial" w:hAnsi="Arial"/>
                <w:sz w:val="21"/>
                <w:szCs w:val="21"/>
                <w:color w:val="auto"/>
                <w:vertAlign w:val="superscript"/>
              </w:rPr>
              <w:t>(4)</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1.49</w:t>
            </w:r>
          </w:p>
        </w:tc>
        <w:tc>
          <w:tcPr>
            <w:tcW w:w="7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1.73</w:t>
            </w:r>
          </w:p>
        </w:tc>
        <w:tc>
          <w:tcPr>
            <w:tcW w:w="8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(0.23)</w:t>
            </w: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60" w:type="dxa"/>
            <w:vAlign w:val="bottom"/>
            <w:gridSpan w:val="2"/>
          </w:tcPr>
          <w:p>
            <w:pPr>
              <w:spacing w:after="0" w:line="189" w:lineRule="exact"/>
              <w:rPr>
                <w:sz w:val="20"/>
                <w:szCs w:val="20"/>
                <w:color w:val="auto"/>
              </w:rPr>
            </w:pPr>
            <w:r>
              <w:rPr>
                <w:rFonts w:ascii="Arial" w:cs="Arial" w:eastAsia="Arial" w:hAnsi="Arial"/>
                <w:sz w:val="13"/>
                <w:szCs w:val="13"/>
                <w:color w:val="auto"/>
              </w:rPr>
              <w:t>Interest coverage</w:t>
            </w:r>
            <w:r>
              <w:rPr>
                <w:rFonts w:ascii="Arial" w:cs="Arial" w:eastAsia="Arial" w:hAnsi="Arial"/>
                <w:sz w:val="21"/>
                <w:szCs w:val="21"/>
                <w:color w:val="auto"/>
                <w:vertAlign w:val="superscript"/>
              </w:rPr>
              <w:t>(5)</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9.49</w:t>
            </w:r>
          </w:p>
        </w:tc>
        <w:tc>
          <w:tcPr>
            <w:tcW w:w="70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6.07</w:t>
            </w:r>
          </w:p>
        </w:tc>
        <w:tc>
          <w:tcPr>
            <w:tcW w:w="800" w:type="dxa"/>
            <w:vAlign w:val="bottom"/>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3.42</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Leverage</w:t>
            </w:r>
            <w:r>
              <w:rPr>
                <w:rFonts w:ascii="Arial" w:cs="Arial" w:eastAsia="Arial" w:hAnsi="Arial"/>
                <w:sz w:val="21"/>
                <w:szCs w:val="21"/>
                <w:color w:val="auto"/>
                <w:vertAlign w:val="superscript"/>
              </w:rPr>
              <w:t>(6)</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0.80</w:t>
            </w: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0.75</w:t>
            </w: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0.05</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Borders>
              <w:bottom w:val="single" w:sz="8" w:color="auto"/>
            </w:tcBorders>
          </w:tcPr>
          <w:p>
            <w:pPr>
              <w:spacing w:after="0" w:line="189" w:lineRule="exact"/>
              <w:rPr>
                <w:sz w:val="20"/>
                <w:szCs w:val="20"/>
                <w:color w:val="auto"/>
              </w:rPr>
            </w:pPr>
            <w:r>
              <w:rPr>
                <w:rFonts w:ascii="Arial" w:cs="Arial" w:eastAsia="Arial" w:hAnsi="Arial"/>
                <w:sz w:val="13"/>
                <w:szCs w:val="13"/>
                <w:color w:val="auto"/>
              </w:rPr>
              <w:t>Capitalization</w:t>
            </w:r>
            <w:r>
              <w:rPr>
                <w:rFonts w:ascii="Arial" w:cs="Arial" w:eastAsia="Arial" w:hAnsi="Arial"/>
                <w:sz w:val="21"/>
                <w:szCs w:val="21"/>
                <w:color w:val="auto"/>
                <w:vertAlign w:val="superscript"/>
              </w:rPr>
              <w:t>(7)</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30.24%</w:t>
            </w: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27.80%</w:t>
            </w:r>
          </w:p>
        </w:tc>
        <w:tc>
          <w:tcPr>
            <w:tcW w:w="8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60" w:firstLine="8"/>
        <w:spacing w:after="0" w:line="211" w:lineRule="auto"/>
        <w:tabs>
          <w:tab w:leader="none" w:pos="253" w:val="left"/>
        </w:tabs>
        <w:numPr>
          <w:ilvl w:val="0"/>
          <w:numId w:val="9"/>
        </w:numPr>
        <w:rPr>
          <w:rFonts w:ascii="Arial" w:cs="Arial" w:eastAsia="Arial" w:hAnsi="Arial"/>
          <w:sz w:val="27"/>
          <w:szCs w:val="27"/>
          <w:color w:val="auto"/>
          <w:vertAlign w:val="superscript"/>
        </w:rPr>
      </w:pPr>
      <w:r>
        <w:rPr>
          <w:rFonts w:ascii="Arial" w:cs="Arial" w:eastAsia="Arial" w:hAnsi="Arial"/>
          <w:sz w:val="17"/>
          <w:szCs w:val="17"/>
          <w:color w:val="auto"/>
        </w:rPr>
        <w:t>The Philippines is presented as a discontinued operation as of January 1, 2018, and the consolidated income statements presented herein are re-presented as if the Philippines had been discontinued from February 2017, date of the consolidation of said operation.</w:t>
      </w:r>
    </w:p>
    <w:p>
      <w:pPr>
        <w:spacing w:after="0" w:line="27" w:lineRule="exact"/>
        <w:rPr>
          <w:rFonts w:ascii="Arial" w:cs="Arial" w:eastAsia="Arial" w:hAnsi="Arial"/>
          <w:sz w:val="27"/>
          <w:szCs w:val="27"/>
          <w:color w:val="auto"/>
          <w:vertAlign w:val="superscript"/>
        </w:rPr>
      </w:pPr>
    </w:p>
    <w:p>
      <w:pPr>
        <w:ind w:right="660" w:firstLine="8"/>
        <w:spacing w:after="0" w:line="221" w:lineRule="auto"/>
        <w:tabs>
          <w:tab w:leader="none" w:pos="245"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Organic basis (% Org.) Excludes the effects of significant mergers and acquisitions in the last twelve month and the results of Coca-Cola FEMSA Venezuela in 2017.</w:t>
      </w:r>
    </w:p>
    <w:p>
      <w:pPr>
        <w:spacing w:after="0" w:line="1" w:lineRule="exact"/>
        <w:rPr>
          <w:rFonts w:ascii="Arial" w:cs="Arial" w:eastAsia="Arial" w:hAnsi="Arial"/>
          <w:sz w:val="26"/>
          <w:szCs w:val="26"/>
          <w:color w:val="auto"/>
          <w:vertAlign w:val="superscript"/>
        </w:rPr>
      </w:pPr>
    </w:p>
    <w:p>
      <w:pPr>
        <w:spacing w:after="0" w:line="207" w:lineRule="auto"/>
        <w:rPr>
          <w:rFonts w:ascii="Arial" w:cs="Arial" w:eastAsia="Arial" w:hAnsi="Arial"/>
          <w:sz w:val="26"/>
          <w:szCs w:val="26"/>
          <w:color w:val="auto"/>
          <w:vertAlign w:val="superscript"/>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Other operating expenses (income), net = other operating expenses (income) +(-) equity method from operated associates.</w:t>
      </w:r>
    </w:p>
    <w:p>
      <w:pPr>
        <w:spacing w:after="0" w:line="1" w:lineRule="exact"/>
        <w:rPr>
          <w:rFonts w:ascii="Arial" w:cs="Arial" w:eastAsia="Arial" w:hAnsi="Arial"/>
          <w:sz w:val="26"/>
          <w:szCs w:val="26"/>
          <w:color w:val="auto"/>
          <w:vertAlign w:val="superscript"/>
        </w:rPr>
      </w:pPr>
    </w:p>
    <w:p>
      <w:pPr>
        <w:spacing w:after="0" w:line="184"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Income from operations = gross profit - administrative and selling expenses - other operating expenses (income), net.</w:t>
      </w:r>
    </w:p>
    <w:p>
      <w:pPr>
        <w:spacing w:after="0" w:line="184"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Mainly represents the equity method participation in Heineken´s results, net.</w:t>
      </w:r>
    </w:p>
    <w:p>
      <w:pPr>
        <w:spacing w:after="0" w:line="184"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Total current assets / total current liabilities.</w:t>
      </w:r>
    </w:p>
    <w:p>
      <w:pPr>
        <w:spacing w:after="0" w:line="184"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Income from operations + depreciation + amortization &amp; other / interest expense, net.</w:t>
      </w:r>
    </w:p>
    <w:p>
      <w:pPr>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(6)</w:t>
      </w:r>
      <w:r>
        <w:rPr>
          <w:rFonts w:ascii="Arial" w:cs="Arial" w:eastAsia="Arial" w:hAnsi="Arial"/>
          <w:sz w:val="16"/>
          <w:szCs w:val="16"/>
          <w:color w:val="auto"/>
        </w:rPr>
        <w:t xml:space="preserve"> Total liabilities / total stockholders’ equity.</w:t>
      </w:r>
    </w:p>
    <w:p>
      <w:pPr>
        <w:ind w:left="220" w:hanging="212"/>
        <w:spacing w:after="0" w:line="205" w:lineRule="auto"/>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Total debt / long-term debt + stockholders’ equity.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debt = short-term bank loans + current maturities of long-term debt + long-term bank loans.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-128270</wp:posOffset>
            </wp:positionV>
            <wp:extent cx="1715135"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FEMSA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Millions of Pesos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 xml:space="preserve">Sep-18 </w:t>
            </w:r>
            <w:r>
              <w:rPr>
                <w:rFonts w:ascii="Arial" w:cs="Arial" w:eastAsia="Arial" w:hAnsi="Arial"/>
                <w:sz w:val="30"/>
                <w:szCs w:val="30"/>
                <w:b w:val="1"/>
                <w:bCs w:val="1"/>
                <w:color w:val="auto"/>
                <w:vertAlign w:val="superscript"/>
              </w:rPr>
              <w:t>(1)</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 xml:space="preserve">Dec-17 </w:t>
            </w:r>
            <w:r>
              <w:rPr>
                <w:rFonts w:ascii="Arial" w:cs="Arial" w:eastAsia="Arial" w:hAnsi="Arial"/>
                <w:sz w:val="30"/>
                <w:szCs w:val="30"/>
                <w:b w:val="1"/>
                <w:bCs w:val="1"/>
                <w:color w:val="auto"/>
                <w:vertAlign w:val="superscript"/>
              </w:rPr>
              <w:t>(1)</w:t>
            </w:r>
          </w:p>
        </w:tc>
        <w:tc>
          <w:tcPr>
            <w:tcW w:w="10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 Var.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54,166</w:t>
            </w:r>
          </w:p>
        </w:tc>
        <w:tc>
          <w:tcPr>
            <w:tcW w:w="21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96,944</w:t>
            </w:r>
          </w:p>
        </w:tc>
        <w:tc>
          <w:tcPr>
            <w:tcW w:w="10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Investments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22,388</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2,160</w:t>
            </w:r>
          </w:p>
        </w:tc>
        <w:tc>
          <w:tcPr>
            <w:tcW w:w="10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25,491</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32,316</w:t>
            </w: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32,541</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34,840</w:t>
            </w:r>
          </w:p>
        </w:tc>
        <w:tc>
          <w:tcPr>
            <w:tcW w:w="10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19,903</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14,928</w:t>
            </w: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Assets held for sale</w:t>
            </w:r>
          </w:p>
        </w:tc>
        <w:tc>
          <w:tcPr>
            <w:tcW w:w="1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28,571</w:t>
            </w:r>
          </w:p>
        </w:tc>
        <w:tc>
          <w:tcPr>
            <w:tcW w:w="2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183,060</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181,188</w:t>
            </w: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Investments in shares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89,763</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96,097</w:t>
            </w:r>
          </w:p>
        </w:tc>
        <w:tc>
          <w:tcPr>
            <w:tcW w:w="10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103,108</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116,712</w:t>
            </w: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spacing w:after="0" w:line="256"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9"/>
                <w:szCs w:val="29"/>
                <w:color w:val="auto"/>
                <w:vertAlign w:val="superscript"/>
              </w:rPr>
              <w:t>(2)</w:t>
            </w:r>
          </w:p>
        </w:tc>
        <w:tc>
          <w:tcPr>
            <w:tcW w:w="1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141,132</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154,093</w:t>
            </w:r>
          </w:p>
        </w:tc>
        <w:tc>
          <w:tcPr>
            <w:tcW w:w="10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63,729</w:t>
            </w:r>
          </w:p>
        </w:tc>
        <w:tc>
          <w:tcPr>
            <w:tcW w:w="2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40,451</w:t>
            </w:r>
          </w:p>
        </w:tc>
        <w:tc>
          <w:tcPr>
            <w:tcW w:w="10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580,792</w:t>
            </w:r>
          </w:p>
        </w:tc>
        <w:tc>
          <w:tcPr>
            <w:tcW w:w="2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588,541</w:t>
            </w:r>
          </w:p>
        </w:tc>
        <w:tc>
          <w:tcPr>
            <w:tcW w:w="1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Bank loans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2,499</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2,830</w:t>
            </w: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9,850</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10,760</w:t>
            </w:r>
          </w:p>
        </w:tc>
        <w:tc>
          <w:tcPr>
            <w:tcW w:w="10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1,588</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976</w:t>
            </w: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Operating liabilities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89,654</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90,456</w:t>
            </w:r>
          </w:p>
        </w:tc>
        <w:tc>
          <w:tcPr>
            <w:tcW w:w="10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Liabilities directly related to assets held for sale</w:t>
            </w: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8,515</w:t>
            </w:r>
          </w:p>
        </w:tc>
        <w:tc>
          <w:tcPr>
            <w:tcW w:w="2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112,106</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105,022</w:t>
            </w:r>
          </w:p>
        </w:tc>
        <w:tc>
          <w:tcPr>
            <w:tcW w:w="10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9"/>
                <w:szCs w:val="29"/>
                <w:color w:val="auto"/>
                <w:vertAlign w:val="superscript"/>
              </w:rPr>
              <w:t>(3)</w:t>
            </w:r>
          </w:p>
        </w:tc>
        <w:tc>
          <w:tcPr>
            <w:tcW w:w="15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117,071</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110,917</w:t>
            </w:r>
          </w:p>
        </w:tc>
        <w:tc>
          <w:tcPr>
            <w:tcW w:w="10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Labor liabilities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5,600</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5,373</w:t>
            </w:r>
          </w:p>
        </w:tc>
        <w:tc>
          <w:tcPr>
            <w:tcW w:w="10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23,105</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30,317</w:t>
            </w: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liabilities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257,882</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251,629</w:t>
            </w:r>
          </w:p>
        </w:tc>
        <w:tc>
          <w:tcPr>
            <w:tcW w:w="10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5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322,910</w:t>
            </w:r>
          </w:p>
        </w:tc>
        <w:tc>
          <w:tcPr>
            <w:tcW w:w="2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336,912</w:t>
            </w:r>
          </w:p>
        </w:tc>
        <w:tc>
          <w:tcPr>
            <w:tcW w:w="10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580,792</w:t>
            </w:r>
          </w:p>
        </w:tc>
        <w:tc>
          <w:tcPr>
            <w:tcW w:w="2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588,541</w:t>
            </w:r>
          </w:p>
        </w:tc>
        <w:tc>
          <w:tcPr>
            <w:tcW w:w="1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53"/>
        </w:trPr>
        <w:tc>
          <w:tcPr>
            <w:tcW w:w="3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DEBT MIX </w:t>
            </w:r>
            <w:r>
              <w:rPr>
                <w:rFonts w:ascii="Arial" w:cs="Arial" w:eastAsia="Arial" w:hAnsi="Arial"/>
                <w:sz w:val="30"/>
                <w:szCs w:val="30"/>
                <w:b w:val="1"/>
                <w:bCs w:val="1"/>
                <w:color w:val="auto"/>
                <w:vertAlign w:val="superscript"/>
              </w:rPr>
              <w:t>(2)</w:t>
            </w: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rPr>
              <w:t>September 30, 2018</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40" w:type="dxa"/>
            <w:vAlign w:val="bottom"/>
            <w:gridSpan w:val="2"/>
            <w:vMerge w:val="continue"/>
          </w:tcPr>
          <w:p>
            <w:pPr>
              <w:spacing w:after="0"/>
              <w:rPr>
                <w:sz w:val="20"/>
                <w:szCs w:val="20"/>
                <w:color w:val="auto"/>
              </w:rPr>
            </w:pPr>
          </w:p>
        </w:tc>
        <w:tc>
          <w:tcPr>
            <w:tcW w:w="1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rPr>
              <w:t>% of Total</w:t>
            </w:r>
          </w:p>
        </w:tc>
        <w:tc>
          <w:tcPr>
            <w:tcW w:w="2100" w:type="dxa"/>
            <w:vAlign w:val="bottom"/>
            <w:gridSpan w:val="2"/>
          </w:tcPr>
          <w:p>
            <w:pPr>
              <w:jc w:val="right"/>
              <w:ind w:right="480"/>
              <w:spacing w:after="0"/>
              <w:rPr>
                <w:sz w:val="20"/>
                <w:szCs w:val="20"/>
                <w:color w:val="auto"/>
              </w:rPr>
            </w:pPr>
            <w:r>
              <w:rPr>
                <w:rFonts w:ascii="Arial" w:cs="Arial" w:eastAsia="Arial" w:hAnsi="Arial"/>
                <w:sz w:val="18"/>
                <w:szCs w:val="18"/>
                <w:b w:val="1"/>
                <w:bCs w:val="1"/>
                <w:i w:val="1"/>
                <w:iCs w:val="1"/>
                <w:color w:val="auto"/>
              </w:rPr>
              <w:t>Average Rate</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Denominated in:</w:t>
            </w:r>
          </w:p>
        </w:tc>
        <w:tc>
          <w:tcPr>
            <w:tcW w:w="15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Mexican pesos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w:t>
            </w:r>
          </w:p>
        </w:tc>
        <w:tc>
          <w:tcPr>
            <w:tcW w:w="1780" w:type="dxa"/>
            <w:vAlign w:val="bottom"/>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Dollars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Euros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17.0%</w:t>
            </w:r>
          </w:p>
        </w:tc>
        <w:tc>
          <w:tcPr>
            <w:tcW w:w="178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Colombian pesos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Argentine pesos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0.1%</w:t>
            </w:r>
          </w:p>
        </w:tc>
        <w:tc>
          <w:tcPr>
            <w:tcW w:w="1780" w:type="dxa"/>
            <w:vAlign w:val="bottom"/>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Brazilian reais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Chilean pesos</w:t>
            </w:r>
          </w:p>
        </w:tc>
        <w:tc>
          <w:tcPr>
            <w:tcW w:w="1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debt</w:t>
            </w:r>
          </w:p>
        </w:tc>
        <w:tc>
          <w:tcPr>
            <w:tcW w:w="15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Fixed rate</w:t>
            </w:r>
            <w:r>
              <w:rPr>
                <w:rFonts w:ascii="Arial" w:cs="Arial" w:eastAsia="Arial" w:hAnsi="Arial"/>
                <w:sz w:val="28"/>
                <w:szCs w:val="28"/>
                <w:color w:val="auto"/>
                <w:vertAlign w:val="superscript"/>
              </w:rPr>
              <w:t>(2)</w:t>
            </w:r>
          </w:p>
        </w:tc>
        <w:tc>
          <w:tcPr>
            <w:tcW w:w="15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780" w:type="dxa"/>
            <w:vAlign w:val="bottom"/>
            <w:shd w:val="clear" w:color="auto" w:fill="CCEEFF"/>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Borders>
              <w:bottom w:val="single" w:sz="8" w:color="auto"/>
            </w:tcBorders>
          </w:tcPr>
          <w:p>
            <w:pPr>
              <w:spacing w:after="0" w:line="256" w:lineRule="exact"/>
              <w:rPr>
                <w:sz w:val="20"/>
                <w:szCs w:val="20"/>
                <w:color w:val="auto"/>
              </w:rPr>
            </w:pPr>
            <w:r>
              <w:rPr>
                <w:rFonts w:ascii="Arial" w:cs="Arial" w:eastAsia="Arial" w:hAnsi="Arial"/>
                <w:sz w:val="18"/>
                <w:szCs w:val="18"/>
                <w:color w:val="auto"/>
              </w:rPr>
              <w:t>Variable rate</w:t>
            </w:r>
            <w:r>
              <w:rPr>
                <w:rFonts w:ascii="Arial" w:cs="Arial" w:eastAsia="Arial" w:hAnsi="Arial"/>
                <w:sz w:val="29"/>
                <w:szCs w:val="29"/>
                <w:color w:val="auto"/>
                <w:vertAlign w:val="superscript"/>
              </w:rPr>
              <w:t>(2)</w:t>
            </w:r>
          </w:p>
        </w:tc>
        <w:tc>
          <w:tcPr>
            <w:tcW w:w="15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DEBT MATURITY PROFILE</w:t>
            </w: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7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4"/>
                <w:szCs w:val="24"/>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2022</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of Total Debt</w:t>
            </w:r>
          </w:p>
        </w:tc>
        <w:tc>
          <w:tcPr>
            <w:tcW w:w="15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6.8%</w:t>
            </w:r>
          </w:p>
        </w:tc>
        <w:tc>
          <w:tcPr>
            <w:tcW w:w="88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17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9.1%</w:t>
            </w:r>
          </w:p>
        </w:tc>
        <w:tc>
          <w:tcPr>
            <w:tcW w:w="178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9.4%</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1.8%</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8"/>
        <w:spacing w:after="0" w:line="227" w:lineRule="auto"/>
        <w:tabs>
          <w:tab w:leader="none" w:pos="212"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The Philippines is presented as a discontinued operation as of January 1, 2018, and the consolidated income statements presented herein are re-presented as if the Philippines had been discontinued from February 2017, date of the consolidation of said operation.</w:t>
      </w:r>
    </w:p>
    <w:p>
      <w:pPr>
        <w:ind w:left="220" w:hanging="212"/>
        <w:spacing w:after="0" w:line="205" w:lineRule="auto"/>
        <w:tabs>
          <w:tab w:leader="none" w:pos="2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Includes mainly the intangible assets generated by acquisitions.</w:t>
      </w:r>
    </w:p>
    <w:p>
      <w:pPr>
        <w:spacing w:after="0" w:line="43"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Includes the effect of derivative financial instruments on long-term debt.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-128270</wp:posOffset>
            </wp:positionV>
            <wp:extent cx="1715135"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FEMSA Comercio - Proximity Division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Millions of Pesos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9"/>
              </w:rPr>
              <w:t>For the third quarter of:</w:t>
            </w: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7"/>
              </w:rPr>
              <w:t>For the nine months of:</w:t>
            </w: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28"/>
              <w:spacing w:after="0" w:line="183" w:lineRule="exact"/>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21"/>
                <w:szCs w:val="21"/>
                <w:b w:val="1"/>
                <w:bCs w:val="1"/>
                <w:color w:val="auto"/>
                <w:vertAlign w:val="superscript"/>
              </w:rPr>
              <w:t>(A)</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rev.</w:t>
            </w:r>
          </w:p>
        </w:tc>
        <w:tc>
          <w:tcPr>
            <w:tcW w:w="780" w:type="dxa"/>
            <w:vAlign w:val="bottom"/>
            <w:tcBorders>
              <w:bottom w:val="single" w:sz="8" w:color="auto"/>
            </w:tcBorders>
          </w:tcPr>
          <w:p>
            <w:pPr>
              <w:jc w:val="right"/>
              <w:ind w:right="28"/>
              <w:spacing w:after="0" w:line="183" w:lineRule="exact"/>
              <w:rPr>
                <w:sz w:val="20"/>
                <w:szCs w:val="20"/>
                <w:color w:val="auto"/>
              </w:rPr>
            </w:pPr>
            <w:r>
              <w:rPr>
                <w:rFonts w:ascii="Arial" w:cs="Arial" w:eastAsia="Arial" w:hAnsi="Arial"/>
                <w:sz w:val="13"/>
                <w:szCs w:val="13"/>
                <w:b w:val="1"/>
                <w:bCs w:val="1"/>
                <w:color w:val="auto"/>
              </w:rPr>
              <w:t xml:space="preserve">2017 </w:t>
            </w:r>
            <w:r>
              <w:rPr>
                <w:rFonts w:ascii="Arial" w:cs="Arial" w:eastAsia="Arial" w:hAnsi="Arial"/>
                <w:sz w:val="21"/>
                <w:szCs w:val="21"/>
                <w:b w:val="1"/>
                <w:bCs w:val="1"/>
                <w:color w:val="auto"/>
                <w:vertAlign w:val="superscript"/>
              </w:rPr>
              <w:t>(A)</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rev.</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Var.</w:t>
            </w:r>
          </w:p>
        </w:tc>
        <w:tc>
          <w:tcPr>
            <w:tcW w:w="800" w:type="dxa"/>
            <w:vAlign w:val="bottom"/>
            <w:tcBorders>
              <w:bottom w:val="single" w:sz="8" w:color="auto"/>
            </w:tcBorders>
          </w:tcPr>
          <w:p>
            <w:pPr>
              <w:jc w:val="right"/>
              <w:ind w:right="29"/>
              <w:spacing w:after="0" w:line="183" w:lineRule="exact"/>
              <w:rPr>
                <w:sz w:val="20"/>
                <w:szCs w:val="20"/>
                <w:color w:val="auto"/>
              </w:rPr>
            </w:pPr>
            <w:r>
              <w:rPr>
                <w:rFonts w:ascii="Arial" w:cs="Arial" w:eastAsia="Arial" w:hAnsi="Arial"/>
                <w:sz w:val="13"/>
                <w:szCs w:val="13"/>
                <w:b w:val="1"/>
                <w:bCs w:val="1"/>
                <w:color w:val="auto"/>
              </w:rPr>
              <w:t xml:space="preserve">% Org </w:t>
            </w:r>
            <w:r>
              <w:rPr>
                <w:rFonts w:ascii="Arial" w:cs="Arial" w:eastAsia="Arial" w:hAnsi="Arial"/>
                <w:sz w:val="21"/>
                <w:szCs w:val="21"/>
                <w:b w:val="1"/>
                <w:bCs w:val="1"/>
                <w:color w:val="auto"/>
                <w:vertAlign w:val="superscript"/>
              </w:rPr>
              <w:t>(B)</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28"/>
              <w:spacing w:after="0" w:line="183" w:lineRule="exact"/>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21"/>
                <w:szCs w:val="21"/>
                <w:b w:val="1"/>
                <w:bCs w:val="1"/>
                <w:color w:val="auto"/>
                <w:vertAlign w:val="superscript"/>
              </w:rPr>
              <w:t>(A)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rev.</w:t>
            </w:r>
          </w:p>
        </w:tc>
        <w:tc>
          <w:tcPr>
            <w:tcW w:w="780" w:type="dxa"/>
            <w:vAlign w:val="bottom"/>
            <w:tcBorders>
              <w:bottom w:val="single" w:sz="8" w:color="auto"/>
            </w:tcBorders>
          </w:tcPr>
          <w:p>
            <w:pPr>
              <w:jc w:val="right"/>
              <w:ind w:right="28"/>
              <w:spacing w:after="0" w:line="183" w:lineRule="exact"/>
              <w:rPr>
                <w:sz w:val="20"/>
                <w:szCs w:val="20"/>
                <w:color w:val="auto"/>
              </w:rPr>
            </w:pPr>
            <w:r>
              <w:rPr>
                <w:rFonts w:ascii="Arial" w:cs="Arial" w:eastAsia="Arial" w:hAnsi="Arial"/>
                <w:sz w:val="13"/>
                <w:szCs w:val="13"/>
                <w:b w:val="1"/>
                <w:bCs w:val="1"/>
                <w:color w:val="auto"/>
              </w:rPr>
              <w:t xml:space="preserve">2017 </w:t>
            </w:r>
            <w:r>
              <w:rPr>
                <w:rFonts w:ascii="Arial" w:cs="Arial" w:eastAsia="Arial" w:hAnsi="Arial"/>
                <w:sz w:val="21"/>
                <w:szCs w:val="21"/>
                <w:b w:val="1"/>
                <w:bCs w:val="1"/>
                <w:color w:val="auto"/>
                <w:vertAlign w:val="superscript"/>
              </w:rPr>
              <w:t>(A)</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of rev.</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Var.</w:t>
            </w:r>
          </w:p>
        </w:tc>
        <w:tc>
          <w:tcPr>
            <w:tcW w:w="840" w:type="dxa"/>
            <w:vAlign w:val="bottom"/>
            <w:tcBorders>
              <w:bottom w:val="single" w:sz="8" w:color="auto"/>
            </w:tcBorders>
          </w:tcPr>
          <w:p>
            <w:pPr>
              <w:jc w:val="right"/>
              <w:ind w:right="29"/>
              <w:spacing w:after="0" w:line="183" w:lineRule="exact"/>
              <w:rPr>
                <w:sz w:val="20"/>
                <w:szCs w:val="20"/>
                <w:color w:val="auto"/>
              </w:rPr>
            </w:pPr>
            <w:r>
              <w:rPr>
                <w:rFonts w:ascii="Arial" w:cs="Arial" w:eastAsia="Arial" w:hAnsi="Arial"/>
                <w:sz w:val="13"/>
                <w:szCs w:val="13"/>
                <w:b w:val="1"/>
                <w:bCs w:val="1"/>
                <w:color w:val="auto"/>
              </w:rPr>
              <w:t xml:space="preserve">% Org </w:t>
            </w:r>
            <w:r>
              <w:rPr>
                <w:rFonts w:ascii="Arial" w:cs="Arial" w:eastAsia="Arial" w:hAnsi="Arial"/>
                <w:sz w:val="21"/>
                <w:szCs w:val="21"/>
                <w:b w:val="1"/>
                <w:bCs w:val="1"/>
                <w:color w:val="auto"/>
                <w:vertAlign w:val="superscript"/>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revenues</w:t>
            </w:r>
          </w:p>
        </w:tc>
        <w:tc>
          <w:tcPr>
            <w:tcW w:w="6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43,967</w:t>
            </w:r>
          </w:p>
        </w:tc>
        <w:tc>
          <w:tcPr>
            <w:tcW w:w="7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100.0</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39,212</w:t>
            </w:r>
          </w:p>
        </w:tc>
        <w:tc>
          <w:tcPr>
            <w:tcW w:w="90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100.0</w:t>
            </w:r>
          </w:p>
        </w:tc>
        <w:tc>
          <w:tcPr>
            <w:tcW w:w="68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12.1</w:t>
            </w:r>
          </w:p>
        </w:tc>
        <w:tc>
          <w:tcPr>
            <w:tcW w:w="8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124,101</w:t>
            </w:r>
          </w:p>
        </w:tc>
        <w:tc>
          <w:tcPr>
            <w:tcW w:w="7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100.0</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110,790</w:t>
            </w:r>
          </w:p>
        </w:tc>
        <w:tc>
          <w:tcPr>
            <w:tcW w:w="920" w:type="dxa"/>
            <w:vAlign w:val="bottom"/>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100.0</w:t>
            </w:r>
          </w:p>
        </w:tc>
        <w:tc>
          <w:tcPr>
            <w:tcW w:w="6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12.0</w:t>
            </w:r>
          </w:p>
        </w:tc>
        <w:tc>
          <w:tcPr>
            <w:tcW w:w="84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rPr>
              <w:t>Cost of sales</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26,917</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61.2</w:t>
            </w: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24,665</w:t>
            </w:r>
          </w:p>
        </w:tc>
        <w:tc>
          <w:tcPr>
            <w:tcW w:w="9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62.9</w:t>
            </w: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9.1</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77,482</w:t>
            </w: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62.4</w:t>
            </w: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70,500</w:t>
            </w: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63.6</w:t>
            </w: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9.9</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17,050</w:t>
            </w:r>
          </w:p>
        </w:tc>
        <w:tc>
          <w:tcPr>
            <w:tcW w:w="7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38.8</w:t>
            </w: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14,547</w:t>
            </w:r>
          </w:p>
        </w:tc>
        <w:tc>
          <w:tcPr>
            <w:tcW w:w="9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37.1</w:t>
            </w:r>
          </w:p>
        </w:tc>
        <w:tc>
          <w:tcPr>
            <w:tcW w:w="68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17.2</w:t>
            </w:r>
          </w:p>
        </w:tc>
        <w:tc>
          <w:tcPr>
            <w:tcW w:w="80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46,619</w:t>
            </w:r>
          </w:p>
        </w:tc>
        <w:tc>
          <w:tcPr>
            <w:tcW w:w="78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37.6</w:t>
            </w: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40,290</w:t>
            </w:r>
          </w:p>
        </w:tc>
        <w:tc>
          <w:tcPr>
            <w:tcW w:w="9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36.4</w:t>
            </w:r>
          </w:p>
        </w:tc>
        <w:tc>
          <w:tcPr>
            <w:tcW w:w="6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15.7</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line="142" w:lineRule="exact"/>
              <w:rPr>
                <w:sz w:val="20"/>
                <w:szCs w:val="20"/>
                <w:color w:val="auto"/>
              </w:rPr>
            </w:pPr>
            <w:r>
              <w:rPr>
                <w:rFonts w:ascii="Arial" w:cs="Arial" w:eastAsia="Arial" w:hAnsi="Arial"/>
                <w:sz w:val="14"/>
                <w:szCs w:val="14"/>
                <w:color w:val="auto"/>
              </w:rPr>
              <w:t>Administrative expenses</w:t>
            </w:r>
          </w:p>
        </w:tc>
        <w:tc>
          <w:tcPr>
            <w:tcW w:w="100" w:type="dxa"/>
            <w:vAlign w:val="bottom"/>
          </w:tcPr>
          <w:p>
            <w:pPr>
              <w:spacing w:after="0"/>
              <w:rPr>
                <w:sz w:val="12"/>
                <w:szCs w:val="12"/>
                <w:color w:val="auto"/>
              </w:rPr>
            </w:pPr>
          </w:p>
        </w:tc>
        <w:tc>
          <w:tcPr>
            <w:tcW w:w="6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1,046</w:t>
            </w:r>
          </w:p>
        </w:tc>
        <w:tc>
          <w:tcPr>
            <w:tcW w:w="760" w:type="dxa"/>
            <w:vAlign w:val="bottom"/>
          </w:tcPr>
          <w:p>
            <w:pPr>
              <w:jc w:val="right"/>
              <w:ind w:right="8"/>
              <w:spacing w:after="0" w:line="142" w:lineRule="exact"/>
              <w:rPr>
                <w:sz w:val="20"/>
                <w:szCs w:val="20"/>
                <w:color w:val="auto"/>
              </w:rPr>
            </w:pPr>
            <w:r>
              <w:rPr>
                <w:rFonts w:ascii="Arial" w:cs="Arial" w:eastAsia="Arial" w:hAnsi="Arial"/>
                <w:sz w:val="14"/>
                <w:szCs w:val="14"/>
                <w:color w:val="auto"/>
              </w:rPr>
              <w:t>2.4</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731</w:t>
            </w:r>
          </w:p>
        </w:tc>
        <w:tc>
          <w:tcPr>
            <w:tcW w:w="90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1.9</w:t>
            </w: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color w:val="auto"/>
              </w:rPr>
              <w:t>43.1</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2,777</w:t>
            </w:r>
          </w:p>
        </w:tc>
        <w:tc>
          <w:tcPr>
            <w:tcW w:w="78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2.2</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2,221</w:t>
            </w:r>
          </w:p>
        </w:tc>
        <w:tc>
          <w:tcPr>
            <w:tcW w:w="9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2.0</w:t>
            </w:r>
          </w:p>
        </w:tc>
        <w:tc>
          <w:tcPr>
            <w:tcW w:w="6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25.0</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Selling expenses</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12,325</w:t>
            </w: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28.0</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10,441</w:t>
            </w:r>
          </w:p>
        </w:tc>
        <w:tc>
          <w:tcPr>
            <w:tcW w:w="9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26.6</w:t>
            </w: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34,460</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27.8</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29,670</w:t>
            </w:r>
          </w:p>
        </w:tc>
        <w:tc>
          <w:tcPr>
            <w:tcW w:w="9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26.8</w:t>
            </w: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16.1</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2"/>
          </w:tcPr>
          <w:p>
            <w:pPr>
              <w:spacing w:after="0" w:line="130" w:lineRule="exact"/>
              <w:rPr>
                <w:sz w:val="20"/>
                <w:szCs w:val="20"/>
                <w:color w:val="auto"/>
              </w:rPr>
            </w:pPr>
            <w:r>
              <w:rPr>
                <w:rFonts w:ascii="Arial" w:cs="Arial" w:eastAsia="Arial" w:hAnsi="Arial"/>
                <w:sz w:val="14"/>
                <w:szCs w:val="14"/>
                <w:color w:val="auto"/>
              </w:rPr>
              <w:t>Other operating expenses</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69</w:t>
            </w:r>
          </w:p>
        </w:tc>
        <w:tc>
          <w:tcPr>
            <w:tcW w:w="76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55</w:t>
            </w: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213</w:t>
            </w:r>
          </w:p>
        </w:tc>
        <w:tc>
          <w:tcPr>
            <w:tcW w:w="78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180</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3"/>
          </w:tcPr>
          <w:p>
            <w:pPr>
              <w:spacing w:after="0"/>
              <w:rPr>
                <w:sz w:val="20"/>
                <w:szCs w:val="20"/>
                <w:color w:val="auto"/>
              </w:rPr>
            </w:pPr>
            <w:r>
              <w:rPr>
                <w:rFonts w:ascii="Arial" w:cs="Arial" w:eastAsia="Arial" w:hAnsi="Arial"/>
                <w:sz w:val="14"/>
                <w:szCs w:val="14"/>
                <w:color w:val="auto"/>
              </w:rPr>
              <w:t>(income), net</w:t>
            </w:r>
          </w:p>
        </w:tc>
        <w:tc>
          <w:tcPr>
            <w:tcW w:w="660" w:type="dxa"/>
            <w:vAlign w:val="bottom"/>
            <w:vMerge w:val="continue"/>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780" w:type="dxa"/>
            <w:vAlign w:val="bottom"/>
            <w:vMerge w:val="continue"/>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0.1</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25.5</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780" w:type="dxa"/>
            <w:vAlign w:val="bottom"/>
            <w:vMerge w:val="continue"/>
          </w:tcPr>
          <w:p>
            <w:pPr>
              <w:spacing w:after="0"/>
              <w:rPr>
                <w:sz w:val="14"/>
                <w:szCs w:val="14"/>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0.2</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Income from operations</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3,610</w:t>
            </w:r>
          </w:p>
        </w:tc>
        <w:tc>
          <w:tcPr>
            <w:tcW w:w="7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8.2</w:t>
            </w: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3,320</w:t>
            </w:r>
          </w:p>
        </w:tc>
        <w:tc>
          <w:tcPr>
            <w:tcW w:w="9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8.5</w:t>
            </w:r>
          </w:p>
        </w:tc>
        <w:tc>
          <w:tcPr>
            <w:tcW w:w="68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8.7</w:t>
            </w:r>
          </w:p>
        </w:tc>
        <w:tc>
          <w:tcPr>
            <w:tcW w:w="800" w:type="dxa"/>
            <w:vAlign w:val="bottom"/>
            <w:tcBorders>
              <w:top w:val="single" w:sz="8" w:color="auto"/>
              <w:bottom w:val="single" w:sz="8" w:color="auto"/>
            </w:tcBorders>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6.3</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9,169</w:t>
            </w:r>
          </w:p>
        </w:tc>
        <w:tc>
          <w:tcPr>
            <w:tcW w:w="78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7.4</w:t>
            </w: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8,219</w:t>
            </w:r>
          </w:p>
        </w:tc>
        <w:tc>
          <w:tcPr>
            <w:tcW w:w="9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7.4</w:t>
            </w:r>
          </w:p>
        </w:tc>
        <w:tc>
          <w:tcPr>
            <w:tcW w:w="6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11.6</w:t>
            </w:r>
          </w:p>
        </w:tc>
        <w:tc>
          <w:tcPr>
            <w:tcW w:w="840" w:type="dxa"/>
            <w:vAlign w:val="bottom"/>
            <w:tcBorders>
              <w:top w:val="single" w:sz="8" w:color="auto"/>
              <w:bottom w:val="single" w:sz="8" w:color="auto"/>
            </w:tcBorders>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line="142"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6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1,262</w:t>
            </w:r>
          </w:p>
        </w:tc>
        <w:tc>
          <w:tcPr>
            <w:tcW w:w="760" w:type="dxa"/>
            <w:vAlign w:val="bottom"/>
          </w:tcPr>
          <w:p>
            <w:pPr>
              <w:jc w:val="right"/>
              <w:ind w:right="8"/>
              <w:spacing w:after="0" w:line="142" w:lineRule="exact"/>
              <w:rPr>
                <w:sz w:val="20"/>
                <w:szCs w:val="20"/>
                <w:color w:val="auto"/>
              </w:rPr>
            </w:pPr>
            <w:r>
              <w:rPr>
                <w:rFonts w:ascii="Arial" w:cs="Arial" w:eastAsia="Arial" w:hAnsi="Arial"/>
                <w:sz w:val="14"/>
                <w:szCs w:val="14"/>
                <w:color w:val="auto"/>
              </w:rPr>
              <w:t>2.9</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1,022</w:t>
            </w:r>
          </w:p>
        </w:tc>
        <w:tc>
          <w:tcPr>
            <w:tcW w:w="90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2.6</w:t>
            </w: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color w:val="auto"/>
              </w:rPr>
              <w:t>23.5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3,522</w:t>
            </w:r>
          </w:p>
        </w:tc>
        <w:tc>
          <w:tcPr>
            <w:tcW w:w="78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2.8</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2,956</w:t>
            </w:r>
          </w:p>
        </w:tc>
        <w:tc>
          <w:tcPr>
            <w:tcW w:w="9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2.7</w:t>
            </w:r>
          </w:p>
        </w:tc>
        <w:tc>
          <w:tcPr>
            <w:tcW w:w="6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19.1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Amortization &amp; other non-cash</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125</w:t>
            </w:r>
          </w:p>
        </w:tc>
        <w:tc>
          <w:tcPr>
            <w:tcW w:w="7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w:t>
            </w: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364</w:t>
            </w:r>
          </w:p>
        </w:tc>
        <w:tc>
          <w:tcPr>
            <w:tcW w:w="7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317</w:t>
            </w: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charges</w:t>
            </w:r>
          </w:p>
        </w:tc>
        <w:tc>
          <w:tcPr>
            <w:tcW w:w="66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780" w:type="dxa"/>
            <w:vAlign w:val="bottom"/>
            <w:vMerge w:val="continue"/>
            <w:shd w:val="clear" w:color="auto" w:fill="CCEEFF"/>
          </w:tcPr>
          <w:p>
            <w:pPr>
              <w:spacing w:after="0"/>
              <w:rPr>
                <w:sz w:val="14"/>
                <w:szCs w:val="14"/>
                <w:color w:val="auto"/>
              </w:rPr>
            </w:pP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0.2</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78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0.3</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Operative cash flow</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4,997</w:t>
            </w:r>
          </w:p>
        </w:tc>
        <w:tc>
          <w:tcPr>
            <w:tcW w:w="7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11.4</w:t>
            </w:r>
          </w:p>
        </w:tc>
        <w:tc>
          <w:tcPr>
            <w:tcW w:w="7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4,436</w:t>
            </w:r>
          </w:p>
        </w:tc>
        <w:tc>
          <w:tcPr>
            <w:tcW w:w="9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11.3</w:t>
            </w:r>
          </w:p>
        </w:tc>
        <w:tc>
          <w:tcPr>
            <w:tcW w:w="6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12.6</w:t>
            </w:r>
          </w:p>
        </w:tc>
        <w:tc>
          <w:tcPr>
            <w:tcW w:w="800" w:type="dxa"/>
            <w:vAlign w:val="bottom"/>
            <w:tcBorders>
              <w:top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13,055</w:t>
            </w:r>
          </w:p>
        </w:tc>
        <w:tc>
          <w:tcPr>
            <w:tcW w:w="7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10.5</w:t>
            </w:r>
          </w:p>
        </w:tc>
        <w:tc>
          <w:tcPr>
            <w:tcW w:w="7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11,492</w:t>
            </w:r>
          </w:p>
        </w:tc>
        <w:tc>
          <w:tcPr>
            <w:tcW w:w="92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10.4</w:t>
            </w:r>
          </w:p>
        </w:tc>
        <w:tc>
          <w:tcPr>
            <w:tcW w:w="6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13.6</w:t>
            </w:r>
          </w:p>
        </w:tc>
        <w:tc>
          <w:tcPr>
            <w:tcW w:w="840" w:type="dxa"/>
            <w:vAlign w:val="bottom"/>
            <w:tcBorders>
              <w:top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CAPEX</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2,654</w:t>
            </w: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2,198</w:t>
            </w: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20.7</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6,525</w:t>
            </w: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5,757</w:t>
            </w:r>
          </w:p>
        </w:tc>
        <w:tc>
          <w:tcPr>
            <w:tcW w:w="9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13.3</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Information of OXXO Stores</w:t>
            </w: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stores</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17,478</w:t>
            </w:r>
          </w:p>
        </w:tc>
        <w:tc>
          <w:tcPr>
            <w:tcW w:w="7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16,048</w:t>
            </w:r>
          </w:p>
        </w:tc>
        <w:tc>
          <w:tcPr>
            <w:tcW w:w="92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8.9</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new convenience stores:</w:t>
            </w: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vs. Last quarter</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182</w:t>
            </w:r>
          </w:p>
        </w:tc>
        <w:tc>
          <w:tcPr>
            <w:tcW w:w="76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235</w:t>
            </w:r>
          </w:p>
        </w:tc>
        <w:tc>
          <w:tcPr>
            <w:tcW w:w="90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(22.6)</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Year-to-date</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901</w:t>
            </w: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774</w:t>
            </w: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16.4</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Last-twelve-months</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1,430</w:t>
            </w:r>
          </w:p>
        </w:tc>
        <w:tc>
          <w:tcPr>
            <w:tcW w:w="76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1,304</w:t>
            </w:r>
          </w:p>
        </w:tc>
        <w:tc>
          <w:tcPr>
            <w:tcW w:w="90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9.7</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Same-store data: </w:t>
            </w:r>
            <w:r>
              <w:rPr>
                <w:rFonts w:ascii="Arial" w:cs="Arial" w:eastAsia="Arial" w:hAnsi="Arial"/>
                <w:sz w:val="21"/>
                <w:szCs w:val="21"/>
                <w:color w:val="auto"/>
                <w:vertAlign w:val="superscript"/>
              </w:rPr>
              <w:t>(1)</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Sales (thousands of pesos)</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810.9</w:t>
            </w: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763.3</w:t>
            </w: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6.2</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781.0</w:t>
            </w: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740.3</w:t>
            </w:r>
          </w:p>
        </w:tc>
        <w:tc>
          <w:tcPr>
            <w:tcW w:w="9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5.5</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Traffic (thousands of</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23.6</w:t>
            </w:r>
          </w:p>
        </w:tc>
        <w:tc>
          <w:tcPr>
            <w:tcW w:w="76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23.0</w:t>
            </w: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23.1</w:t>
            </w:r>
          </w:p>
        </w:tc>
        <w:tc>
          <w:tcPr>
            <w:tcW w:w="78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22.6</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2"/>
          </w:tcPr>
          <w:p>
            <w:pPr>
              <w:ind w:left="160"/>
              <w:spacing w:after="0"/>
              <w:rPr>
                <w:sz w:val="20"/>
                <w:szCs w:val="20"/>
                <w:color w:val="auto"/>
              </w:rPr>
            </w:pPr>
            <w:r>
              <w:rPr>
                <w:rFonts w:ascii="Arial" w:cs="Arial" w:eastAsia="Arial" w:hAnsi="Arial"/>
                <w:sz w:val="14"/>
                <w:szCs w:val="14"/>
                <w:color w:val="auto"/>
              </w:rPr>
              <w:t>transactions)</w:t>
            </w:r>
          </w:p>
        </w:tc>
        <w:tc>
          <w:tcPr>
            <w:tcW w:w="6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Borders>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Ticket (pesos)</w:t>
            </w:r>
          </w:p>
        </w:tc>
        <w:tc>
          <w:tcPr>
            <w:tcW w:w="1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34.3</w:t>
            </w:r>
          </w:p>
        </w:tc>
        <w:tc>
          <w:tcPr>
            <w:tcW w:w="7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33.1</w:t>
            </w:r>
          </w:p>
        </w:tc>
        <w:tc>
          <w:tcPr>
            <w:tcW w:w="9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3.6</w:t>
            </w:r>
          </w:p>
        </w:tc>
        <w:tc>
          <w:tcPr>
            <w:tcW w:w="8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33.9</w:t>
            </w:r>
          </w:p>
        </w:tc>
        <w:tc>
          <w:tcPr>
            <w:tcW w:w="7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32.7</w:t>
            </w:r>
          </w:p>
        </w:tc>
        <w:tc>
          <w:tcPr>
            <w:tcW w:w="9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w:t>
            </w:r>
          </w:p>
        </w:tc>
        <w:tc>
          <w:tcPr>
            <w:tcW w:w="8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The Proximity Division includes proximity and proximity-related operations across markets.</w:t>
      </w:r>
    </w:p>
    <w:p>
      <w:pPr>
        <w:spacing w:after="0" w:line="42" w:lineRule="exact"/>
        <w:rPr>
          <w:rFonts w:ascii="Arial" w:cs="Arial" w:eastAsia="Arial" w:hAnsi="Arial"/>
          <w:sz w:val="28"/>
          <w:szCs w:val="28"/>
          <w:color w:val="auto"/>
          <w:vertAlign w:val="superscript"/>
        </w:rPr>
      </w:pPr>
    </w:p>
    <w:p>
      <w:pPr>
        <w:ind w:left="240" w:hanging="232"/>
        <w:spacing w:after="0" w:line="186" w:lineRule="auto"/>
        <w:tabs>
          <w:tab w:leader="none" w:pos="2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Organic basis (% Org.) Excludes the effects of significant mergers and acquisitions in the last twelve month.</w:t>
      </w:r>
    </w:p>
    <w:p>
      <w:pPr>
        <w:ind w:left="220" w:hanging="212"/>
        <w:spacing w:after="0" w:line="206" w:lineRule="auto"/>
        <w:tabs>
          <w:tab w:leader="none" w:pos="22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Monthly average information per store, considering same stores with more than twelve months of operations, income from services are included.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-128270</wp:posOffset>
            </wp:positionV>
            <wp:extent cx="1715135"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FEMSA Comercio - Health Division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Millions of Pesos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For the third quarter of:</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For the nine months of:</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 of rev.</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 of rev.</w:t>
            </w: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 Var.</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70"/>
              <w:spacing w:after="0" w:line="251" w:lineRule="exact"/>
              <w:rPr>
                <w:sz w:val="20"/>
                <w:szCs w:val="20"/>
                <w:color w:val="auto"/>
              </w:rPr>
            </w:pPr>
            <w:r>
              <w:rPr>
                <w:rFonts w:ascii="Arial" w:cs="Arial" w:eastAsia="Arial" w:hAnsi="Arial"/>
                <w:sz w:val="18"/>
                <w:szCs w:val="18"/>
                <w:b w:val="1"/>
                <w:bCs w:val="1"/>
                <w:color w:val="auto"/>
                <w:w w:val="97"/>
              </w:rPr>
              <w:t xml:space="preserve">2018 </w:t>
            </w:r>
            <w:r>
              <w:rPr>
                <w:rFonts w:ascii="Arial" w:cs="Arial" w:eastAsia="Arial" w:hAnsi="Arial"/>
                <w:sz w:val="29"/>
                <w:szCs w:val="29"/>
                <w:b w:val="1"/>
                <w:bCs w:val="1"/>
                <w:color w:val="auto"/>
                <w:w w:val="97"/>
                <w:vertAlign w:val="superscript"/>
              </w:rPr>
              <w:t>(A)</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jc w:val="right"/>
              <w:ind w:right="10"/>
              <w:spacing w:after="0" w:line="251" w:lineRule="exact"/>
              <w:rPr>
                <w:sz w:val="20"/>
                <w:szCs w:val="20"/>
                <w:color w:val="auto"/>
              </w:rPr>
            </w:pPr>
            <w:r>
              <w:rPr>
                <w:rFonts w:ascii="Arial" w:cs="Arial" w:eastAsia="Arial" w:hAnsi="Arial"/>
                <w:sz w:val="18"/>
                <w:szCs w:val="18"/>
                <w:b w:val="1"/>
                <w:bCs w:val="1"/>
                <w:color w:val="auto"/>
                <w:w w:val="97"/>
              </w:rPr>
              <w:t xml:space="preserve">2017 </w:t>
            </w:r>
            <w:r>
              <w:rPr>
                <w:rFonts w:ascii="Arial" w:cs="Arial" w:eastAsia="Arial" w:hAnsi="Arial"/>
                <w:sz w:val="29"/>
                <w:szCs w:val="29"/>
                <w:b w:val="1"/>
                <w:bCs w:val="1"/>
                <w:color w:val="auto"/>
                <w:w w:val="97"/>
                <w:vertAlign w:val="superscript"/>
              </w:rPr>
              <w:t>(A)</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 of rev.</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12,562</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11,395</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38,396</w:t>
            </w:r>
          </w:p>
        </w:tc>
        <w:tc>
          <w:tcPr>
            <w:tcW w:w="8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34,850</w:t>
            </w: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8,750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69.7</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7,986</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26,795</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69.8</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24,686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3,812</w:t>
            </w:r>
          </w:p>
        </w:tc>
        <w:tc>
          <w:tcPr>
            <w:tcW w:w="9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30.3</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3,409</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11,601</w:t>
            </w:r>
          </w:p>
        </w:tc>
        <w:tc>
          <w:tcPr>
            <w:tcW w:w="8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30.2</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10,164</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514</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392</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1,514</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1,226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2,732</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21.7</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2,560</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8,564</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22.3</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7,878</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Other operating expenses (income),</w:t>
            </w: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26</w:t>
            </w:r>
          </w:p>
        </w:tc>
        <w:tc>
          <w:tcPr>
            <w:tcW w:w="960" w:type="dxa"/>
            <w:vAlign w:val="bottom"/>
          </w:tcPr>
          <w:p>
            <w:pPr>
              <w:spacing w:after="0"/>
              <w:rPr>
                <w:sz w:val="17"/>
                <w:szCs w:val="17"/>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40</w:t>
            </w: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69</w:t>
            </w:r>
          </w:p>
        </w:tc>
        <w:tc>
          <w:tcPr>
            <w:tcW w:w="88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64</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gridSpan w:val="3"/>
          </w:tcPr>
          <w:p>
            <w:pPr>
              <w:spacing w:after="0"/>
              <w:rPr>
                <w:sz w:val="20"/>
                <w:szCs w:val="20"/>
                <w:color w:val="auto"/>
              </w:rPr>
            </w:pPr>
            <w:r>
              <w:rPr>
                <w:rFonts w:ascii="Arial" w:cs="Arial" w:eastAsia="Arial" w:hAnsi="Arial"/>
                <w:sz w:val="18"/>
                <w:szCs w:val="18"/>
                <w:color w:val="auto"/>
              </w:rPr>
              <w:t>net</w:t>
            </w:r>
          </w:p>
        </w:tc>
        <w:tc>
          <w:tcPr>
            <w:tcW w:w="760" w:type="dxa"/>
            <w:vAlign w:val="bottom"/>
            <w:vMerge w:val="continue"/>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800" w:type="dxa"/>
            <w:vAlign w:val="bottom"/>
            <w:vMerge w:val="continue"/>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820" w:type="dxa"/>
            <w:vAlign w:val="bottom"/>
            <w:vMerge w:val="continue"/>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540</w:t>
            </w:r>
          </w:p>
        </w:tc>
        <w:tc>
          <w:tcPr>
            <w:tcW w:w="9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417</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1,454</w:t>
            </w:r>
          </w:p>
        </w:tc>
        <w:tc>
          <w:tcPr>
            <w:tcW w:w="8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996</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169</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158</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470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Amortization &amp; other non-cash</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w:t>
            </w:r>
          </w:p>
        </w:tc>
        <w:tc>
          <w:tcPr>
            <w:tcW w:w="9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252</w:t>
            </w:r>
          </w:p>
        </w:tc>
        <w:tc>
          <w:tcPr>
            <w:tcW w:w="8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w:t>
            </w: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760" w:type="dxa"/>
            <w:vAlign w:val="bottom"/>
            <w:vMerge w:val="continue"/>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80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820" w:type="dxa"/>
            <w:vAlign w:val="bottom"/>
            <w:vMerge w:val="continue"/>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Operative cash flow</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789</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636</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2,206</w:t>
            </w: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5.7</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1,694</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CAPEX</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956</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527</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Information of Stores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Total stores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2,303</w:t>
            </w:r>
          </w:p>
        </w:tc>
        <w:tc>
          <w:tcPr>
            <w:tcW w:w="8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2,178</w:t>
            </w:r>
          </w:p>
        </w:tc>
        <w:tc>
          <w:tcPr>
            <w:tcW w:w="8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new stores </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7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vs. Last quarter</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52</w:t>
            </w:r>
          </w:p>
        </w:tc>
        <w:tc>
          <w:tcPr>
            <w:tcW w:w="9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9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Year-to-date</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Last-twelve-months</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125</w:t>
            </w:r>
          </w:p>
        </w:tc>
        <w:tc>
          <w:tcPr>
            <w:tcW w:w="9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77</w:t>
            </w:r>
          </w:p>
        </w:tc>
        <w:tc>
          <w:tcPr>
            <w:tcW w:w="9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Same-store data: </w:t>
            </w:r>
            <w:r>
              <w:rPr>
                <w:rFonts w:ascii="Arial" w:cs="Arial" w:eastAsia="Arial" w:hAnsi="Arial"/>
                <w:sz w:val="29"/>
                <w:szCs w:val="29"/>
                <w:color w:val="auto"/>
                <w:vertAlign w:val="superscript"/>
              </w:rPr>
              <w:t>(2)</w:t>
            </w: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Sales (thousands of pesos)</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1,532.2</w:t>
            </w:r>
          </w:p>
        </w:tc>
        <w:tc>
          <w:tcPr>
            <w:tcW w:w="9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1,441.6</w:t>
            </w: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1,570.8</w:t>
            </w:r>
          </w:p>
        </w:tc>
        <w:tc>
          <w:tcPr>
            <w:tcW w:w="8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1,478.9</w:t>
            </w:r>
          </w:p>
        </w:tc>
        <w:tc>
          <w:tcPr>
            <w:tcW w:w="8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Aquisitions are included.</w:t>
      </w:r>
    </w:p>
    <w:p>
      <w:pPr>
        <w:spacing w:after="0" w:line="1"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Monthly average information per store, considering same stores with more than twelve months of all the operations of FEMSA Comercio - Health Division.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-128270</wp:posOffset>
            </wp:positionV>
            <wp:extent cx="1715135"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ind w:right="-99"/>
        <w:spacing w:after="0"/>
        <w:rPr>
          <w:sz w:val="20"/>
          <w:szCs w:val="20"/>
          <w:color w:val="auto"/>
        </w:rPr>
      </w:pPr>
      <w:r>
        <w:rPr>
          <w:rFonts w:ascii="Arial" w:cs="Arial" w:eastAsia="Arial" w:hAnsi="Arial"/>
          <w:sz w:val="18"/>
          <w:szCs w:val="18"/>
          <w:b w:val="1"/>
          <w:bCs w:val="1"/>
          <w:color w:val="auto"/>
        </w:rPr>
        <w:t>FEMSA Comercio - Fuel Division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Millions of Pesos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For the third quarter of:</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For the nine months of:</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rev.</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of rev.</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Var.</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rev.</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of rev.</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Var.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12,196</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9,624</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34,300</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28,211</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11,136</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91.3</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8,905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92.5</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31,437</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91.7</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26,263</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1,060</w:t>
            </w:r>
          </w:p>
        </w:tc>
        <w:tc>
          <w:tcPr>
            <w:tcW w:w="9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719</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2,863</w:t>
            </w:r>
          </w:p>
        </w:tc>
        <w:tc>
          <w:tcPr>
            <w:tcW w:w="9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1,948</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38</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154</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113</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884</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582</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2,354</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1,666</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Other operating expenses (income),</w:t>
            </w: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w:t>
            </w:r>
          </w:p>
        </w:tc>
        <w:tc>
          <w:tcPr>
            <w:tcW w:w="98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w:t>
            </w: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w:t>
            </w:r>
          </w:p>
        </w:tc>
        <w:tc>
          <w:tcPr>
            <w:tcW w:w="960" w:type="dxa"/>
            <w:vAlign w:val="bottom"/>
          </w:tcPr>
          <w:p>
            <w:pPr>
              <w:spacing w:after="0"/>
              <w:rPr>
                <w:sz w:val="17"/>
                <w:szCs w:val="17"/>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11</w:t>
            </w: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net</w:t>
            </w:r>
          </w:p>
        </w:tc>
        <w:tc>
          <w:tcPr>
            <w:tcW w:w="740" w:type="dxa"/>
            <w:vAlign w:val="bottom"/>
            <w:vMerge w:val="continue"/>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7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w:t>
            </w:r>
          </w:p>
        </w:tc>
        <w:tc>
          <w:tcPr>
            <w:tcW w:w="9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352</w:t>
            </w:r>
          </w:p>
        </w:tc>
        <w:tc>
          <w:tcPr>
            <w:tcW w:w="9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36</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99</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76</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Amortization &amp; other non-cash</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9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9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74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80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Operative cash flow</w:t>
            </w:r>
          </w:p>
        </w:tc>
        <w:tc>
          <w:tcPr>
            <w:tcW w:w="80" w:type="dxa"/>
            <w:vAlign w:val="bottom"/>
          </w:tcPr>
          <w:p>
            <w:pPr>
              <w:spacing w:after="0"/>
              <w:rPr>
                <w:sz w:val="18"/>
                <w:szCs w:val="18"/>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175</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130</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470</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259</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CAPEX</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316</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Information of OXXO GAS Service</w:t>
            </w: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Stations</w:t>
            </w:r>
          </w:p>
        </w:tc>
        <w:tc>
          <w:tcPr>
            <w:tcW w:w="7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Total service stations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519</w:t>
            </w:r>
          </w:p>
        </w:tc>
        <w:tc>
          <w:tcPr>
            <w:tcW w:w="9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397</w:t>
            </w:r>
          </w:p>
        </w:tc>
        <w:tc>
          <w:tcPr>
            <w:tcW w:w="9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new service stations</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auto"/>
              </w:rPr>
              <w:t>vs. Last quarter</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9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9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Year-to-date</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N.S.</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auto"/>
              </w:rPr>
              <w:t>Last-twelve-months</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122</w:t>
            </w:r>
          </w:p>
        </w:tc>
        <w:tc>
          <w:tcPr>
            <w:tcW w:w="9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9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w w:val="96"/>
              </w:rPr>
              <w:t>Volume (million of liters) total stations</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711</w:t>
            </w:r>
          </w:p>
        </w:tc>
        <w:tc>
          <w:tcPr>
            <w:tcW w:w="9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670</w:t>
            </w:r>
          </w:p>
        </w:tc>
        <w:tc>
          <w:tcPr>
            <w:tcW w:w="9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2,093</w:t>
            </w:r>
          </w:p>
        </w:tc>
        <w:tc>
          <w:tcPr>
            <w:tcW w:w="9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1,963</w:t>
            </w:r>
          </w:p>
        </w:tc>
        <w:tc>
          <w:tcPr>
            <w:tcW w:w="9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9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Same-stations data: </w:t>
            </w:r>
            <w:r>
              <w:rPr>
                <w:rFonts w:ascii="Arial" w:cs="Arial" w:eastAsia="Arial" w:hAnsi="Arial"/>
                <w:sz w:val="29"/>
                <w:szCs w:val="29"/>
                <w:color w:val="auto"/>
                <w:vertAlign w:val="superscript"/>
              </w:rPr>
              <w:t>(1)</w:t>
            </w: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(thousands of pesos)</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8,742.4</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8,162.9</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8,475.0</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8,051.0</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Volume (thousands of liters)</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509.6</w:t>
            </w:r>
          </w:p>
        </w:tc>
        <w:tc>
          <w:tcPr>
            <w:tcW w:w="9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568.7</w:t>
            </w:r>
          </w:p>
        </w:tc>
        <w:tc>
          <w:tcPr>
            <w:tcW w:w="9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517.4</w:t>
            </w:r>
          </w:p>
        </w:tc>
        <w:tc>
          <w:tcPr>
            <w:tcW w:w="9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560.2</w:t>
            </w:r>
          </w:p>
        </w:tc>
        <w:tc>
          <w:tcPr>
            <w:tcW w:w="9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price per liter</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Ticket (pesos)</w:t>
            </w: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Monthly average information per station, considering same stations with more than twelve months of operations.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-128270</wp:posOffset>
            </wp:positionV>
            <wp:extent cx="1715135"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8"/>
          <w:szCs w:val="18"/>
          <w:b w:val="1"/>
          <w:bCs w:val="1"/>
          <w:color w:val="auto"/>
        </w:rPr>
        <w:t>Coca-Cola FEMSA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Millions of Pesos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9"/>
              </w:rPr>
              <w:t>For the third quarter of:</w:t>
            </w: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7"/>
              </w:rPr>
              <w:t>For the nine months of:</w:t>
            </w: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68"/>
              <w:spacing w:after="0" w:line="183" w:lineRule="exact"/>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21"/>
                <w:szCs w:val="21"/>
                <w:b w:val="1"/>
                <w:bCs w:val="1"/>
                <w:color w:val="auto"/>
                <w:vertAlign w:val="superscript"/>
              </w:rPr>
              <w:t>(A)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w:t>
            </w:r>
          </w:p>
        </w:tc>
        <w:tc>
          <w:tcPr>
            <w:tcW w:w="860" w:type="dxa"/>
            <w:vAlign w:val="bottom"/>
            <w:tcBorders>
              <w:bottom w:val="single" w:sz="8" w:color="auto"/>
            </w:tcBorders>
          </w:tcPr>
          <w:p>
            <w:pPr>
              <w:jc w:val="right"/>
              <w:ind w:right="28"/>
              <w:spacing w:after="0" w:line="183" w:lineRule="exact"/>
              <w:rPr>
                <w:sz w:val="20"/>
                <w:szCs w:val="20"/>
                <w:color w:val="auto"/>
              </w:rPr>
            </w:pPr>
            <w:r>
              <w:rPr>
                <w:rFonts w:ascii="Arial" w:cs="Arial" w:eastAsia="Arial" w:hAnsi="Arial"/>
                <w:sz w:val="13"/>
                <w:szCs w:val="13"/>
                <w:b w:val="1"/>
                <w:bCs w:val="1"/>
                <w:color w:val="auto"/>
              </w:rPr>
              <w:t xml:space="preserve">2017 </w:t>
            </w:r>
            <w:r>
              <w:rPr>
                <w:rFonts w:ascii="Arial" w:cs="Arial" w:eastAsia="Arial" w:hAnsi="Arial"/>
                <w:sz w:val="21"/>
                <w:szCs w:val="21"/>
                <w:b w:val="1"/>
                <w:bCs w:val="1"/>
                <w:color w:val="auto"/>
                <w:vertAlign w:val="superscript"/>
              </w:rPr>
              <w:t>(A)</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of rev.</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Var.</w:t>
            </w:r>
          </w:p>
        </w:tc>
        <w:tc>
          <w:tcPr>
            <w:tcW w:w="820" w:type="dxa"/>
            <w:vAlign w:val="bottom"/>
            <w:tcBorders>
              <w:bottom w:val="single" w:sz="8" w:color="auto"/>
            </w:tcBorders>
          </w:tcPr>
          <w:p>
            <w:pPr>
              <w:jc w:val="right"/>
              <w:ind w:right="29"/>
              <w:spacing w:after="0" w:line="183" w:lineRule="exact"/>
              <w:rPr>
                <w:sz w:val="20"/>
                <w:szCs w:val="20"/>
                <w:color w:val="auto"/>
              </w:rPr>
            </w:pPr>
            <w:r>
              <w:rPr>
                <w:rFonts w:ascii="Arial" w:cs="Arial" w:eastAsia="Arial" w:hAnsi="Arial"/>
                <w:sz w:val="13"/>
                <w:szCs w:val="13"/>
                <w:b w:val="1"/>
                <w:bCs w:val="1"/>
                <w:color w:val="auto"/>
              </w:rPr>
              <w:t xml:space="preserve">% Org </w:t>
            </w:r>
            <w:r>
              <w:rPr>
                <w:rFonts w:ascii="Arial" w:cs="Arial" w:eastAsia="Arial" w:hAnsi="Arial"/>
                <w:sz w:val="21"/>
                <w:szCs w:val="21"/>
                <w:b w:val="1"/>
                <w:bCs w:val="1"/>
                <w:color w:val="auto"/>
                <w:vertAlign w:val="superscript"/>
              </w:rPr>
              <w:t>(B)</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48"/>
              <w:spacing w:after="0" w:line="183" w:lineRule="exact"/>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21"/>
                <w:szCs w:val="21"/>
                <w:b w:val="1"/>
                <w:bCs w:val="1"/>
                <w:color w:val="auto"/>
                <w:vertAlign w:val="superscript"/>
              </w:rPr>
              <w:t>(A)</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rev.</w:t>
            </w:r>
          </w:p>
        </w:tc>
        <w:tc>
          <w:tcPr>
            <w:tcW w:w="820" w:type="dxa"/>
            <w:vAlign w:val="bottom"/>
            <w:tcBorders>
              <w:bottom w:val="single" w:sz="8" w:color="auto"/>
            </w:tcBorders>
          </w:tcPr>
          <w:p>
            <w:pPr>
              <w:jc w:val="right"/>
              <w:ind w:right="48"/>
              <w:spacing w:after="0" w:line="183" w:lineRule="exact"/>
              <w:rPr>
                <w:sz w:val="20"/>
                <w:szCs w:val="20"/>
                <w:color w:val="auto"/>
              </w:rPr>
            </w:pPr>
            <w:r>
              <w:rPr>
                <w:rFonts w:ascii="Arial" w:cs="Arial" w:eastAsia="Arial" w:hAnsi="Arial"/>
                <w:sz w:val="13"/>
                <w:szCs w:val="13"/>
                <w:b w:val="1"/>
                <w:bCs w:val="1"/>
                <w:color w:val="auto"/>
              </w:rPr>
              <w:t xml:space="preserve">2017 </w:t>
            </w:r>
            <w:r>
              <w:rPr>
                <w:rFonts w:ascii="Arial" w:cs="Arial" w:eastAsia="Arial" w:hAnsi="Arial"/>
                <w:sz w:val="21"/>
                <w:szCs w:val="21"/>
                <w:b w:val="1"/>
                <w:bCs w:val="1"/>
                <w:color w:val="auto"/>
                <w:vertAlign w:val="superscript"/>
              </w:rPr>
              <w:t>(A)</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of rev.</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Var.</w:t>
            </w:r>
          </w:p>
        </w:tc>
        <w:tc>
          <w:tcPr>
            <w:tcW w:w="820" w:type="dxa"/>
            <w:vAlign w:val="bottom"/>
            <w:tcBorders>
              <w:bottom w:val="single" w:sz="8" w:color="auto"/>
            </w:tcBorders>
          </w:tcPr>
          <w:p>
            <w:pPr>
              <w:jc w:val="right"/>
              <w:ind w:right="29"/>
              <w:spacing w:after="0" w:line="183" w:lineRule="exact"/>
              <w:rPr>
                <w:sz w:val="20"/>
                <w:szCs w:val="20"/>
                <w:color w:val="auto"/>
              </w:rPr>
            </w:pPr>
            <w:r>
              <w:rPr>
                <w:rFonts w:ascii="Arial" w:cs="Arial" w:eastAsia="Arial" w:hAnsi="Arial"/>
                <w:sz w:val="13"/>
                <w:szCs w:val="13"/>
                <w:b w:val="1"/>
                <w:bCs w:val="1"/>
                <w:color w:val="auto"/>
              </w:rPr>
              <w:t xml:space="preserve">% Org </w:t>
            </w:r>
            <w:r>
              <w:rPr>
                <w:rFonts w:ascii="Arial" w:cs="Arial" w:eastAsia="Arial" w:hAnsi="Arial"/>
                <w:sz w:val="21"/>
                <w:szCs w:val="21"/>
                <w:b w:val="1"/>
                <w:bCs w:val="1"/>
                <w:color w:val="auto"/>
                <w:vertAlign w:val="superscript"/>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revenues</w:t>
            </w:r>
          </w:p>
        </w:tc>
        <w:tc>
          <w:tcPr>
            <w:tcW w:w="7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b w:val="1"/>
                <w:bCs w:val="1"/>
                <w:color w:val="auto"/>
              </w:rPr>
              <w:t>44,148</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8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44,464</w:t>
            </w:r>
          </w:p>
        </w:tc>
        <w:tc>
          <w:tcPr>
            <w:tcW w:w="86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100.0</w:t>
            </w:r>
          </w:p>
        </w:tc>
        <w:tc>
          <w:tcPr>
            <w:tcW w:w="7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(0.7)</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130,577</w:t>
            </w:r>
          </w:p>
        </w:tc>
        <w:tc>
          <w:tcPr>
            <w:tcW w:w="7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100.0</w:t>
            </w:r>
          </w:p>
        </w:tc>
        <w:tc>
          <w:tcPr>
            <w:tcW w:w="82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137,041</w:t>
            </w:r>
          </w:p>
        </w:tc>
        <w:tc>
          <w:tcPr>
            <w:tcW w:w="84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100.0</w:t>
            </w:r>
          </w:p>
        </w:tc>
        <w:tc>
          <w:tcPr>
            <w:tcW w:w="7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(4.7)</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Cost of sales</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23,911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24,358</w:t>
            </w:r>
          </w:p>
        </w:tc>
        <w:tc>
          <w:tcPr>
            <w:tcW w:w="8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54.8</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70,427</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53.9</w:t>
            </w: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75,592</w:t>
            </w: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55.2</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(6.8)</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b w:val="1"/>
                <w:bCs w:val="1"/>
                <w:color w:val="auto"/>
              </w:rPr>
              <w:t>20,237</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w:t>
            </w:r>
          </w:p>
        </w:tc>
        <w:tc>
          <w:tcPr>
            <w:tcW w:w="8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20,107</w:t>
            </w:r>
          </w:p>
        </w:tc>
        <w:tc>
          <w:tcPr>
            <w:tcW w:w="86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45.2</w:t>
            </w:r>
          </w:p>
        </w:tc>
        <w:tc>
          <w:tcPr>
            <w:tcW w:w="7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0.6</w:t>
            </w:r>
          </w:p>
        </w:tc>
        <w:tc>
          <w:tcPr>
            <w:tcW w:w="8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60,150</w:t>
            </w:r>
          </w:p>
        </w:tc>
        <w:tc>
          <w:tcPr>
            <w:tcW w:w="7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46.1</w:t>
            </w:r>
          </w:p>
        </w:tc>
        <w:tc>
          <w:tcPr>
            <w:tcW w:w="82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61,449</w:t>
            </w:r>
          </w:p>
        </w:tc>
        <w:tc>
          <w:tcPr>
            <w:tcW w:w="84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44.8</w:t>
            </w:r>
          </w:p>
        </w:tc>
        <w:tc>
          <w:tcPr>
            <w:tcW w:w="70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(2.1)</w:t>
            </w:r>
          </w:p>
        </w:tc>
        <w:tc>
          <w:tcPr>
            <w:tcW w:w="82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line="142" w:lineRule="exact"/>
              <w:rPr>
                <w:sz w:val="20"/>
                <w:szCs w:val="20"/>
                <w:color w:val="auto"/>
              </w:rPr>
            </w:pPr>
            <w:r>
              <w:rPr>
                <w:rFonts w:ascii="Arial" w:cs="Arial" w:eastAsia="Arial" w:hAnsi="Arial"/>
                <w:sz w:val="14"/>
                <w:szCs w:val="14"/>
                <w:color w:val="auto"/>
              </w:rPr>
              <w:t>Administrative expenses</w:t>
            </w:r>
          </w:p>
        </w:tc>
        <w:tc>
          <w:tcPr>
            <w:tcW w:w="120" w:type="dxa"/>
            <w:vAlign w:val="bottom"/>
          </w:tcPr>
          <w:p>
            <w:pPr>
              <w:spacing w:after="0"/>
              <w:rPr>
                <w:sz w:val="12"/>
                <w:szCs w:val="12"/>
                <w:color w:val="auto"/>
              </w:rPr>
            </w:pPr>
          </w:p>
        </w:tc>
        <w:tc>
          <w:tcPr>
            <w:tcW w:w="7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2,061</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4.7</w:t>
            </w:r>
          </w:p>
        </w:tc>
        <w:tc>
          <w:tcPr>
            <w:tcW w:w="8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2,087</w:t>
            </w:r>
          </w:p>
        </w:tc>
        <w:tc>
          <w:tcPr>
            <w:tcW w:w="86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4.7</w:t>
            </w:r>
          </w:p>
        </w:tc>
        <w:tc>
          <w:tcPr>
            <w:tcW w:w="700" w:type="dxa"/>
            <w:vAlign w:val="bottom"/>
          </w:tcPr>
          <w:p>
            <w:pPr>
              <w:jc w:val="right"/>
              <w:ind w:right="8"/>
              <w:spacing w:after="0" w:line="142" w:lineRule="exact"/>
              <w:rPr>
                <w:sz w:val="20"/>
                <w:szCs w:val="20"/>
                <w:color w:val="auto"/>
              </w:rPr>
            </w:pPr>
            <w:r>
              <w:rPr>
                <w:rFonts w:ascii="Arial" w:cs="Arial" w:eastAsia="Arial" w:hAnsi="Arial"/>
                <w:sz w:val="14"/>
                <w:szCs w:val="14"/>
                <w:color w:val="auto"/>
              </w:rPr>
              <w:t>(1.2)</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5,942</w:t>
            </w:r>
          </w:p>
        </w:tc>
        <w:tc>
          <w:tcPr>
            <w:tcW w:w="7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4.6</w:t>
            </w:r>
          </w:p>
        </w:tc>
        <w:tc>
          <w:tcPr>
            <w:tcW w:w="8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6,147</w:t>
            </w:r>
          </w:p>
        </w:tc>
        <w:tc>
          <w:tcPr>
            <w:tcW w:w="84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4.5</w:t>
            </w:r>
          </w:p>
        </w:tc>
        <w:tc>
          <w:tcPr>
            <w:tcW w:w="700" w:type="dxa"/>
            <w:vAlign w:val="bottom"/>
          </w:tcPr>
          <w:p>
            <w:pPr>
              <w:jc w:val="right"/>
              <w:ind w:right="8"/>
              <w:spacing w:after="0" w:line="142" w:lineRule="exact"/>
              <w:rPr>
                <w:sz w:val="20"/>
                <w:szCs w:val="20"/>
                <w:color w:val="auto"/>
              </w:rPr>
            </w:pPr>
            <w:r>
              <w:rPr>
                <w:rFonts w:ascii="Arial" w:cs="Arial" w:eastAsia="Arial" w:hAnsi="Arial"/>
                <w:sz w:val="14"/>
                <w:szCs w:val="14"/>
                <w:color w:val="auto"/>
              </w:rPr>
              <w:t>(3.3)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Selling expenses</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12,195</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12,448</w:t>
            </w:r>
          </w:p>
        </w:tc>
        <w:tc>
          <w:tcPr>
            <w:tcW w:w="8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28.0</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36,283</w:t>
            </w: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28.2</w:t>
            </w: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38,548</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28.1</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(5.9)</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Other operating expenses</w:t>
            </w: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203</w:t>
            </w:r>
          </w:p>
        </w:tc>
        <w:tc>
          <w:tcPr>
            <w:tcW w:w="760" w:type="dxa"/>
            <w:vAlign w:val="bottom"/>
          </w:tcPr>
          <w:p>
            <w:pPr>
              <w:spacing w:after="0"/>
              <w:rPr>
                <w:sz w:val="11"/>
                <w:szCs w:val="11"/>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230</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822</w:t>
            </w:r>
          </w:p>
        </w:tc>
        <w:tc>
          <w:tcPr>
            <w:tcW w:w="76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(76)</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60" w:type="dxa"/>
            <w:vAlign w:val="bottom"/>
            <w:gridSpan w:val="3"/>
          </w:tcPr>
          <w:p>
            <w:pPr>
              <w:spacing w:after="0"/>
              <w:rPr>
                <w:sz w:val="20"/>
                <w:szCs w:val="20"/>
                <w:color w:val="auto"/>
              </w:rPr>
            </w:pPr>
            <w:r>
              <w:rPr>
                <w:rFonts w:ascii="Arial" w:cs="Arial" w:eastAsia="Arial" w:hAnsi="Arial"/>
                <w:sz w:val="14"/>
                <w:szCs w:val="14"/>
                <w:color w:val="auto"/>
              </w:rPr>
              <w:t>(income), net</w:t>
            </w:r>
          </w:p>
        </w:tc>
        <w:tc>
          <w:tcPr>
            <w:tcW w:w="72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c>
          <w:tcPr>
            <w:tcW w:w="860" w:type="dxa"/>
            <w:vAlign w:val="bottom"/>
            <w:vMerge w:val="continue"/>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0.5</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820" w:type="dxa"/>
            <w:vAlign w:val="bottom"/>
            <w:vMerge w:val="continue"/>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N.S.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Income from operations</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b w:val="1"/>
                <w:bCs w:val="1"/>
                <w:color w:val="auto"/>
              </w:rPr>
              <w:t>5,777</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w:t>
            </w:r>
          </w:p>
        </w:tc>
        <w:tc>
          <w:tcPr>
            <w:tcW w:w="8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5,341</w:t>
            </w:r>
          </w:p>
        </w:tc>
        <w:tc>
          <w:tcPr>
            <w:tcW w:w="86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12.0</w:t>
            </w:r>
          </w:p>
        </w:tc>
        <w:tc>
          <w:tcPr>
            <w:tcW w:w="7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8.2</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17,103</w:t>
            </w:r>
          </w:p>
        </w:tc>
        <w:tc>
          <w:tcPr>
            <w:tcW w:w="7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13.1</w:t>
            </w:r>
          </w:p>
        </w:tc>
        <w:tc>
          <w:tcPr>
            <w:tcW w:w="82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16,830</w:t>
            </w:r>
          </w:p>
        </w:tc>
        <w:tc>
          <w:tcPr>
            <w:tcW w:w="84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12.3</w:t>
            </w:r>
          </w:p>
        </w:tc>
        <w:tc>
          <w:tcPr>
            <w:tcW w:w="7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1.6</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line="142" w:lineRule="exact"/>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2"/>
                <w:szCs w:val="12"/>
                <w:color w:val="auto"/>
              </w:rPr>
            </w:pPr>
          </w:p>
        </w:tc>
        <w:tc>
          <w:tcPr>
            <w:tcW w:w="7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2,190</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5.0</w:t>
            </w:r>
          </w:p>
        </w:tc>
        <w:tc>
          <w:tcPr>
            <w:tcW w:w="8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2,322</w:t>
            </w:r>
          </w:p>
        </w:tc>
        <w:tc>
          <w:tcPr>
            <w:tcW w:w="86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5.2</w:t>
            </w:r>
          </w:p>
        </w:tc>
        <w:tc>
          <w:tcPr>
            <w:tcW w:w="700" w:type="dxa"/>
            <w:vAlign w:val="bottom"/>
          </w:tcPr>
          <w:p>
            <w:pPr>
              <w:jc w:val="right"/>
              <w:ind w:right="8"/>
              <w:spacing w:after="0" w:line="142" w:lineRule="exact"/>
              <w:rPr>
                <w:sz w:val="20"/>
                <w:szCs w:val="20"/>
                <w:color w:val="auto"/>
              </w:rPr>
            </w:pPr>
            <w:r>
              <w:rPr>
                <w:rFonts w:ascii="Arial" w:cs="Arial" w:eastAsia="Arial" w:hAnsi="Arial"/>
                <w:sz w:val="14"/>
                <w:szCs w:val="14"/>
                <w:color w:val="auto"/>
              </w:rPr>
              <w:t>(5.7)</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6,178</w:t>
            </w:r>
          </w:p>
        </w:tc>
        <w:tc>
          <w:tcPr>
            <w:tcW w:w="7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4.7</w:t>
            </w:r>
          </w:p>
        </w:tc>
        <w:tc>
          <w:tcPr>
            <w:tcW w:w="8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6,647</w:t>
            </w:r>
          </w:p>
        </w:tc>
        <w:tc>
          <w:tcPr>
            <w:tcW w:w="84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4.9</w:t>
            </w:r>
          </w:p>
        </w:tc>
        <w:tc>
          <w:tcPr>
            <w:tcW w:w="700" w:type="dxa"/>
            <w:vAlign w:val="bottom"/>
          </w:tcPr>
          <w:p>
            <w:pPr>
              <w:jc w:val="right"/>
              <w:ind w:right="8"/>
              <w:spacing w:after="0" w:line="142" w:lineRule="exact"/>
              <w:rPr>
                <w:sz w:val="20"/>
                <w:szCs w:val="20"/>
                <w:color w:val="auto"/>
              </w:rPr>
            </w:pPr>
            <w:r>
              <w:rPr>
                <w:rFonts w:ascii="Arial" w:cs="Arial" w:eastAsia="Arial" w:hAnsi="Arial"/>
                <w:sz w:val="14"/>
                <w:szCs w:val="14"/>
                <w:color w:val="auto"/>
              </w:rPr>
              <w:t>(7.1)</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Amortization &amp; other non-cash</w:t>
            </w:r>
          </w:p>
        </w:tc>
        <w:tc>
          <w:tcPr>
            <w:tcW w:w="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524</w:t>
            </w:r>
          </w:p>
        </w:tc>
        <w:tc>
          <w:tcPr>
            <w:tcW w:w="7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932</w:t>
            </w: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1,627</w:t>
            </w:r>
          </w:p>
        </w:tc>
        <w:tc>
          <w:tcPr>
            <w:tcW w:w="7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2,795</w:t>
            </w:r>
          </w:p>
        </w:tc>
        <w:tc>
          <w:tcPr>
            <w:tcW w:w="8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charges</w:t>
            </w:r>
          </w:p>
        </w:tc>
        <w:tc>
          <w:tcPr>
            <w:tcW w:w="72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60" w:type="dxa"/>
            <w:vAlign w:val="bottom"/>
            <w:vMerge w:val="continue"/>
            <w:shd w:val="clear" w:color="auto" w:fill="CCEEFF"/>
          </w:tcPr>
          <w:p>
            <w:pPr>
              <w:spacing w:after="0"/>
              <w:rPr>
                <w:sz w:val="14"/>
                <w:szCs w:val="14"/>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82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w:t>
            </w: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Operative cash flow</w:t>
            </w:r>
          </w:p>
        </w:tc>
        <w:tc>
          <w:tcPr>
            <w:tcW w:w="120" w:type="dxa"/>
            <w:vAlign w:val="bottom"/>
          </w:tcPr>
          <w:p>
            <w:pPr>
              <w:spacing w:after="0"/>
              <w:rPr>
                <w:sz w:val="12"/>
                <w:szCs w:val="12"/>
                <w:color w:val="auto"/>
              </w:rPr>
            </w:pPr>
          </w:p>
        </w:tc>
        <w:tc>
          <w:tcPr>
            <w:tcW w:w="72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8,492</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19.2</w:t>
            </w:r>
          </w:p>
        </w:tc>
        <w:tc>
          <w:tcPr>
            <w:tcW w:w="86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8,596</w:t>
            </w:r>
          </w:p>
        </w:tc>
        <w:tc>
          <w:tcPr>
            <w:tcW w:w="8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19.3</w:t>
            </w:r>
          </w:p>
        </w:tc>
        <w:tc>
          <w:tcPr>
            <w:tcW w:w="7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(1.1)</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24,909</w:t>
            </w:r>
          </w:p>
        </w:tc>
        <w:tc>
          <w:tcPr>
            <w:tcW w:w="76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19.1</w:t>
            </w:r>
          </w:p>
        </w:tc>
        <w:tc>
          <w:tcPr>
            <w:tcW w:w="8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26,272</w:t>
            </w:r>
          </w:p>
        </w:tc>
        <w:tc>
          <w:tcPr>
            <w:tcW w:w="84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19.2</w:t>
            </w:r>
          </w:p>
        </w:tc>
        <w:tc>
          <w:tcPr>
            <w:tcW w:w="7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(5.2)</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CAPEX</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3,103</w:t>
            </w: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2,923</w:t>
            </w:r>
          </w:p>
        </w:tc>
        <w:tc>
          <w:tcPr>
            <w:tcW w:w="8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6.2</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7,120</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8,485</w:t>
            </w: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(16.1)</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Sales volumes</w:t>
            </w: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(Millions of unit cases)</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Mexico and Central America</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534.1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506.1</w:t>
            </w:r>
          </w:p>
        </w:tc>
        <w:tc>
          <w:tcPr>
            <w:tcW w:w="8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63.1</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5.6</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2,953.8</w:t>
            </w: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59.4</w:t>
            </w: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2,789.9</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58.9</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5.9</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South America</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120.2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114.5</w:t>
            </w:r>
          </w:p>
        </w:tc>
        <w:tc>
          <w:tcPr>
            <w:tcW w:w="8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14.3</w:t>
            </w: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5.0</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795.9</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16.0</w:t>
            </w: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774.6</w:t>
            </w: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16.4</w:t>
            </w: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2.7</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Brazil</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184.9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181.9</w:t>
            </w:r>
          </w:p>
        </w:tc>
        <w:tc>
          <w:tcPr>
            <w:tcW w:w="8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22.7</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1,223.4</w:t>
            </w: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24.6</w:t>
            </w: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1,172.2</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24.8</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4.4</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839.2</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8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b w:val="1"/>
                <w:bCs w:val="1"/>
                <w:color w:val="auto"/>
              </w:rPr>
              <w:t>802.5</w:t>
            </w:r>
          </w:p>
        </w:tc>
        <w:tc>
          <w:tcPr>
            <w:tcW w:w="8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100.0</w:t>
            </w:r>
          </w:p>
        </w:tc>
        <w:tc>
          <w:tcPr>
            <w:tcW w:w="7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4.6</w:t>
            </w: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4,973.1</w:t>
            </w:r>
          </w:p>
        </w:tc>
        <w:tc>
          <w:tcPr>
            <w:tcW w:w="7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8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4,736.7</w:t>
            </w:r>
          </w:p>
        </w:tc>
        <w:tc>
          <w:tcPr>
            <w:tcW w:w="84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100.0</w:t>
            </w:r>
          </w:p>
        </w:tc>
        <w:tc>
          <w:tcPr>
            <w:tcW w:w="7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5.0</w:t>
            </w: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8"/>
        <w:spacing w:after="0" w:line="207" w:lineRule="auto"/>
        <w:tabs>
          <w:tab w:leader="none" w:pos="26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The Philippines is presented as a discontinued operation as of January 1, 2018, and the consolidated income statements presented herein are re-presented as if the Philippines had been discontinued from February 2017, date of the consolidation of said operation.</w:t>
      </w:r>
    </w:p>
    <w:p>
      <w:pPr>
        <w:spacing w:after="0" w:line="26" w:lineRule="exact"/>
        <w:rPr>
          <w:rFonts w:ascii="Arial" w:cs="Arial" w:eastAsia="Arial" w:hAnsi="Arial"/>
          <w:sz w:val="28"/>
          <w:szCs w:val="28"/>
          <w:color w:val="auto"/>
          <w:vertAlign w:val="superscript"/>
        </w:rPr>
      </w:pPr>
    </w:p>
    <w:p>
      <w:pPr>
        <w:ind w:right="660" w:firstLine="8"/>
        <w:spacing w:after="0" w:line="221" w:lineRule="auto"/>
        <w:tabs>
          <w:tab w:leader="none" w:pos="245"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Organic basis (% Org.) Excludes the effects of significant mergers and acquisitions in the last twelve month and the results of Coca-Cola FEMSA Venezuela in 2017.</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-128270</wp:posOffset>
            </wp:positionV>
            <wp:extent cx="1715135"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FEMSA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Macroeconomic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1200"/>
              <w:spacing w:after="0"/>
              <w:rPr>
                <w:sz w:val="20"/>
                <w:szCs w:val="20"/>
                <w:color w:val="auto"/>
              </w:rPr>
            </w:pPr>
            <w:r>
              <w:rPr>
                <w:rFonts w:ascii="Arial" w:cs="Arial" w:eastAsia="Arial" w:hAnsi="Arial"/>
                <w:sz w:val="18"/>
                <w:szCs w:val="18"/>
                <w:b w:val="1"/>
                <w:bCs w:val="1"/>
                <w:color w:val="auto"/>
              </w:rPr>
              <w:t>Inflation</w:t>
            </w:r>
          </w:p>
        </w:tc>
        <w:tc>
          <w:tcPr>
            <w:tcW w:w="1280" w:type="dxa"/>
            <w:vAlign w:val="bottom"/>
          </w:tcPr>
          <w:p>
            <w:pPr>
              <w:spacing w:after="0"/>
              <w:rPr>
                <w:sz w:val="20"/>
                <w:szCs w:val="20"/>
                <w:color w:val="auto"/>
              </w:rPr>
            </w:pPr>
          </w:p>
        </w:tc>
        <w:tc>
          <w:tcPr>
            <w:tcW w:w="30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w w:val="94"/>
              </w:rPr>
              <w:t>End-of-period Exchange Rates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3Q 2018</w:t>
            </w:r>
          </w:p>
        </w:tc>
        <w:tc>
          <w:tcPr>
            <w:tcW w:w="1140" w:type="dxa"/>
            <w:vAlign w:val="bottom"/>
            <w:tcBorders>
              <w:top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w w:val="89"/>
              </w:rPr>
              <w:t>LTM</w:t>
            </w:r>
            <w:r>
              <w:rPr>
                <w:rFonts w:ascii="Arial" w:cs="Arial" w:eastAsia="Arial" w:hAnsi="Arial"/>
                <w:sz w:val="29"/>
                <w:szCs w:val="29"/>
                <w:b w:val="1"/>
                <w:bCs w:val="1"/>
                <w:color w:val="auto"/>
                <w:w w:val="89"/>
                <w:vertAlign w:val="superscript"/>
              </w:rPr>
              <w:t>(1)</w:t>
            </w:r>
            <w:r>
              <w:rPr>
                <w:rFonts w:ascii="Arial" w:cs="Arial" w:eastAsia="Arial" w:hAnsi="Arial"/>
                <w:sz w:val="18"/>
                <w:szCs w:val="18"/>
                <w:b w:val="1"/>
                <w:bCs w:val="1"/>
                <w:color w:val="auto"/>
                <w:w w:val="89"/>
              </w:rPr>
              <w:t xml:space="preserve"> Sep-18</w:t>
            </w:r>
          </w:p>
        </w:tc>
        <w:tc>
          <w:tcPr>
            <w:tcW w:w="260" w:type="dxa"/>
            <w:vAlign w:val="bottom"/>
          </w:tcPr>
          <w:p>
            <w:pPr>
              <w:spacing w:after="0"/>
              <w:rPr>
                <w:sz w:val="21"/>
                <w:szCs w:val="21"/>
                <w:color w:val="auto"/>
              </w:rPr>
            </w:pPr>
          </w:p>
        </w:tc>
        <w:tc>
          <w:tcPr>
            <w:tcW w:w="2700" w:type="dxa"/>
            <w:vAlign w:val="bottom"/>
            <w:tcBorders>
              <w:top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rPr>
              <w:t>Sep-18</w:t>
            </w: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Dec-17</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Per USD</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Per MXN</w:t>
            </w:r>
          </w:p>
        </w:tc>
        <w:tc>
          <w:tcPr>
            <w:tcW w:w="200" w:type="dxa"/>
            <w:vAlign w:val="bottom"/>
          </w:tcPr>
          <w:p>
            <w:pPr>
              <w:spacing w:after="0"/>
              <w:rPr>
                <w:sz w:val="18"/>
                <w:szCs w:val="18"/>
                <w:color w:val="auto"/>
              </w:rPr>
            </w:pPr>
          </w:p>
        </w:tc>
        <w:tc>
          <w:tcPr>
            <w:tcW w:w="16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Per USD</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Per MXN</w:t>
            </w: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18.81</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19.74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2,972.18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0.0063</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2,984.00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0.0066</w:t>
            </w: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1282.35%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69893.72%</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62.17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0.3026</w:t>
            </w:r>
          </w:p>
        </w:tc>
        <w:tc>
          <w:tcPr>
            <w:tcW w:w="1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22,793.30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0.0009</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4.00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4.6984</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3.31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5.9660</w:t>
            </w: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37.63%</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41.25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0.4560</w:t>
            </w:r>
          </w:p>
        </w:tc>
        <w:tc>
          <w:tcPr>
            <w:tcW w:w="1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18.65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1.0583</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Chile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0.52%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661.50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0.0284</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615.22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0.0321</w:t>
            </w: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Philippines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54.25</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0.3468</w:t>
            </w:r>
          </w:p>
        </w:tc>
        <w:tc>
          <w:tcPr>
            <w:tcW w:w="1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49.92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0.3953</w:t>
            </w:r>
          </w:p>
        </w:tc>
      </w:tr>
      <w:tr>
        <w:trPr>
          <w:trHeight w:val="216"/>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Euro Zone</w:t>
            </w:r>
          </w:p>
        </w:tc>
        <w:tc>
          <w:tcPr>
            <w:tcW w:w="12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-0.38%</w:t>
            </w: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1.93%</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0.87</w:t>
            </w:r>
          </w:p>
        </w:tc>
        <w:tc>
          <w:tcPr>
            <w:tcW w:w="1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21.6842</w:t>
            </w:r>
          </w:p>
        </w:tc>
        <w:tc>
          <w:tcPr>
            <w:tcW w:w="1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0.84</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23.5729</w:t>
            </w:r>
          </w:p>
        </w:tc>
      </w:tr>
    </w:tbl>
    <w:p>
      <w:pPr>
        <w:spacing w:after="0" w:line="8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LTM = Last twelve months.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26, 2018</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-128270</wp:posOffset>
            </wp:positionV>
            <wp:extent cx="1715135"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5135" cy="857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2018 THIRD QUARTER AND FIRST NINE MONTHS RESULTS</w:t>
      </w:r>
    </w:p>
    <w:p>
      <w:pPr>
        <w:spacing w:after="0" w:line="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Mexico City, October 25, 2018, Coca-Cola FEMSA, S.A.B. de C.V. (BMV: KOFL, NYSE: KOF) (“Coca-Cola FEMSA,” “KOF” or the “Company”), the largest Coca-Cola franchise bottler in the world by sales volume, announces results for the third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Relevant Reporting Information</w:t>
      </w:r>
    </w:p>
    <w:p>
      <w:pPr>
        <w:spacing w:after="0" w:line="283" w:lineRule="exact"/>
        <w:rPr>
          <w:sz w:val="20"/>
          <w:szCs w:val="20"/>
          <w:color w:val="auto"/>
        </w:rPr>
      </w:pPr>
    </w:p>
    <w:p>
      <w:pPr>
        <w:ind w:left="260" w:hanging="252"/>
        <w:spacing w:after="0" w:line="258" w:lineRule="auto"/>
        <w:tabs>
          <w:tab w:leader="none" w:pos="260" w:val="left"/>
        </w:tabs>
        <w:numPr>
          <w:ilvl w:val="0"/>
          <w:numId w:val="18"/>
        </w:numPr>
        <w:rPr>
          <w:rFonts w:ascii="Arial" w:cs="Arial" w:eastAsia="Arial" w:hAnsi="Arial"/>
          <w:sz w:val="18"/>
          <w:szCs w:val="18"/>
          <w:color w:val="EF373E"/>
        </w:rPr>
      </w:pPr>
      <w:r>
        <w:rPr>
          <w:rFonts w:ascii="Arial" w:cs="Arial" w:eastAsia="Arial" w:hAnsi="Arial"/>
          <w:sz w:val="18"/>
          <w:szCs w:val="18"/>
          <w:i w:val="1"/>
          <w:iCs w:val="1"/>
          <w:color w:val="auto"/>
        </w:rPr>
        <w:t>Volumes and financial results of the recently acquired territories in Guatemala and Uruguay were consolidated as of May 1, 2018 and as of July 1, 2018, respectively. Coca-Cola FEMSA de Venezuela was deconsolidated as of December 31, 2017.</w:t>
      </w:r>
    </w:p>
    <w:p>
      <w:pPr>
        <w:spacing w:after="0" w:line="1" w:lineRule="exact"/>
        <w:rPr>
          <w:rFonts w:ascii="Arial" w:cs="Arial" w:eastAsia="Arial" w:hAnsi="Arial"/>
          <w:sz w:val="18"/>
          <w:szCs w:val="18"/>
          <w:color w:val="EF373E"/>
        </w:rPr>
      </w:pPr>
    </w:p>
    <w:p>
      <w:pPr>
        <w:jc w:val="both"/>
        <w:ind w:left="260" w:hanging="252"/>
        <w:spacing w:after="0" w:line="281" w:lineRule="auto"/>
        <w:tabs>
          <w:tab w:leader="none" w:pos="260" w:val="left"/>
        </w:tabs>
        <w:numPr>
          <w:ilvl w:val="0"/>
          <w:numId w:val="18"/>
        </w:numPr>
        <w:rPr>
          <w:rFonts w:ascii="Arial" w:cs="Arial" w:eastAsia="Arial" w:hAnsi="Arial"/>
          <w:sz w:val="16"/>
          <w:szCs w:val="16"/>
          <w:color w:val="EF373E"/>
        </w:rPr>
      </w:pPr>
      <w:r>
        <w:rPr>
          <w:rFonts w:ascii="Arial" w:cs="Arial" w:eastAsia="Arial" w:hAnsi="Arial"/>
          <w:sz w:val="16"/>
          <w:szCs w:val="16"/>
          <w:i w:val="1"/>
          <w:iCs w:val="1"/>
          <w:color w:val="auto"/>
        </w:rPr>
        <w:t>On August 16, 2018, KOF announced the exercise of the put option to sell its 51% stake in Coca-Cola FEMSA Philippines, Inc. Therefore, the Philippines is now presented as a discontinued operation as of January 1, 2018, and the consolidated income statements presented herein are re-presented as if the Philippines had been discontinued from February 2017, date of the consolidation of said operation. As a result, the Asia Division is no longer reported.</w:t>
      </w:r>
    </w:p>
    <w:p>
      <w:pPr>
        <w:spacing w:after="0" w:line="2" w:lineRule="exact"/>
        <w:rPr>
          <w:rFonts w:ascii="Arial" w:cs="Arial" w:eastAsia="Arial" w:hAnsi="Arial"/>
          <w:sz w:val="16"/>
          <w:szCs w:val="16"/>
          <w:color w:val="EF373E"/>
        </w:rPr>
      </w:pPr>
    </w:p>
    <w:p>
      <w:pPr>
        <w:ind w:left="260" w:hanging="252"/>
        <w:spacing w:after="0"/>
        <w:tabs>
          <w:tab w:leader="none" w:pos="260" w:val="left"/>
        </w:tabs>
        <w:numPr>
          <w:ilvl w:val="0"/>
          <w:numId w:val="18"/>
        </w:numPr>
        <w:rPr>
          <w:rFonts w:ascii="Arial" w:cs="Arial" w:eastAsia="Arial" w:hAnsi="Arial"/>
          <w:sz w:val="18"/>
          <w:szCs w:val="18"/>
          <w:color w:val="EF373E"/>
        </w:rPr>
      </w:pPr>
      <w:r>
        <w:rPr>
          <w:rFonts w:ascii="Arial" w:cs="Arial" w:eastAsia="Arial" w:hAnsi="Arial"/>
          <w:sz w:val="18"/>
          <w:szCs w:val="18"/>
          <w:i w:val="1"/>
          <w:iCs w:val="1"/>
          <w:color w:val="auto"/>
        </w:rPr>
        <w:t>As of July 1, 2018, Argentina is reported as a hyperinflationary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Operational and Financial Highlights</w:t>
      </w:r>
    </w:p>
    <w:p>
      <w:pPr>
        <w:spacing w:after="0" w:line="283"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EF373E"/>
        </w:rPr>
      </w:pPr>
      <w:r>
        <w:rPr>
          <w:rFonts w:ascii="Arial" w:cs="Arial" w:eastAsia="Arial" w:hAnsi="Arial"/>
          <w:sz w:val="18"/>
          <w:szCs w:val="18"/>
          <w:color w:val="auto"/>
        </w:rPr>
        <w:t>Volumes increased in Brazil, Central America, Colombia, and Mexico; transactions outperformed volumes in Argentina and Brazil.</w:t>
      </w:r>
    </w:p>
    <w:p>
      <w:pPr>
        <w:spacing w:after="0" w:line="23" w:lineRule="exact"/>
        <w:rPr>
          <w:rFonts w:ascii="Arial" w:cs="Arial" w:eastAsia="Arial" w:hAnsi="Arial"/>
          <w:sz w:val="18"/>
          <w:szCs w:val="18"/>
          <w:color w:val="EF373E"/>
        </w:rPr>
      </w:pPr>
    </w:p>
    <w:p>
      <w:pPr>
        <w:jc w:val="both"/>
        <w:ind w:left="260" w:hanging="252"/>
        <w:spacing w:after="0" w:line="250" w:lineRule="auto"/>
        <w:tabs>
          <w:tab w:leader="none" w:pos="260" w:val="left"/>
        </w:tabs>
        <w:numPr>
          <w:ilvl w:val="0"/>
          <w:numId w:val="19"/>
        </w:numPr>
        <w:rPr>
          <w:rFonts w:ascii="Arial" w:cs="Arial" w:eastAsia="Arial" w:hAnsi="Arial"/>
          <w:sz w:val="18"/>
          <w:szCs w:val="18"/>
          <w:color w:val="EF373E"/>
        </w:rPr>
      </w:pPr>
      <w:r>
        <w:rPr>
          <w:rFonts w:ascii="Arial" w:cs="Arial" w:eastAsia="Arial" w:hAnsi="Arial"/>
          <w:sz w:val="18"/>
          <w:szCs w:val="18"/>
          <w:color w:val="auto"/>
        </w:rPr>
        <w:t>Revenues decreased 0.7%, as pricing aligned with or ahead of inflation in the Mexico &amp; Central America division and in Argentina, combined with the consolidation of recent acquisitions were offset by unfavorable currency translation effects from the Brazilian Real, hyperinflationary accounting in Argentina and the deconsolidation of Venezuela.</w:t>
      </w:r>
    </w:p>
    <w:p>
      <w:pPr>
        <w:spacing w:after="0" w:line="1" w:lineRule="exact"/>
        <w:rPr>
          <w:rFonts w:ascii="Arial" w:cs="Arial" w:eastAsia="Arial" w:hAnsi="Arial"/>
          <w:sz w:val="18"/>
          <w:szCs w:val="18"/>
          <w:color w:val="EF373E"/>
        </w:rPr>
      </w:pPr>
    </w:p>
    <w:p>
      <w:pPr>
        <w:ind w:left="260" w:hanging="252"/>
        <w:spacing w:after="0"/>
        <w:tabs>
          <w:tab w:leader="none" w:pos="260" w:val="left"/>
        </w:tabs>
        <w:numPr>
          <w:ilvl w:val="0"/>
          <w:numId w:val="19"/>
        </w:numPr>
        <w:rPr>
          <w:rFonts w:ascii="Arial" w:cs="Arial" w:eastAsia="Arial" w:hAnsi="Arial"/>
          <w:sz w:val="18"/>
          <w:szCs w:val="18"/>
          <w:color w:val="EF373E"/>
        </w:rPr>
      </w:pPr>
      <w:r>
        <w:rPr>
          <w:rFonts w:ascii="Arial" w:cs="Arial" w:eastAsia="Arial" w:hAnsi="Arial"/>
          <w:sz w:val="18"/>
          <w:szCs w:val="18"/>
          <w:color w:val="auto"/>
        </w:rPr>
        <w:t>Comparable revenues grew 6.5% for the quarter driven by growth in Brazil, Central America, Colombia, and Mexico.</w:t>
      </w:r>
    </w:p>
    <w:p>
      <w:pPr>
        <w:spacing w:after="0" w:line="9" w:lineRule="exact"/>
        <w:rPr>
          <w:rFonts w:ascii="Arial" w:cs="Arial" w:eastAsia="Arial" w:hAnsi="Arial"/>
          <w:sz w:val="18"/>
          <w:szCs w:val="18"/>
          <w:color w:val="EF373E"/>
        </w:rPr>
      </w:pPr>
    </w:p>
    <w:p>
      <w:pPr>
        <w:ind w:left="260" w:hanging="252"/>
        <w:spacing w:after="0" w:line="261" w:lineRule="auto"/>
        <w:tabs>
          <w:tab w:leader="none" w:pos="260" w:val="left"/>
        </w:tabs>
        <w:numPr>
          <w:ilvl w:val="0"/>
          <w:numId w:val="19"/>
        </w:numPr>
        <w:rPr>
          <w:rFonts w:ascii="Arial" w:cs="Arial" w:eastAsia="Arial" w:hAnsi="Arial"/>
          <w:sz w:val="18"/>
          <w:szCs w:val="18"/>
          <w:color w:val="EF373E"/>
        </w:rPr>
      </w:pPr>
      <w:r>
        <w:rPr>
          <w:rFonts w:ascii="Arial" w:cs="Arial" w:eastAsia="Arial" w:hAnsi="Arial"/>
          <w:sz w:val="18"/>
          <w:szCs w:val="18"/>
          <w:color w:val="auto"/>
        </w:rPr>
        <w:t>Operating income grew 8.2%, while comparable operating income increased 5.5% for the quarter, driven mainly by lower sweetener costs, a favorable currency hedging position in South America, and operating expense efficiencies, partially offset by higher PET prices.</w:t>
      </w:r>
    </w:p>
    <w:p>
      <w:pPr>
        <w:spacing w:after="0" w:line="183" w:lineRule="exact"/>
        <w:rPr>
          <w:rFonts w:ascii="Arial" w:cs="Arial" w:eastAsia="Arial" w:hAnsi="Arial"/>
          <w:sz w:val="18"/>
          <w:szCs w:val="18"/>
          <w:color w:val="EF373E"/>
        </w:rPr>
      </w:pPr>
    </w:p>
    <w:p>
      <w:pPr>
        <w:ind w:left="260" w:hanging="252"/>
        <w:spacing w:after="0"/>
        <w:tabs>
          <w:tab w:leader="none" w:pos="260" w:val="left"/>
        </w:tabs>
        <w:numPr>
          <w:ilvl w:val="0"/>
          <w:numId w:val="19"/>
        </w:numPr>
        <w:rPr>
          <w:rFonts w:ascii="Arial" w:cs="Arial" w:eastAsia="Arial" w:hAnsi="Arial"/>
          <w:sz w:val="18"/>
          <w:szCs w:val="18"/>
          <w:color w:val="EF373E"/>
        </w:rPr>
      </w:pPr>
      <w:r>
        <w:rPr>
          <w:rFonts w:ascii="Arial" w:cs="Arial" w:eastAsia="Arial" w:hAnsi="Arial"/>
          <w:sz w:val="18"/>
          <w:szCs w:val="18"/>
          <w:color w:val="auto"/>
        </w:rPr>
        <w:t>Operating cash flow declined 1.2%, while comparable operating cash flow grew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Results Summary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860" w:type="dxa"/>
            <w:vAlign w:val="bottom"/>
            <w:tcBorders>
              <w:bottom w:val="single" w:sz="8" w:color="auto"/>
            </w:tcBorders>
            <w:shd w:val="clear" w:color="auto" w:fill="FF0000"/>
          </w:tcPr>
          <w:p>
            <w:pPr>
              <w:spacing w:after="0"/>
              <w:rPr>
                <w:sz w:val="18"/>
                <w:szCs w:val="18"/>
                <w:color w:val="auto"/>
              </w:rPr>
            </w:pPr>
          </w:p>
        </w:tc>
        <w:tc>
          <w:tcPr>
            <w:tcW w:w="2480" w:type="dxa"/>
            <w:vAlign w:val="bottom"/>
            <w:tcBorders>
              <w:bottom w:val="single" w:sz="8" w:color="auto"/>
            </w:tcBorders>
            <w:gridSpan w:val="3"/>
            <w:shd w:val="clear" w:color="auto" w:fill="FF0000"/>
          </w:tcPr>
          <w:p>
            <w:pPr>
              <w:ind w:left="240"/>
              <w:spacing w:after="0"/>
              <w:rPr>
                <w:sz w:val="20"/>
                <w:szCs w:val="20"/>
                <w:color w:val="auto"/>
              </w:rPr>
            </w:pPr>
            <w:r>
              <w:rPr>
                <w:rFonts w:ascii="Arial" w:cs="Arial" w:eastAsia="Arial" w:hAnsi="Arial"/>
                <w:sz w:val="18"/>
                <w:szCs w:val="18"/>
                <w:b w:val="1"/>
                <w:bCs w:val="1"/>
                <w:color w:val="FFFFFF"/>
              </w:rPr>
              <w:t>Third Quarter</w:t>
            </w:r>
          </w:p>
        </w:tc>
        <w:tc>
          <w:tcPr>
            <w:tcW w:w="240" w:type="dxa"/>
            <w:vAlign w:val="bottom"/>
          </w:tcPr>
          <w:p>
            <w:pPr>
              <w:spacing w:after="0"/>
              <w:rPr>
                <w:sz w:val="18"/>
                <w:szCs w:val="18"/>
                <w:color w:val="auto"/>
              </w:rPr>
            </w:pPr>
          </w:p>
        </w:tc>
        <w:tc>
          <w:tcPr>
            <w:tcW w:w="880" w:type="dxa"/>
            <w:vAlign w:val="bottom"/>
            <w:tcBorders>
              <w:bottom w:val="single" w:sz="8" w:color="auto"/>
            </w:tcBorders>
            <w:shd w:val="clear" w:color="auto" w:fill="FF0000"/>
          </w:tcPr>
          <w:p>
            <w:pPr>
              <w:spacing w:after="0"/>
              <w:rPr>
                <w:sz w:val="18"/>
                <w:szCs w:val="18"/>
                <w:color w:val="auto"/>
              </w:rPr>
            </w:pPr>
          </w:p>
        </w:tc>
        <w:tc>
          <w:tcPr>
            <w:tcW w:w="2500" w:type="dxa"/>
            <w:vAlign w:val="bottom"/>
            <w:tcBorders>
              <w:bottom w:val="single" w:sz="8" w:color="auto"/>
            </w:tcBorders>
            <w:gridSpan w:val="3"/>
            <w:shd w:val="clear" w:color="auto" w:fill="FF0000"/>
          </w:tcPr>
          <w:p>
            <w:pPr>
              <w:jc w:val="right"/>
              <w:ind w:right="1111"/>
              <w:spacing w:after="0"/>
              <w:rPr>
                <w:sz w:val="20"/>
                <w:szCs w:val="20"/>
                <w:color w:val="auto"/>
              </w:rPr>
            </w:pPr>
            <w:r>
              <w:rPr>
                <w:rFonts w:ascii="Arial" w:cs="Arial" w:eastAsia="Arial" w:hAnsi="Arial"/>
                <w:sz w:val="18"/>
                <w:szCs w:val="18"/>
                <w:b w:val="1"/>
                <w:bCs w:val="1"/>
                <w:color w:val="FFFFFF"/>
              </w:rPr>
              <w:t>Year to Date</w:t>
            </w:r>
          </w:p>
        </w:tc>
        <w:tc>
          <w:tcPr>
            <w:tcW w:w="0" w:type="dxa"/>
            <w:vAlign w:val="bottom"/>
          </w:tcPr>
          <w:p>
            <w:pPr>
              <w:spacing w:after="0"/>
              <w:rPr>
                <w:sz w:val="1"/>
                <w:szCs w:val="1"/>
                <w:color w:val="auto"/>
              </w:rPr>
            </w:pPr>
          </w:p>
        </w:tc>
      </w:tr>
      <w:tr>
        <w:trPr>
          <w:trHeight w:val="250"/>
        </w:trPr>
        <w:tc>
          <w:tcPr>
            <w:tcW w:w="446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Expressed in millions of Mexican pesos.</w:t>
            </w:r>
          </w:p>
        </w:tc>
        <w:tc>
          <w:tcPr>
            <w:tcW w:w="1960" w:type="dxa"/>
            <w:vAlign w:val="bottom"/>
            <w:gridSpan w:val="3"/>
          </w:tcPr>
          <w:p>
            <w:pPr>
              <w:ind w:left="260"/>
              <w:spacing w:after="0" w:line="250" w:lineRule="exact"/>
              <w:rPr>
                <w:sz w:val="20"/>
                <w:szCs w:val="20"/>
                <w:color w:val="auto"/>
              </w:rPr>
            </w:pPr>
            <w:r>
              <w:rPr>
                <w:rFonts w:ascii="Arial" w:cs="Arial" w:eastAsia="Arial" w:hAnsi="Arial"/>
                <w:sz w:val="17"/>
                <w:szCs w:val="17"/>
                <w:b w:val="1"/>
                <w:bCs w:val="1"/>
                <w:color w:val="auto"/>
              </w:rPr>
              <w:t xml:space="preserve">As Reported </w:t>
            </w:r>
            <w:r>
              <w:rPr>
                <w:rFonts w:ascii="Arial" w:cs="Arial" w:eastAsia="Arial" w:hAnsi="Arial"/>
                <w:sz w:val="28"/>
                <w:szCs w:val="28"/>
                <w:b w:val="1"/>
                <w:bCs w:val="1"/>
                <w:color w:val="auto"/>
                <w:vertAlign w:val="superscript"/>
              </w:rPr>
              <w:t>(1)</w:t>
            </w:r>
          </w:p>
        </w:tc>
        <w:tc>
          <w:tcPr>
            <w:tcW w:w="1380" w:type="dxa"/>
            <w:vAlign w:val="bottom"/>
          </w:tcPr>
          <w:p>
            <w:pPr>
              <w:jc w:val="center"/>
              <w:spacing w:after="0" w:line="250" w:lineRule="exact"/>
              <w:rPr>
                <w:sz w:val="20"/>
                <w:szCs w:val="20"/>
                <w:color w:val="auto"/>
              </w:rPr>
            </w:pPr>
            <w:r>
              <w:rPr>
                <w:rFonts w:ascii="Arial" w:cs="Arial" w:eastAsia="Arial" w:hAnsi="Arial"/>
                <w:sz w:val="17"/>
                <w:szCs w:val="17"/>
                <w:b w:val="1"/>
                <w:bCs w:val="1"/>
                <w:color w:val="auto"/>
                <w:w w:val="93"/>
              </w:rPr>
              <w:t xml:space="preserve">Comparable </w:t>
            </w:r>
            <w:r>
              <w:rPr>
                <w:rFonts w:ascii="Arial" w:cs="Arial" w:eastAsia="Arial" w:hAnsi="Arial"/>
                <w:sz w:val="28"/>
                <w:szCs w:val="28"/>
                <w:b w:val="1"/>
                <w:bCs w:val="1"/>
                <w:color w:val="auto"/>
                <w:w w:val="93"/>
                <w:vertAlign w:val="superscript"/>
              </w:rPr>
              <w:t>(2)</w:t>
            </w:r>
          </w:p>
        </w:tc>
        <w:tc>
          <w:tcPr>
            <w:tcW w:w="240" w:type="dxa"/>
            <w:vAlign w:val="bottom"/>
          </w:tcPr>
          <w:p>
            <w:pPr>
              <w:spacing w:after="0"/>
              <w:rPr>
                <w:sz w:val="21"/>
                <w:szCs w:val="21"/>
                <w:color w:val="auto"/>
              </w:rPr>
            </w:pPr>
          </w:p>
        </w:tc>
        <w:tc>
          <w:tcPr>
            <w:tcW w:w="2000" w:type="dxa"/>
            <w:vAlign w:val="bottom"/>
            <w:gridSpan w:val="3"/>
          </w:tcPr>
          <w:p>
            <w:pPr>
              <w:ind w:left="280"/>
              <w:spacing w:after="0" w:line="250" w:lineRule="exact"/>
              <w:rPr>
                <w:sz w:val="20"/>
                <w:szCs w:val="20"/>
                <w:color w:val="auto"/>
              </w:rPr>
            </w:pPr>
            <w:r>
              <w:rPr>
                <w:rFonts w:ascii="Arial" w:cs="Arial" w:eastAsia="Arial" w:hAnsi="Arial"/>
                <w:sz w:val="17"/>
                <w:szCs w:val="17"/>
                <w:b w:val="1"/>
                <w:bCs w:val="1"/>
                <w:color w:val="auto"/>
              </w:rPr>
              <w:t xml:space="preserve">As Reported </w:t>
            </w:r>
            <w:r>
              <w:rPr>
                <w:rFonts w:ascii="Arial" w:cs="Arial" w:eastAsia="Arial" w:hAnsi="Arial"/>
                <w:sz w:val="28"/>
                <w:szCs w:val="28"/>
                <w:b w:val="1"/>
                <w:bCs w:val="1"/>
                <w:color w:val="auto"/>
                <w:vertAlign w:val="superscript"/>
              </w:rPr>
              <w:t>(1)</w:t>
            </w:r>
          </w:p>
        </w:tc>
        <w:tc>
          <w:tcPr>
            <w:tcW w:w="1380" w:type="dxa"/>
            <w:vAlign w:val="bottom"/>
          </w:tcPr>
          <w:p>
            <w:pPr>
              <w:jc w:val="right"/>
              <w:ind w:right="11"/>
              <w:spacing w:after="0" w:line="250" w:lineRule="exact"/>
              <w:rPr>
                <w:sz w:val="20"/>
                <w:szCs w:val="20"/>
                <w:color w:val="auto"/>
              </w:rPr>
            </w:pPr>
            <w:r>
              <w:rPr>
                <w:rFonts w:ascii="Arial" w:cs="Arial" w:eastAsia="Arial" w:hAnsi="Arial"/>
                <w:sz w:val="17"/>
                <w:szCs w:val="17"/>
                <w:b w:val="1"/>
                <w:bCs w:val="1"/>
                <w:color w:val="auto"/>
              </w:rPr>
              <w:t xml:space="preserve">Comparable </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auto"/>
            </w:tcBorders>
            <w:vMerge w:val="continue"/>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D%</w:t>
            </w: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D%</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D%</w:t>
            </w: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44,148</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6.5%</w:t>
            </w:r>
          </w:p>
        </w:tc>
        <w:tc>
          <w:tcPr>
            <w:tcW w:w="2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130,577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(4.7)%</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20,237</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5.8%</w:t>
            </w:r>
          </w:p>
        </w:tc>
        <w:tc>
          <w:tcPr>
            <w:tcW w:w="2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60,150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5,777</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5.5%</w:t>
            </w:r>
          </w:p>
        </w:tc>
        <w:tc>
          <w:tcPr>
            <w:tcW w:w="2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17,103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0"/>
        </w:trPr>
        <w:tc>
          <w:tcPr>
            <w:tcW w:w="4460" w:type="dxa"/>
            <w:vAlign w:val="bottom"/>
          </w:tcPr>
          <w:p>
            <w:pPr>
              <w:ind w:left="100"/>
              <w:spacing w:after="0" w:line="250" w:lineRule="exact"/>
              <w:rPr>
                <w:sz w:val="20"/>
                <w:szCs w:val="20"/>
                <w:color w:val="auto"/>
              </w:rPr>
            </w:pPr>
            <w:r>
              <w:rPr>
                <w:rFonts w:ascii="Arial" w:cs="Arial" w:eastAsia="Arial" w:hAnsi="Arial"/>
                <w:sz w:val="17"/>
                <w:szCs w:val="17"/>
                <w:color w:val="auto"/>
              </w:rPr>
              <w:t xml:space="preserve">Operating cash flow </w:t>
            </w:r>
            <w:r>
              <w:rPr>
                <w:rFonts w:ascii="Arial" w:cs="Arial" w:eastAsia="Arial" w:hAnsi="Arial"/>
                <w:sz w:val="28"/>
                <w:szCs w:val="28"/>
                <w:color w:val="auto"/>
                <w:vertAlign w:val="superscript"/>
              </w:rPr>
              <w:t>(3)</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8,492</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6.2%</w:t>
            </w:r>
          </w:p>
        </w:tc>
        <w:tc>
          <w:tcPr>
            <w:tcW w:w="11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24,909</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(5.2)%</w:t>
            </w:r>
          </w:p>
        </w:tc>
        <w:tc>
          <w:tcPr>
            <w:tcW w:w="240" w:type="dxa"/>
            <w:vAlign w:val="bottom"/>
          </w:tcPr>
          <w:p>
            <w:pPr>
              <w:spacing w:after="0"/>
              <w:rPr>
                <w:sz w:val="21"/>
                <w:szCs w:val="21"/>
                <w:color w:val="auto"/>
              </w:rPr>
            </w:pPr>
          </w:p>
        </w:tc>
        <w:tc>
          <w:tcPr>
            <w:tcW w:w="1380" w:type="dxa"/>
            <w:vAlign w:val="bottom"/>
          </w:tcPr>
          <w:p>
            <w:pPr>
              <w:jc w:val="right"/>
              <w:ind w:right="4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44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6"/>
              </w:rPr>
              <w:t>Net income attributable to equity holders of the company</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3,266</w:t>
            </w: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8,201</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(19.9)%</w:t>
            </w: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Earnings per share - Continued operations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1.36</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3.75</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17"/>
                <w:szCs w:val="17"/>
                <w:color w:val="auto"/>
              </w:rPr>
              <w:t xml:space="preserve">Earnings per share </w:t>
            </w:r>
            <w:r>
              <w:rPr>
                <w:rFonts w:ascii="Arial" w:cs="Arial" w:eastAsia="Arial" w:hAnsi="Arial"/>
                <w:sz w:val="28"/>
                <w:szCs w:val="28"/>
                <w:color w:val="auto"/>
                <w:vertAlign w:val="superscript"/>
              </w:rPr>
              <w:t>(4)</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1.55</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3.90</w:t>
            </w:r>
          </w:p>
        </w:tc>
        <w:tc>
          <w:tcPr>
            <w:tcW w:w="8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2017 financial information is re-presented as if the Philippines had been discontinued from February 2017, date of the consolidation of said operation.</w:t>
      </w:r>
    </w:p>
    <w:p>
      <w:pPr>
        <w:spacing w:after="0" w:line="1" w:lineRule="exact"/>
        <w:rPr>
          <w:rFonts w:ascii="Arial" w:cs="Arial" w:eastAsia="Arial" w:hAnsi="Arial"/>
          <w:sz w:val="26"/>
          <w:szCs w:val="26"/>
          <w:i w:val="1"/>
          <w:iCs w:val="1"/>
          <w:color w:val="auto"/>
          <w:vertAlign w:val="superscript"/>
        </w:rPr>
      </w:pPr>
    </w:p>
    <w:p>
      <w:pPr>
        <w:ind w:left="340" w:hanging="332"/>
        <w:spacing w:after="0" w:line="187" w:lineRule="auto"/>
        <w:tabs>
          <w:tab w:leader="none" w:pos="340" w:val="left"/>
        </w:tabs>
        <w:numPr>
          <w:ilvl w:val="0"/>
          <w:numId w:val="20"/>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Please refer to page 9 for our definition of “comparable” and a description of the factors affecting the comparability of our financial and operating performance.</w:t>
      </w:r>
    </w:p>
    <w:p>
      <w:pPr>
        <w:ind w:left="340" w:hanging="332"/>
        <w:spacing w:after="0" w:line="180" w:lineRule="auto"/>
        <w:tabs>
          <w:tab w:leader="none" w:pos="340" w:val="left"/>
        </w:tabs>
        <w:numPr>
          <w:ilvl w:val="0"/>
          <w:numId w:val="20"/>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Operating cash flow = operating income + depreciation + amortization &amp; other operating non-cash charges.</w:t>
      </w:r>
    </w:p>
    <w:p>
      <w:pPr>
        <w:spacing w:after="0" w:line="2" w:lineRule="exact"/>
        <w:rPr>
          <w:rFonts w:ascii="Arial" w:cs="Arial" w:eastAsia="Arial" w:hAnsi="Arial"/>
          <w:sz w:val="25"/>
          <w:szCs w:val="25"/>
          <w:i w:val="1"/>
          <w:iCs w:val="1"/>
          <w:color w:val="auto"/>
          <w:vertAlign w:val="superscript"/>
        </w:rPr>
      </w:pPr>
    </w:p>
    <w:p>
      <w:pPr>
        <w:ind w:left="340" w:hanging="332"/>
        <w:spacing w:after="0" w:line="186" w:lineRule="auto"/>
        <w:tabs>
          <w:tab w:leader="none" w:pos="340" w:val="left"/>
        </w:tabs>
        <w:numPr>
          <w:ilvl w:val="0"/>
          <w:numId w:val="20"/>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Quarterly earnings / outstanding shares as of the end of the period. Outstanding shares were 2,100.8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Message from the Chief Executive Officer</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third-quarter results reflect very encouraging positive trends in many of our markets. In Mexico, our revenue management platform’s analytics are enabling us to deliver solid top-line growth, backed by positive volume performance. In Central America, organic volumes are showing encouraging trends, coupled with the ongoing integration of very promising territories in Guatemala. Importantly, in South America, we continue to gain share in gradually recovering consumer environments as we offer affordability and focus relentlessly on point-of-sale execution: Colombia is gaining traction; Brazil continues to deliver top-and-bottom-line growth, while Argentina is better than ever prepared to face the challenging macro environment. Finally, this quarter, we welcome Uruguay as the newest territory to our diversified footprint. As we approach the end of the year, we look forward to continue capitalizing on our capabilities to capture the marketplace’s many opportunities, while obsessively focusing on serving our customers and consumers.” said John Santa Maria Otazua, Chief Executive Officer of the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8" w:right="239" w:bottom="1440" w:gutter="0" w:footer="0" w:header="0"/>
        </w:sectPr>
      </w:pPr>
    </w:p>
    <w:bookmarkStart w:id="18" w:name="page19"/>
    <w:bookmarkEnd w:id="18"/>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Consolidated results for the third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figures:</w:t>
      </w:r>
    </w:p>
    <w:p>
      <w:pPr>
        <w:jc w:val="both"/>
        <w:ind w:left="260"/>
        <w:spacing w:after="0" w:line="254"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Comparable total revenues grew 6.5% in the third quarter of 2018 as compared to the same period of 2017, driven by average price per unit</w:t>
      </w:r>
      <w:r>
        <w:rPr>
          <w:rFonts w:ascii="Arial" w:cs="Arial" w:eastAsia="Arial" w:hAnsi="Arial"/>
          <w:sz w:val="18"/>
          <w:szCs w:val="18"/>
          <w:b w:val="1"/>
          <w:bCs w:val="1"/>
          <w:color w:val="auto"/>
        </w:rPr>
        <w:t xml:space="preserve"> </w:t>
      </w:r>
      <w:r>
        <w:rPr>
          <w:rFonts w:ascii="Arial" w:cs="Arial" w:eastAsia="Arial" w:hAnsi="Arial"/>
          <w:sz w:val="18"/>
          <w:szCs w:val="18"/>
          <w:color w:val="auto"/>
        </w:rPr>
        <w:t>case growth aligned with or ahead of inflation in Mexico and Central America, coupled with volume growth in Brazil, Colombia, Central America, and Mexico.</w:t>
      </w:r>
    </w:p>
    <w:p>
      <w:pPr>
        <w:spacing w:after="0" w:line="187" w:lineRule="exact"/>
        <w:rPr>
          <w:sz w:val="20"/>
          <w:szCs w:val="20"/>
          <w:color w:val="auto"/>
        </w:rPr>
      </w:pPr>
    </w:p>
    <w:p>
      <w:pPr>
        <w:jc w:val="both"/>
        <w:ind w:left="260"/>
        <w:spacing w:after="0" w:line="258" w:lineRule="auto"/>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18"/>
          <w:szCs w:val="18"/>
          <w:color w:val="auto"/>
        </w:rPr>
        <w:t>Comparable number of transactions increased 2.0%. Our sparkling beverage category grew 1.2%, driven by 3.1% growth in our colas</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partially offset by a decline in flavors. Our positive performance in colas was driven by growth across all of our operations. Our still beverage category increased 3.6%, driven mainly by the positive performance of Brazil and Mexico, partially offset by declines in Central America and Colombia. Finally, our water category’s transactions increased by 7.4%, driven by growth in Brazil, Colombia, and Mexico, partially offset by a decline in Central America.</w:t>
      </w:r>
    </w:p>
    <w:p>
      <w:pPr>
        <w:spacing w:after="0" w:line="184" w:lineRule="exact"/>
        <w:rPr>
          <w:sz w:val="20"/>
          <w:szCs w:val="20"/>
          <w:color w:val="auto"/>
        </w:rPr>
      </w:pPr>
    </w:p>
    <w:p>
      <w:pPr>
        <w:jc w:val="both"/>
        <w:ind w:left="260"/>
        <w:spacing w:after="0" w:line="256" w:lineRule="auto"/>
        <w:rPr>
          <w:sz w:val="20"/>
          <w:szCs w:val="20"/>
          <w:color w:val="auto"/>
        </w:rPr>
      </w:pPr>
      <w:r>
        <w:rPr>
          <w:rFonts w:ascii="Arial" w:cs="Arial" w:eastAsia="Arial" w:hAnsi="Arial"/>
          <w:sz w:val="18"/>
          <w:szCs w:val="18"/>
          <w:b w:val="1"/>
          <w:bCs w:val="1"/>
          <w:color w:val="auto"/>
        </w:rPr>
        <w:t xml:space="preserve">Volume: </w:t>
      </w:r>
      <w:r>
        <w:rPr>
          <w:rFonts w:ascii="Arial" w:cs="Arial" w:eastAsia="Arial" w:hAnsi="Arial"/>
          <w:sz w:val="18"/>
          <w:szCs w:val="18"/>
          <w:color w:val="auto"/>
        </w:rPr>
        <w:t>Comparable sales volume increased 2.5% in the third quarter of 2018 as compared to the same period in 2017. Additionally, excluding jug water,</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sales volume increased 3.2%. Our sparkling beverage portfolio’s volume increased 2.5%, driven by growth in our colas portfolio, partially offset by a decline in our flavors portfolio. Our growth in colas was driven by the positive performance of all of our operations. Our still beverage category’s volume grew 3.6%, driven by Central America and Mexico. Our personal water portfolio’s volume grew 12.0% due to positive performance across most of our operations. Finally, our bulk water portfolio’s volume declined 3.1%, driven mainly by declines in Central America, Colombia, and Mexico, partially offset by growth in the rest of our operations.</w:t>
      </w:r>
    </w:p>
    <w:p>
      <w:pPr>
        <w:spacing w:after="0" w:line="188" w:lineRule="exact"/>
        <w:rPr>
          <w:sz w:val="20"/>
          <w:szCs w:val="20"/>
          <w:color w:val="auto"/>
        </w:rPr>
      </w:pPr>
    </w:p>
    <w:p>
      <w:pPr>
        <w:jc w:val="both"/>
        <w:ind w:left="260"/>
        <w:spacing w:after="0" w:line="289" w:lineRule="auto"/>
        <w:rPr>
          <w:sz w:val="20"/>
          <w:szCs w:val="20"/>
          <w:color w:val="auto"/>
        </w:rPr>
      </w:pPr>
      <w:r>
        <w:rPr>
          <w:rFonts w:ascii="Arial" w:cs="Arial" w:eastAsia="Arial" w:hAnsi="Arial"/>
          <w:sz w:val="17"/>
          <w:szCs w:val="17"/>
          <w:b w:val="1"/>
          <w:bCs w:val="1"/>
          <w:color w:val="auto"/>
        </w:rPr>
        <w:t xml:space="preserve">Gross profit: </w:t>
      </w:r>
      <w:r>
        <w:rPr>
          <w:rFonts w:ascii="Arial" w:cs="Arial" w:eastAsia="Arial" w:hAnsi="Arial"/>
          <w:sz w:val="17"/>
          <w:szCs w:val="17"/>
          <w:color w:val="auto"/>
        </w:rPr>
        <w:t>Comparable gross profit grew 5.8%. Our volume growth, lower sweetener prices in most of our operations, and favorable currency hedging</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positions in South America were offset by higher PET prices across most of our operations, higher concentrate prices in Mexico, and the depreciation in the average exchange rate of the Brazilian Real as applied to our U.S. dollar-denominated raw material costs.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Comparable operating income increased 5.5% for the third quarter of 2018 as compared to the same period of 2017.</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Operating cash flow: </w:t>
      </w:r>
      <w:r>
        <w:rPr>
          <w:rFonts w:ascii="Arial" w:cs="Arial" w:eastAsia="Arial" w:hAnsi="Arial"/>
          <w:sz w:val="18"/>
          <w:szCs w:val="18"/>
          <w:color w:val="auto"/>
        </w:rPr>
        <w:t>Comparable operating cash flow increased 6.2% in the third quarter of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reported figures: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According to IFRS 5, the Philippines is presented as a discontinued operation as of January 1, 2018 and the consolidated income statements presented herein are re-presented as if the Philippines had been discontinued from February 2017.</w:t>
      </w:r>
    </w:p>
    <w:p>
      <w:pPr>
        <w:spacing w:after="0" w:line="180" w:lineRule="exact"/>
        <w:rPr>
          <w:sz w:val="20"/>
          <w:szCs w:val="20"/>
          <w:color w:val="auto"/>
        </w:rPr>
      </w:pPr>
    </w:p>
    <w:p>
      <w:pPr>
        <w:jc w:val="both"/>
        <w:ind w:left="260"/>
        <w:spacing w:after="0" w:line="258"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Total revenues decreased 0.7% to Ps. 44,148 million in the third quarter of 2018, driven mainly by the negative translation effect resulting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depreciation of the Argentine Peso and the Brazilian Real as compared to the Mexican Peso, combined with a volume decline and hyperinflationary accounting in Argentina and the deconsolidation of Coca-Cola FEMSA de Venezuela as of December 31, 2017. These factors were partially offset by volume growth in Brazil, Central America, Colombia, and Mexico, price increases aligned with or above inflation in Mexico and Argentina, and the consolidation of recently acquired territories in Guatemala and Uruguay.</w:t>
      </w:r>
    </w:p>
    <w:p>
      <w:pPr>
        <w:spacing w:after="0" w:line="184"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18"/>
          <w:szCs w:val="18"/>
          <w:color w:val="auto"/>
        </w:rPr>
        <w:t>Reported total number of transactions increased 2.2% to 4,973.1 million in the third quarter of 2018 as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2017.</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6"/>
          <w:szCs w:val="16"/>
          <w:color w:val="auto"/>
        </w:rPr>
        <w:t>Reported total sales volume increased 2.2% to 839.2 million unit cases in the third quarter of 2018 as compared to the same period in 2017.</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Gross profit increased 0.6% to Ps. 20,236.7 million, and gross margin expanded 60 basis points to 45.8%.</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ind w:left="340" w:hanging="332"/>
        <w:spacing w:after="0" w:line="194" w:lineRule="auto"/>
        <w:tabs>
          <w:tab w:leader="none" w:pos="340" w:val="left"/>
        </w:tabs>
        <w:numPr>
          <w:ilvl w:val="0"/>
          <w:numId w:val="21"/>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Please refer to page 9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14"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19" w:name="page20"/>
    <w:bookmarkEnd w:id="19"/>
    <w:p>
      <w:pPr>
        <w:jc w:val="both"/>
        <w:ind w:left="2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 xml:space="preserve">Equity method: </w:t>
      </w:r>
      <w:r>
        <w:rPr>
          <w:rFonts w:ascii="Arial" w:cs="Arial" w:eastAsia="Arial" w:hAnsi="Arial"/>
          <w:sz w:val="18"/>
          <w:szCs w:val="18"/>
          <w:color w:val="auto"/>
        </w:rPr>
        <w:t>The reported share of the profits of associates and joint ventures recorded a loss of Ps. 85 million in the third quarter of 2018,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a loss of Ps. 6 million recorded in the third quarter of 2017. This is mainly due to a loss in our dairy joint venture in Panama, partially offset by gains in our joint ventures in Brazil.</w:t>
      </w:r>
    </w:p>
    <w:p>
      <w:pPr>
        <w:spacing w:after="0" w:line="176"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Operating income increased 8.2% to Ps. 5,777.5 million, and operating margin expanded 110 basis points to 13.1% during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 as compared with the same period of 2017, which included Venezuela.</w:t>
      </w:r>
    </w:p>
    <w:p>
      <w:pPr>
        <w:spacing w:after="0" w:line="162" w:lineRule="exact"/>
        <w:rPr>
          <w:sz w:val="20"/>
          <w:szCs w:val="20"/>
          <w:color w:val="auto"/>
        </w:rPr>
      </w:pPr>
    </w:p>
    <w:p>
      <w:pPr>
        <w:jc w:val="both"/>
        <w:ind w:left="260"/>
        <w:spacing w:after="0" w:line="347" w:lineRule="auto"/>
        <w:rPr>
          <w:sz w:val="20"/>
          <w:szCs w:val="20"/>
          <w:color w:val="auto"/>
        </w:rPr>
      </w:pPr>
      <w:r>
        <w:rPr>
          <w:rFonts w:ascii="Arial" w:cs="Arial" w:eastAsia="Arial" w:hAnsi="Arial"/>
          <w:sz w:val="16"/>
          <w:szCs w:val="16"/>
          <w:b w:val="1"/>
          <w:bCs w:val="1"/>
          <w:color w:val="auto"/>
        </w:rPr>
        <w:t xml:space="preserve">Other non-operative expenses, net: </w:t>
      </w:r>
      <w:r>
        <w:rPr>
          <w:rFonts w:ascii="Arial" w:cs="Arial" w:eastAsia="Arial" w:hAnsi="Arial"/>
          <w:sz w:val="16"/>
          <w:szCs w:val="16"/>
          <w:color w:val="auto"/>
        </w:rPr>
        <w:t>Other non-operative expenses, net, recorded an expense of Ps. 95 million, compared to an expense of Ps. 597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third quarter of 2017, which mainly resulted from the effects of negative currency fluctuations in Coca-Cola FEMSA de Venezuela.</w:t>
      </w:r>
    </w:p>
    <w:p>
      <w:pPr>
        <w:spacing w:after="0" w:line="116"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Comprehensive financing result: </w:t>
      </w:r>
      <w:r>
        <w:rPr>
          <w:rFonts w:ascii="Arial" w:cs="Arial" w:eastAsia="Arial" w:hAnsi="Arial"/>
          <w:sz w:val="18"/>
          <w:szCs w:val="18"/>
          <w:color w:val="auto"/>
        </w:rPr>
        <w:t>Comprehensive financing result in the third quarter of 2018 recorded an expense of Ps. 1,322 million, compared to an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of Ps. 341 million in the same period of 2017.</w:t>
      </w:r>
    </w:p>
    <w:p>
      <w:pPr>
        <w:spacing w:after="0" w:line="166" w:lineRule="exact"/>
        <w:rPr>
          <w:sz w:val="20"/>
          <w:szCs w:val="20"/>
          <w:color w:val="auto"/>
        </w:rPr>
      </w:pPr>
    </w:p>
    <w:p>
      <w:pPr>
        <w:jc w:val="both"/>
        <w:ind w:left="260"/>
        <w:spacing w:after="0" w:line="302" w:lineRule="auto"/>
        <w:rPr>
          <w:sz w:val="20"/>
          <w:szCs w:val="20"/>
          <w:color w:val="auto"/>
        </w:rPr>
      </w:pPr>
      <w:r>
        <w:rPr>
          <w:rFonts w:ascii="Arial" w:cs="Arial" w:eastAsia="Arial" w:hAnsi="Arial"/>
          <w:sz w:val="16"/>
          <w:szCs w:val="16"/>
          <w:color w:val="auto"/>
        </w:rPr>
        <w:t>During the third quarter of 2018, we recorded an interest expense, net, of Ps. 1,558 million, compared to Ps. 1,929 million in the third quarter of 2017. This decrease was driven by the decline of short-term interest rates in Brazil; the average exchange rate depreciation of the Brazilian Real compared to the Mexican Peso as applied to existing Brazilian Real-denominated interest expense; and the reduction of debt in Colombia. However, these effects were partially offset by financing during the previous quarter of Ps. 10,100 million for the acquisition of our new territories in Guatemala and Uruguay.</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addition, for the third quarter, we recorded a foreign exchange gain of Ps. 60 million as compared to a gain of Ps. 84 million in the same period of 2017.</w:t>
      </w:r>
    </w:p>
    <w:p>
      <w:pPr>
        <w:spacing w:after="0" w:line="248" w:lineRule="exact"/>
        <w:rPr>
          <w:sz w:val="20"/>
          <w:szCs w:val="20"/>
          <w:color w:val="auto"/>
        </w:rPr>
      </w:pPr>
    </w:p>
    <w:p>
      <w:pPr>
        <w:jc w:val="both"/>
        <w:ind w:left="260" w:right="20"/>
        <w:spacing w:after="0" w:line="264" w:lineRule="auto"/>
        <w:rPr>
          <w:sz w:val="20"/>
          <w:szCs w:val="20"/>
          <w:color w:val="auto"/>
        </w:rPr>
      </w:pPr>
      <w:r>
        <w:rPr>
          <w:rFonts w:ascii="Arial" w:cs="Arial" w:eastAsia="Arial" w:hAnsi="Arial"/>
          <w:sz w:val="18"/>
          <w:szCs w:val="18"/>
          <w:color w:val="auto"/>
        </w:rPr>
        <w:t>Moreover, due to the reporting of our Argentina operation as a hyperinflationary subsidiary as of the third quarter of 2018, monetary position in inflationary subsidiaries recorded a gain of Ps. 117 million as compared to a gain of Ps. 1,301 million during the same period of 2017, which was generated by Venezuela.</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Market value on financial instruments recorded a gain of Ps. 59 million as compared to a gain of Ps. 203 million in the third quarter of 2017.</w:t>
      </w:r>
    </w:p>
    <w:p>
      <w:pPr>
        <w:spacing w:after="0" w:line="221" w:lineRule="exact"/>
        <w:rPr>
          <w:sz w:val="20"/>
          <w:szCs w:val="20"/>
          <w:color w:val="auto"/>
        </w:rPr>
      </w:pPr>
    </w:p>
    <w:p>
      <w:pPr>
        <w:jc w:val="both"/>
        <w:ind w:left="260"/>
        <w:spacing w:after="0" w:line="266" w:lineRule="auto"/>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During the third quarter of 2018, reported income tax as a percentage of income before taxes was 31.4%, compared to 25.2% in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2017. The higher tax rate was driven mainly by the increase in the relative weight of Brazil’s profits in our consolidated results, coupled with the deconsolidation of Venezuela, which had deferred taxes in the third quarter of 2017.</w:t>
      </w:r>
    </w:p>
    <w:p>
      <w:pPr>
        <w:spacing w:after="0" w:line="176"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Consolidated net controlling interest income increased 3.6% to Ps. 3,266.1 million in the third quarter 2018, as compared to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previous year, which included Venezuela; resulting in earnings per share (EPS) of Ps. 1.55 (Ps. 15.54 per ADS).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Earnings per share from continuing operations was Ps. 1.36 (Ps. 13.56 per ADS).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Operating cash flow: </w:t>
      </w:r>
      <w:r>
        <w:rPr>
          <w:rFonts w:ascii="Arial" w:cs="Arial" w:eastAsia="Arial" w:hAnsi="Arial"/>
          <w:sz w:val="17"/>
          <w:szCs w:val="17"/>
          <w:color w:val="auto"/>
        </w:rPr>
        <w:t>Operating cash flow decreased 1.2% to Ps. 8,491.6 million, and operating cash flow margin contracted 10 basis points to 19.2%.</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80" w:type="dxa"/>
            <w:vAlign w:val="bottom"/>
          </w:tcPr>
          <w:p>
            <w:pPr>
              <w:spacing w:after="0"/>
              <w:rPr>
                <w:sz w:val="20"/>
                <w:szCs w:val="20"/>
                <w:color w:val="auto"/>
              </w:rPr>
            </w:pPr>
            <w:r>
              <w:rPr>
                <w:rFonts w:ascii="Arial" w:cs="Arial" w:eastAsia="Arial" w:hAnsi="Arial"/>
                <w:sz w:val="18"/>
                <w:szCs w:val="18"/>
                <w:b w:val="1"/>
                <w:bCs w:val="1"/>
                <w:color w:val="auto"/>
              </w:rPr>
              <w:t>Press Release 3Q 2018</w:t>
            </w:r>
          </w:p>
        </w:tc>
        <w:tc>
          <w:tcPr>
            <w:tcW w:w="5140" w:type="dxa"/>
            <w:vAlign w:val="bottom"/>
          </w:tcPr>
          <w:p>
            <w:pPr>
              <w:ind w:left="4540"/>
              <w:spacing w:after="0"/>
              <w:rPr>
                <w:sz w:val="20"/>
                <w:szCs w:val="20"/>
                <w:color w:val="auto"/>
              </w:rPr>
            </w:pPr>
            <w:r>
              <w:rPr>
                <w:rFonts w:ascii="Arial" w:cs="Arial" w:eastAsia="Arial" w:hAnsi="Arial"/>
                <w:sz w:val="18"/>
                <w:szCs w:val="18"/>
                <w:b w:val="1"/>
                <w:bCs w:val="1"/>
                <w:color w:val="auto"/>
                <w:w w:val="85"/>
              </w:rPr>
              <w:t>Page 19</w:t>
            </w:r>
          </w:p>
        </w:tc>
      </w:tr>
      <w:tr>
        <w:trPr>
          <w:trHeight w:val="230"/>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25, 2018</w:t>
            </w:r>
          </w:p>
        </w:tc>
        <w:tc>
          <w:tcPr>
            <w:tcW w:w="514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1337" w:right="239" w:bottom="1440" w:gutter="0" w:footer="0" w:header="0"/>
        </w:sectPr>
      </w:pPr>
    </w:p>
    <w:bookmarkStart w:id="20" w:name="page21"/>
    <w:bookmarkEnd w:id="20"/>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2317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 xml:space="preserve">Consolidated Balance Sheet </w:t>
      </w:r>
      <w:r>
        <w:rPr>
          <w:rFonts w:ascii="Arial" w:cs="Arial" w:eastAsia="Arial" w:hAnsi="Arial"/>
          <w:sz w:val="30"/>
          <w:szCs w:val="30"/>
          <w:b w:val="1"/>
          <w:bCs w:val="1"/>
          <w:color w:val="auto"/>
          <w:vertAlign w:val="superscript"/>
        </w:rPr>
        <w:t>(1)</w:t>
      </w:r>
    </w:p>
    <w:p>
      <w:pPr>
        <w:spacing w:after="0" w:line="182" w:lineRule="exact"/>
        <w:rPr>
          <w:sz w:val="20"/>
          <w:szCs w:val="20"/>
          <w:color w:val="auto"/>
        </w:rPr>
      </w:pPr>
    </w:p>
    <w:p>
      <w:pPr>
        <w:jc w:val="both"/>
        <w:ind w:left="140"/>
        <w:spacing w:after="0" w:line="255" w:lineRule="auto"/>
        <w:rPr>
          <w:sz w:val="20"/>
          <w:szCs w:val="20"/>
          <w:color w:val="auto"/>
        </w:rPr>
      </w:pPr>
      <w:r>
        <w:rPr>
          <w:rFonts w:ascii="Arial" w:cs="Arial" w:eastAsia="Arial" w:hAnsi="Arial"/>
          <w:sz w:val="18"/>
          <w:szCs w:val="18"/>
          <w:color w:val="auto"/>
        </w:rPr>
        <w:t>As of September 30, 2018, we had a cash balance of Ps. 18,475 million of which US$180 million is denominated in U.S. dollars. This amount excludes the Philippine’s cash position of Ps. 5,918 million now that the Philippines operation is classified as assets available for sale. Excluding the Philippine’s cash position in 2017, our cash balance increased Ps. 6,007 million compared to year-end 2017, mainly driven by cash flow generation. As of September 30, 2018, total short-term debt was Ps. 10,121 million and long-term debt was Ps. 79,840 million. Total debt increased by Ps. 6,601 million and net debt, excluding the Philippine’s cash position, increased by Ps. 594 million compared year-end 2017, due mainly to financing for the acquisition of our new territories in Guatemala and Uruguay.</w:t>
      </w:r>
    </w:p>
    <w:p>
      <w:pPr>
        <w:spacing w:after="0" w:line="193"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color w:val="auto"/>
        </w:rPr>
        <w:t>The weighted average cost of debt for the quarter, including the effect of debt swapped to Brazilian Reals and Mexican Pesos, was 7.71%, a reduction as compared to the fourth quarter of 2017, due mainly to the reduction of interest rates in Brazil. The following charts set forth the Company’s debt profile by currency and interest rate type and by maturity date as of September 30, 2018.</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2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Currency</w:t>
            </w:r>
          </w:p>
        </w:tc>
        <w:tc>
          <w:tcPr>
            <w:tcW w:w="3460" w:type="dxa"/>
            <w:vAlign w:val="bottom"/>
            <w:tcBorders>
              <w:top w:val="single" w:sz="8" w:color="auto"/>
              <w:bottom w:val="single" w:sz="8" w:color="auto"/>
            </w:tcBorders>
          </w:tcPr>
          <w:p>
            <w:pPr>
              <w:ind w:left="1340"/>
              <w:spacing w:after="0" w:line="269" w:lineRule="exact"/>
              <w:rPr>
                <w:sz w:val="20"/>
                <w:szCs w:val="20"/>
                <w:color w:val="auto"/>
              </w:rPr>
            </w:pPr>
            <w:r>
              <w:rPr>
                <w:rFonts w:ascii="Arial" w:cs="Arial" w:eastAsia="Arial" w:hAnsi="Arial"/>
                <w:sz w:val="18"/>
                <w:szCs w:val="18"/>
                <w:b w:val="1"/>
                <w:bCs w:val="1"/>
                <w:color w:val="auto"/>
              </w:rPr>
              <w:t>% Total Debt</w:t>
            </w:r>
            <w:r>
              <w:rPr>
                <w:rFonts w:ascii="Arial" w:cs="Arial" w:eastAsia="Arial" w:hAnsi="Arial"/>
                <w:sz w:val="30"/>
                <w:szCs w:val="30"/>
                <w:b w:val="1"/>
                <w:bCs w:val="1"/>
                <w:color w:val="auto"/>
                <w:vertAlign w:val="superscript"/>
              </w:rPr>
              <w:t>(2)</w:t>
            </w:r>
          </w:p>
        </w:tc>
        <w:tc>
          <w:tcPr>
            <w:tcW w:w="4120" w:type="dxa"/>
            <w:vAlign w:val="bottom"/>
            <w:tcBorders>
              <w:top w:val="single" w:sz="8" w:color="auto"/>
              <w:bottom w:val="single" w:sz="8" w:color="auto"/>
            </w:tcBorders>
          </w:tcPr>
          <w:p>
            <w:pPr>
              <w:ind w:left="940"/>
              <w:spacing w:after="0" w:line="269" w:lineRule="exact"/>
              <w:rPr>
                <w:sz w:val="20"/>
                <w:szCs w:val="20"/>
                <w:color w:val="auto"/>
              </w:rPr>
            </w:pPr>
            <w:r>
              <w:rPr>
                <w:rFonts w:ascii="Arial" w:cs="Arial" w:eastAsia="Arial" w:hAnsi="Arial"/>
                <w:sz w:val="18"/>
                <w:szCs w:val="18"/>
                <w:b w:val="1"/>
                <w:bCs w:val="1"/>
                <w:color w:val="auto"/>
              </w:rPr>
              <w:t>% Interest Rate Floating</w:t>
            </w:r>
            <w:r>
              <w:rPr>
                <w:rFonts w:ascii="Arial" w:cs="Arial" w:eastAsia="Arial" w:hAnsi="Arial"/>
                <w:sz w:val="30"/>
                <w:szCs w:val="30"/>
                <w:b w:val="1"/>
                <w:bCs w:val="1"/>
                <w:color w:val="auto"/>
                <w:vertAlign w:val="superscript"/>
              </w:rPr>
              <w:t>(2)(3)</w:t>
            </w:r>
          </w:p>
        </w:tc>
      </w:tr>
      <w:tr>
        <w:trPr>
          <w:trHeight w:val="210"/>
        </w:trPr>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Mexican Pesos</w:t>
            </w:r>
          </w:p>
        </w:tc>
        <w:tc>
          <w:tcPr>
            <w:tcW w:w="34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55.5%</w:t>
            </w: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16"/>
        </w:trPr>
        <w:tc>
          <w:tcPr>
            <w:tcW w:w="2680" w:type="dxa"/>
            <w:vAlign w:val="bottom"/>
          </w:tcPr>
          <w:p>
            <w:pPr>
              <w:ind w:left="100"/>
              <w:spacing w:after="0"/>
              <w:rPr>
                <w:sz w:val="20"/>
                <w:szCs w:val="20"/>
                <w:color w:val="auto"/>
              </w:rPr>
            </w:pPr>
            <w:r>
              <w:rPr>
                <w:rFonts w:ascii="Arial" w:cs="Arial" w:eastAsia="Arial" w:hAnsi="Arial"/>
                <w:sz w:val="18"/>
                <w:szCs w:val="18"/>
                <w:color w:val="auto"/>
              </w:rPr>
              <w:t>U.S. Dollars</w:t>
            </w:r>
          </w:p>
        </w:tc>
        <w:tc>
          <w:tcPr>
            <w:tcW w:w="3460" w:type="dxa"/>
            <w:vAlign w:val="bottom"/>
          </w:tcPr>
          <w:p>
            <w:pPr>
              <w:jc w:val="center"/>
              <w:ind w:left="310"/>
              <w:spacing w:after="0"/>
              <w:rPr>
                <w:sz w:val="20"/>
                <w:szCs w:val="20"/>
                <w:color w:val="auto"/>
              </w:rPr>
            </w:pPr>
            <w:r>
              <w:rPr>
                <w:rFonts w:ascii="Arial" w:cs="Arial" w:eastAsia="Arial" w:hAnsi="Arial"/>
                <w:sz w:val="18"/>
                <w:szCs w:val="18"/>
                <w:color w:val="auto"/>
                <w:w w:val="92"/>
              </w:rPr>
              <w:t>1.3%</w:t>
            </w:r>
          </w:p>
        </w:tc>
        <w:tc>
          <w:tcPr>
            <w:tcW w:w="412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16"/>
        </w:trPr>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Colombian Pesos</w:t>
            </w:r>
          </w:p>
        </w:tc>
        <w:tc>
          <w:tcPr>
            <w:tcW w:w="34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1.6%</w:t>
            </w: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r>
      <w:tr>
        <w:trPr>
          <w:trHeight w:val="216"/>
        </w:trPr>
        <w:tc>
          <w:tcPr>
            <w:tcW w:w="2680" w:type="dxa"/>
            <w:vAlign w:val="bottom"/>
          </w:tcPr>
          <w:p>
            <w:pPr>
              <w:ind w:left="100"/>
              <w:spacing w:after="0"/>
              <w:rPr>
                <w:sz w:val="20"/>
                <w:szCs w:val="20"/>
                <w:color w:val="auto"/>
              </w:rPr>
            </w:pPr>
            <w:r>
              <w:rPr>
                <w:rFonts w:ascii="Arial" w:cs="Arial" w:eastAsia="Arial" w:hAnsi="Arial"/>
                <w:sz w:val="18"/>
                <w:szCs w:val="18"/>
                <w:color w:val="auto"/>
              </w:rPr>
              <w:t>Brazilian Reals</w:t>
            </w:r>
          </w:p>
        </w:tc>
        <w:tc>
          <w:tcPr>
            <w:tcW w:w="3460" w:type="dxa"/>
            <w:vAlign w:val="bottom"/>
          </w:tcPr>
          <w:p>
            <w:pPr>
              <w:jc w:val="center"/>
              <w:ind w:left="310"/>
              <w:spacing w:after="0"/>
              <w:rPr>
                <w:sz w:val="20"/>
                <w:szCs w:val="20"/>
                <w:color w:val="auto"/>
              </w:rPr>
            </w:pPr>
            <w:r>
              <w:rPr>
                <w:rFonts w:ascii="Arial" w:cs="Arial" w:eastAsia="Arial" w:hAnsi="Arial"/>
                <w:sz w:val="18"/>
                <w:szCs w:val="18"/>
                <w:color w:val="auto"/>
                <w:w w:val="90"/>
              </w:rPr>
              <w:t>40.1%</w:t>
            </w:r>
          </w:p>
        </w:tc>
        <w:tc>
          <w:tcPr>
            <w:tcW w:w="4120" w:type="dxa"/>
            <w:vAlign w:val="bottom"/>
          </w:tcPr>
          <w:p>
            <w:pPr>
              <w:jc w:val="center"/>
              <w:spacing w:after="0"/>
              <w:rPr>
                <w:sz w:val="20"/>
                <w:szCs w:val="20"/>
                <w:color w:val="auto"/>
              </w:rPr>
            </w:pPr>
            <w:r>
              <w:rPr>
                <w:rFonts w:ascii="Arial" w:cs="Arial" w:eastAsia="Arial" w:hAnsi="Arial"/>
                <w:sz w:val="18"/>
                <w:szCs w:val="18"/>
                <w:color w:val="auto"/>
                <w:w w:val="90"/>
              </w:rPr>
              <w:t>11.6%</w:t>
            </w:r>
          </w:p>
        </w:tc>
      </w:tr>
      <w:tr>
        <w:trPr>
          <w:trHeight w:val="216"/>
        </w:trPr>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Uruguayan Pesos</w:t>
            </w:r>
          </w:p>
        </w:tc>
        <w:tc>
          <w:tcPr>
            <w:tcW w:w="34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1.4%</w:t>
            </w: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r>
      <w:tr>
        <w:trPr>
          <w:trHeight w:val="216"/>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Argentine Pesos</w:t>
            </w:r>
          </w:p>
        </w:tc>
        <w:tc>
          <w:tcPr>
            <w:tcW w:w="34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2"/>
              </w:rPr>
              <w:t>0.2%</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r>
    </w:tbl>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Debt Maturity Profile</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660" w:type="dxa"/>
            <w:vAlign w:val="bottom"/>
            <w:tcBorders>
              <w:top w:val="single" w:sz="8" w:color="auto"/>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6"/>
              </w:rPr>
              <w:t>Maturity Date</w:t>
            </w:r>
          </w:p>
        </w:tc>
        <w:tc>
          <w:tcPr>
            <w:tcW w:w="1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5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10"/>
        </w:trPr>
        <w:tc>
          <w:tcPr>
            <w:tcW w:w="266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1"/>
              </w:rPr>
              <w:t>% of Total Debt</w:t>
            </w:r>
          </w:p>
        </w:tc>
        <w:tc>
          <w:tcPr>
            <w:tcW w:w="1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9.4%</w:t>
            </w:r>
          </w:p>
        </w:tc>
        <w:tc>
          <w:tcPr>
            <w:tcW w:w="12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14.7%</w:t>
            </w:r>
          </w:p>
        </w:tc>
        <w:tc>
          <w:tcPr>
            <w:tcW w:w="12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11.9%</w:t>
            </w:r>
          </w:p>
        </w:tc>
        <w:tc>
          <w:tcPr>
            <w:tcW w:w="13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13.2%</w:t>
            </w:r>
          </w:p>
        </w:tc>
        <w:tc>
          <w:tcPr>
            <w:tcW w:w="13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1.7%</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49.1%</w:t>
            </w:r>
          </w:p>
        </w:tc>
      </w:tr>
    </w:tbl>
    <w:p>
      <w:pPr>
        <w:spacing w:after="0" w:line="202" w:lineRule="exact"/>
        <w:rPr>
          <w:sz w:val="20"/>
          <w:szCs w:val="20"/>
          <w:color w:val="auto"/>
        </w:rPr>
      </w:pPr>
    </w:p>
    <w:p>
      <w:pPr>
        <w:ind w:left="1080" w:hanging="316"/>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page 15 for detailed information.</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giving effect to cross-currency swaps.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by weighting each year’s outstanding debt balance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Selected Financial Ratios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12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b w:val="1"/>
                <w:bCs w:val="1"/>
                <w:color w:val="auto"/>
              </w:rPr>
              <w:t>LTM 2018</w:t>
            </w:r>
          </w:p>
        </w:tc>
        <w:tc>
          <w:tcPr>
            <w:tcW w:w="16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FY 2017</w:t>
            </w:r>
          </w:p>
        </w:tc>
        <w:tc>
          <w:tcPr>
            <w:tcW w:w="13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D %</w:t>
            </w:r>
          </w:p>
        </w:tc>
        <w:tc>
          <w:tcPr>
            <w:tcW w:w="40" w:type="dxa"/>
            <w:vAlign w:val="bottom"/>
          </w:tcPr>
          <w:p>
            <w:pPr>
              <w:spacing w:after="0"/>
              <w:rPr>
                <w:sz w:val="19"/>
                <w:szCs w:val="19"/>
                <w:color w:val="auto"/>
              </w:rPr>
            </w:pPr>
          </w:p>
        </w:tc>
      </w:tr>
      <w:tr>
        <w:trPr>
          <w:trHeight w:val="250"/>
        </w:trPr>
        <w:tc>
          <w:tcPr>
            <w:tcW w:w="660" w:type="dxa"/>
            <w:vAlign w:val="bottom"/>
          </w:tcPr>
          <w:p>
            <w:pPr>
              <w:spacing w:after="0"/>
              <w:rPr>
                <w:sz w:val="21"/>
                <w:szCs w:val="21"/>
                <w:color w:val="auto"/>
              </w:rPr>
            </w:pPr>
          </w:p>
        </w:tc>
        <w:tc>
          <w:tcPr>
            <w:tcW w:w="5500" w:type="dxa"/>
            <w:vAlign w:val="bottom"/>
            <w:gridSpan w:val="2"/>
            <w:shd w:val="clear" w:color="auto" w:fill="CCEEFF"/>
          </w:tcPr>
          <w:p>
            <w:pPr>
              <w:ind w:left="100"/>
              <w:spacing w:after="0" w:line="250" w:lineRule="exact"/>
              <w:rPr>
                <w:sz w:val="20"/>
                <w:szCs w:val="20"/>
                <w:color w:val="auto"/>
              </w:rPr>
            </w:pPr>
            <w:r>
              <w:rPr>
                <w:rFonts w:ascii="Arial" w:cs="Arial" w:eastAsia="Arial" w:hAnsi="Arial"/>
                <w:sz w:val="17"/>
                <w:szCs w:val="17"/>
                <w:color w:val="auto"/>
              </w:rPr>
              <w:t xml:space="preserve">Net debt including effect of hedges </w:t>
            </w:r>
            <w:r>
              <w:rPr>
                <w:rFonts w:ascii="Arial" w:cs="Arial" w:eastAsia="Arial" w:hAnsi="Arial"/>
                <w:sz w:val="28"/>
                <w:szCs w:val="28"/>
                <w:color w:val="auto"/>
                <w:vertAlign w:val="superscript"/>
              </w:rPr>
              <w:t>(1)(3)</w:t>
            </w:r>
          </w:p>
        </w:tc>
        <w:tc>
          <w:tcPr>
            <w:tcW w:w="22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69,223</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68,973</w:t>
            </w:r>
          </w:p>
        </w:tc>
        <w:tc>
          <w:tcPr>
            <w:tcW w:w="1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r>
      <w:tr>
        <w:trPr>
          <w:trHeight w:val="257"/>
        </w:trPr>
        <w:tc>
          <w:tcPr>
            <w:tcW w:w="660" w:type="dxa"/>
            <w:vAlign w:val="bottom"/>
          </w:tcPr>
          <w:p>
            <w:pPr>
              <w:spacing w:after="0"/>
              <w:rPr>
                <w:sz w:val="22"/>
                <w:szCs w:val="22"/>
                <w:color w:val="auto"/>
              </w:rPr>
            </w:pPr>
          </w:p>
        </w:tc>
        <w:tc>
          <w:tcPr>
            <w:tcW w:w="5500" w:type="dxa"/>
            <w:vAlign w:val="bottom"/>
            <w:gridSpan w:val="2"/>
          </w:tcPr>
          <w:p>
            <w:pPr>
              <w:ind w:left="100"/>
              <w:spacing w:after="0" w:line="256" w:lineRule="exact"/>
              <w:rPr>
                <w:sz w:val="20"/>
                <w:szCs w:val="20"/>
                <w:color w:val="auto"/>
              </w:rPr>
            </w:pPr>
            <w:r>
              <w:rPr>
                <w:rFonts w:ascii="Arial" w:cs="Arial" w:eastAsia="Arial" w:hAnsi="Arial"/>
                <w:sz w:val="18"/>
                <w:szCs w:val="18"/>
                <w:color w:val="auto"/>
              </w:rPr>
              <w:t xml:space="preserve">Net debt including effect of hedges / Operating cash flow </w:t>
            </w:r>
            <w:r>
              <w:rPr>
                <w:rFonts w:ascii="Arial" w:cs="Arial" w:eastAsia="Arial" w:hAnsi="Arial"/>
                <w:sz w:val="29"/>
                <w:szCs w:val="29"/>
                <w:color w:val="auto"/>
                <w:vertAlign w:val="superscript"/>
              </w:rPr>
              <w:t>(1)(3)</w:t>
            </w:r>
          </w:p>
        </w:tc>
        <w:tc>
          <w:tcPr>
            <w:tcW w:w="2240" w:type="dxa"/>
            <w:vAlign w:val="bottom"/>
          </w:tcPr>
          <w:p>
            <w:pPr>
              <w:jc w:val="center"/>
              <w:ind w:left="230"/>
              <w:spacing w:after="0"/>
              <w:rPr>
                <w:sz w:val="20"/>
                <w:szCs w:val="20"/>
                <w:color w:val="auto"/>
              </w:rPr>
            </w:pPr>
            <w:r>
              <w:rPr>
                <w:rFonts w:ascii="Arial" w:cs="Arial" w:eastAsia="Arial" w:hAnsi="Arial"/>
                <w:sz w:val="18"/>
                <w:szCs w:val="18"/>
                <w:color w:val="auto"/>
                <w:w w:val="91"/>
              </w:rPr>
              <w:t>1.96</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w w:val="91"/>
              </w:rPr>
              <w:t>1.74</w:t>
            </w: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550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color w:val="auto"/>
              </w:rPr>
              <w:t xml:space="preserve">Operating cash flow/ Interest expense, net </w:t>
            </w:r>
            <w:r>
              <w:rPr>
                <w:rFonts w:ascii="Arial" w:cs="Arial" w:eastAsia="Arial" w:hAnsi="Arial"/>
                <w:sz w:val="29"/>
                <w:szCs w:val="29"/>
                <w:color w:val="auto"/>
                <w:vertAlign w:val="superscript"/>
              </w:rPr>
              <w:t>(1)</w:t>
            </w:r>
          </w:p>
        </w:tc>
        <w:tc>
          <w:tcPr>
            <w:tcW w:w="22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5.72</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4.99</w:t>
            </w:r>
          </w:p>
        </w:tc>
        <w:tc>
          <w:tcPr>
            <w:tcW w:w="13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5500" w:type="dxa"/>
            <w:vAlign w:val="bottom"/>
            <w:tcBorders>
              <w:bottom w:val="single" w:sz="8" w:color="auto"/>
            </w:tcBorders>
            <w:gridSpan w:val="2"/>
          </w:tcPr>
          <w:p>
            <w:pPr>
              <w:ind w:left="100"/>
              <w:spacing w:after="0" w:line="256" w:lineRule="exact"/>
              <w:rPr>
                <w:sz w:val="20"/>
                <w:szCs w:val="20"/>
                <w:color w:val="auto"/>
              </w:rPr>
            </w:pPr>
            <w:r>
              <w:rPr>
                <w:rFonts w:ascii="Arial" w:cs="Arial" w:eastAsia="Arial" w:hAnsi="Arial"/>
                <w:sz w:val="18"/>
                <w:szCs w:val="18"/>
                <w:color w:val="auto"/>
              </w:rPr>
              <w:t xml:space="preserve">Capitalization </w:t>
            </w:r>
            <w:r>
              <w:rPr>
                <w:rFonts w:ascii="Arial" w:cs="Arial" w:eastAsia="Arial" w:hAnsi="Arial"/>
                <w:sz w:val="29"/>
                <w:szCs w:val="29"/>
                <w:color w:val="auto"/>
                <w:vertAlign w:val="superscript"/>
              </w:rPr>
              <w:t>(2)</w:t>
            </w:r>
          </w:p>
        </w:tc>
        <w:tc>
          <w:tcPr>
            <w:tcW w:w="22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0"/>
              </w:rPr>
              <w:t>42.6%</w:t>
            </w:r>
          </w:p>
        </w:tc>
        <w:tc>
          <w:tcPr>
            <w:tcW w:w="16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39.3%</w:t>
            </w:r>
          </w:p>
        </w:tc>
        <w:tc>
          <w:tcPr>
            <w:tcW w:w="13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411"/>
        </w:trPr>
        <w:tc>
          <w:tcPr>
            <w:tcW w:w="1040" w:type="dxa"/>
            <w:vAlign w:val="bottom"/>
            <w:gridSpan w:val="2"/>
          </w:tcPr>
          <w:p>
            <w:pPr>
              <w:ind w:left="760"/>
              <w:spacing w:after="0"/>
              <w:rPr>
                <w:sz w:val="20"/>
                <w:szCs w:val="20"/>
                <w:color w:val="auto"/>
              </w:rPr>
            </w:pPr>
            <w:r>
              <w:rPr>
                <w:rFonts w:ascii="Arial" w:cs="Arial" w:eastAsia="Arial" w:hAnsi="Arial"/>
                <w:sz w:val="18"/>
                <w:szCs w:val="18"/>
                <w:color w:val="auto"/>
              </w:rPr>
              <w:t>(1)</w:t>
            </w:r>
          </w:p>
        </w:tc>
        <w:tc>
          <w:tcPr>
            <w:tcW w:w="5120" w:type="dxa"/>
            <w:vAlign w:val="bottom"/>
          </w:tcPr>
          <w:p>
            <w:pPr>
              <w:ind w:left="40"/>
              <w:spacing w:after="0"/>
              <w:rPr>
                <w:sz w:val="20"/>
                <w:szCs w:val="20"/>
                <w:color w:val="auto"/>
              </w:rPr>
            </w:pPr>
            <w:r>
              <w:rPr>
                <w:rFonts w:ascii="Arial" w:cs="Arial" w:eastAsia="Arial" w:hAnsi="Arial"/>
                <w:sz w:val="18"/>
                <w:szCs w:val="18"/>
                <w:color w:val="auto"/>
              </w:rPr>
              <w:t>Net debt = total debt - cash</w:t>
            </w:r>
          </w:p>
        </w:tc>
        <w:tc>
          <w:tcPr>
            <w:tcW w:w="2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040" w:type="dxa"/>
            <w:vAlign w:val="bottom"/>
            <w:gridSpan w:val="2"/>
          </w:tcPr>
          <w:p>
            <w:pPr>
              <w:ind w:left="760"/>
              <w:spacing w:after="0"/>
              <w:rPr>
                <w:sz w:val="20"/>
                <w:szCs w:val="20"/>
                <w:color w:val="auto"/>
              </w:rPr>
            </w:pPr>
            <w:r>
              <w:rPr>
                <w:rFonts w:ascii="Arial" w:cs="Arial" w:eastAsia="Arial" w:hAnsi="Arial"/>
                <w:sz w:val="18"/>
                <w:szCs w:val="18"/>
                <w:color w:val="auto"/>
              </w:rPr>
              <w:t>(2)</w:t>
            </w:r>
          </w:p>
        </w:tc>
        <w:tc>
          <w:tcPr>
            <w:tcW w:w="5120" w:type="dxa"/>
            <w:vAlign w:val="bottom"/>
          </w:tcPr>
          <w:p>
            <w:pPr>
              <w:ind w:left="40"/>
              <w:spacing w:after="0"/>
              <w:rPr>
                <w:sz w:val="20"/>
                <w:szCs w:val="20"/>
                <w:color w:val="auto"/>
              </w:rPr>
            </w:pPr>
            <w:r>
              <w:rPr>
                <w:rFonts w:ascii="Arial" w:cs="Arial" w:eastAsia="Arial" w:hAnsi="Arial"/>
                <w:sz w:val="18"/>
                <w:szCs w:val="18"/>
                <w:color w:val="auto"/>
              </w:rPr>
              <w:t>Total debt / (long-term debt + shareholders' equity)</w:t>
            </w: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040" w:type="dxa"/>
            <w:vAlign w:val="bottom"/>
            <w:gridSpan w:val="2"/>
          </w:tcPr>
          <w:p>
            <w:pPr>
              <w:ind w:left="760"/>
              <w:spacing w:after="0"/>
              <w:rPr>
                <w:sz w:val="20"/>
                <w:szCs w:val="20"/>
                <w:color w:val="auto"/>
              </w:rPr>
            </w:pPr>
            <w:r>
              <w:rPr>
                <w:rFonts w:ascii="Arial" w:cs="Arial" w:eastAsia="Arial" w:hAnsi="Arial"/>
                <w:sz w:val="18"/>
                <w:szCs w:val="18"/>
                <w:color w:val="auto"/>
              </w:rPr>
              <w:t>(3)</w:t>
            </w:r>
          </w:p>
        </w:tc>
        <w:tc>
          <w:tcPr>
            <w:tcW w:w="5120" w:type="dxa"/>
            <w:vAlign w:val="bottom"/>
          </w:tcPr>
          <w:p>
            <w:pPr>
              <w:ind w:left="40"/>
              <w:spacing w:after="0"/>
              <w:rPr>
                <w:sz w:val="20"/>
                <w:szCs w:val="20"/>
                <w:color w:val="auto"/>
              </w:rPr>
            </w:pPr>
            <w:r>
              <w:rPr>
                <w:rFonts w:ascii="Arial" w:cs="Arial" w:eastAsia="Arial" w:hAnsi="Arial"/>
                <w:sz w:val="18"/>
                <w:szCs w:val="18"/>
                <w:color w:val="auto"/>
              </w:rPr>
              <w:t>After giving effect to cross-currency swaps.</w:t>
            </w:r>
          </w:p>
        </w:tc>
        <w:tc>
          <w:tcPr>
            <w:tcW w:w="2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4"/>
        </w:trPr>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Press Release 3Q 2018</w:t>
            </w:r>
          </w:p>
        </w:tc>
        <w:tc>
          <w:tcPr>
            <w:tcW w:w="2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b w:val="1"/>
                <w:bCs w:val="1"/>
                <w:color w:val="auto"/>
                <w:w w:val="85"/>
              </w:rPr>
              <w:t>Page 20</w:t>
            </w:r>
          </w:p>
        </w:tc>
      </w:tr>
      <w:tr>
        <w:trPr>
          <w:trHeight w:val="230"/>
        </w:trPr>
        <w:tc>
          <w:tcPr>
            <w:tcW w:w="6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October 25, 2018</w:t>
            </w:r>
          </w:p>
        </w:tc>
        <w:tc>
          <w:tcPr>
            <w:tcW w:w="2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1394" w:right="239" w:bottom="1440" w:gutter="0" w:footer="0" w:header="0"/>
        </w:sectPr>
      </w:pPr>
    </w:p>
    <w:bookmarkStart w:id="21" w:name="page22"/>
    <w:bookmarkEnd w:id="21"/>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Mexico &amp; Central America Division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(Costa Rica, Guatemala, Mexico, Nicaragua, and Panama)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figures:</w:t>
      </w:r>
    </w:p>
    <w:p>
      <w:pPr>
        <w:jc w:val="both"/>
        <w:ind w:left="260"/>
        <w:spacing w:after="0" w:line="321"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Comparable total revenues from our Mexico and Central America division increased 7.3% in the third quarter of 2018 as compared to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in 2017, driven by volume growth, coupled with pricing aligned with inflation, partially offset by a mix effect in Mexico and Central America.</w:t>
      </w:r>
    </w:p>
    <w:p>
      <w:pPr>
        <w:spacing w:after="0" w:line="136" w:lineRule="exact"/>
        <w:rPr>
          <w:sz w:val="20"/>
          <w:szCs w:val="20"/>
          <w:color w:val="auto"/>
        </w:rPr>
      </w:pPr>
    </w:p>
    <w:p>
      <w:pPr>
        <w:jc w:val="both"/>
        <w:ind w:left="260"/>
        <w:spacing w:after="0" w:line="261" w:lineRule="auto"/>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18"/>
          <w:szCs w:val="18"/>
          <w:color w:val="auto"/>
        </w:rPr>
        <w:t>Comparable transactions in our Mexico and Central America division increased 1.7% in the third quarter of 2018. Our sparkling beverage</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portfolio’s transactions grew 0.6%, driven by a 1.2% increase in our colas portfolio. Our still beverage category’s transactions increased 5.6% in the division, driven by 8.4% growth in Mexico, partially offset by a decline in Central America. Our water transactions, including bulk water, increased 8.1%, driven by 9.5% growth in Mexico.</w:t>
      </w:r>
    </w:p>
    <w:p>
      <w:pPr>
        <w:spacing w:after="0" w:line="180" w:lineRule="exact"/>
        <w:rPr>
          <w:sz w:val="20"/>
          <w:szCs w:val="20"/>
          <w:color w:val="auto"/>
        </w:rPr>
      </w:pPr>
    </w:p>
    <w:p>
      <w:pPr>
        <w:jc w:val="both"/>
        <w:ind w:left="260"/>
        <w:spacing w:after="0" w:line="256" w:lineRule="auto"/>
        <w:rPr>
          <w:sz w:val="20"/>
          <w:szCs w:val="20"/>
          <w:color w:val="auto"/>
        </w:rPr>
      </w:pPr>
      <w:r>
        <w:rPr>
          <w:rFonts w:ascii="Arial" w:cs="Arial" w:eastAsia="Arial" w:hAnsi="Arial"/>
          <w:sz w:val="18"/>
          <w:szCs w:val="18"/>
          <w:b w:val="1"/>
          <w:bCs w:val="1"/>
          <w:color w:val="auto"/>
        </w:rPr>
        <w:t xml:space="preserve">Volume: </w:t>
      </w:r>
      <w:r>
        <w:rPr>
          <w:rFonts w:ascii="Arial" w:cs="Arial" w:eastAsia="Arial" w:hAnsi="Arial"/>
          <w:sz w:val="18"/>
          <w:szCs w:val="18"/>
          <w:color w:val="auto"/>
        </w:rPr>
        <w:t>Total sales volume for the division increased 2.8% in the third quarter of 2018, compared to the same period of 2017. Additionally, excluding jug</w:t>
      </w:r>
      <w:r>
        <w:rPr>
          <w:rFonts w:ascii="Arial" w:cs="Arial" w:eastAsia="Arial" w:hAnsi="Arial"/>
          <w:sz w:val="18"/>
          <w:szCs w:val="18"/>
          <w:b w:val="1"/>
          <w:bCs w:val="1"/>
          <w:color w:val="auto"/>
        </w:rPr>
        <w:t xml:space="preserve"> </w:t>
      </w:r>
      <w:r>
        <w:rPr>
          <w:rFonts w:ascii="Arial" w:cs="Arial" w:eastAsia="Arial" w:hAnsi="Arial"/>
          <w:sz w:val="18"/>
          <w:szCs w:val="18"/>
          <w:color w:val="auto"/>
        </w:rPr>
        <w:t>water, total sales volume increased 3.6%. Our sparkling beverage category’s volume increased 2.7%, driven by a 3.3% increase in our colas portfolio. Performance in colas for the division was driven by growth in both Mexico and Central America. Our still beverage category’s volume increased 10.6%, driven by 11.9% growth in Mexico and 3.6% growth in Central America. Our personal water portfolio’s volume increased 8.2%, driven by 9.5% growth in Mexico, partially offset by a 4.1% decline in Central America. Our bulk water portfolio’s volume declined 1.8% in the division due to a contraction in Mexico and Central America.</w:t>
      </w:r>
    </w:p>
    <w:p>
      <w:pPr>
        <w:spacing w:after="0" w:line="188" w:lineRule="exact"/>
        <w:rPr>
          <w:sz w:val="20"/>
          <w:szCs w:val="20"/>
          <w:color w:val="auto"/>
        </w:rPr>
      </w:pPr>
    </w:p>
    <w:p>
      <w:pPr>
        <w:jc w:val="both"/>
        <w:ind w:left="260"/>
        <w:spacing w:after="0" w:line="289" w:lineRule="auto"/>
        <w:rPr>
          <w:sz w:val="20"/>
          <w:szCs w:val="20"/>
          <w:color w:val="auto"/>
        </w:rPr>
      </w:pPr>
      <w:r>
        <w:rPr>
          <w:rFonts w:ascii="Arial" w:cs="Arial" w:eastAsia="Arial" w:hAnsi="Arial"/>
          <w:sz w:val="17"/>
          <w:szCs w:val="17"/>
          <w:b w:val="1"/>
          <w:bCs w:val="1"/>
          <w:color w:val="auto"/>
        </w:rPr>
        <w:t xml:space="preserve">Gross profit: </w:t>
      </w:r>
      <w:r>
        <w:rPr>
          <w:rFonts w:ascii="Arial" w:cs="Arial" w:eastAsia="Arial" w:hAnsi="Arial"/>
          <w:sz w:val="17"/>
          <w:szCs w:val="17"/>
          <w:color w:val="auto"/>
        </w:rPr>
        <w:t>Comparable gross profit grew 6.6% in the third quarter of 2018 as compared to the same period in 2017. Our pricing initiatives and</w:t>
      </w:r>
      <w:r>
        <w:rPr>
          <w:rFonts w:ascii="Arial" w:cs="Arial" w:eastAsia="Arial" w:hAnsi="Arial"/>
          <w:sz w:val="17"/>
          <w:szCs w:val="17"/>
          <w:b w:val="1"/>
          <w:bCs w:val="1"/>
          <w:color w:val="auto"/>
        </w:rPr>
        <w:t xml:space="preserve"> </w:t>
      </w:r>
      <w:r>
        <w:rPr>
          <w:rFonts w:ascii="Arial" w:cs="Arial" w:eastAsia="Arial" w:hAnsi="Arial"/>
          <w:sz w:val="17"/>
          <w:szCs w:val="17"/>
          <w:color w:val="auto"/>
        </w:rPr>
        <w:t>declining sweetener costs were offset by higher PET prices, higher concentrate costs in Mexico, and the depreciation of the average exchange rates of the Mexican Peso, the Guatemalan Quetzal, and the Nicaraguan Cordoba as applied to U.S. dollar-denominated raw material costs.</w:t>
      </w:r>
    </w:p>
    <w:p>
      <w:pPr>
        <w:spacing w:after="0" w:line="158" w:lineRule="exact"/>
        <w:rPr>
          <w:sz w:val="20"/>
          <w:szCs w:val="20"/>
          <w:color w:val="auto"/>
        </w:rPr>
      </w:pPr>
    </w:p>
    <w:p>
      <w:pPr>
        <w:jc w:val="both"/>
        <w:ind w:left="260"/>
        <w:spacing w:after="0" w:line="266"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Comparable operating income in the division increased 3.9% in the third quarter of 2018 as compared to the same period in 2017,</w:t>
      </w:r>
      <w:r>
        <w:rPr>
          <w:rFonts w:ascii="Arial" w:cs="Arial" w:eastAsia="Arial" w:hAnsi="Arial"/>
          <w:sz w:val="18"/>
          <w:szCs w:val="18"/>
          <w:b w:val="1"/>
          <w:bCs w:val="1"/>
          <w:color w:val="auto"/>
        </w:rPr>
        <w:t xml:space="preserve"> </w:t>
      </w:r>
      <w:r>
        <w:rPr>
          <w:rFonts w:ascii="Arial" w:cs="Arial" w:eastAsia="Arial" w:hAnsi="Arial"/>
          <w:sz w:val="18"/>
          <w:szCs w:val="18"/>
          <w:color w:val="auto"/>
        </w:rPr>
        <w:t>despite higher freight, marketing and maintenance expenses in Mexico; these factors were partially offset by a non-cash operating foreign exchange gain in Mexico.</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 xml:space="preserve">Operating cash flow: </w:t>
      </w:r>
      <w:r>
        <w:rPr>
          <w:rFonts w:ascii="Arial" w:cs="Arial" w:eastAsia="Arial" w:hAnsi="Arial"/>
          <w:sz w:val="17"/>
          <w:szCs w:val="17"/>
          <w:color w:val="auto"/>
        </w:rPr>
        <w:t>Comparable operating cash flow increased 4.6% in the third quarter of 2018 as compared to the same period in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reported figures:</w:t>
      </w:r>
    </w:p>
    <w:p>
      <w:pPr>
        <w:spacing w:after="0" w:line="27" w:lineRule="exact"/>
        <w:rPr>
          <w:sz w:val="20"/>
          <w:szCs w:val="20"/>
          <w:color w:val="auto"/>
        </w:rPr>
      </w:pPr>
    </w:p>
    <w:p>
      <w:pPr>
        <w:jc w:val="both"/>
        <w:ind w:left="260"/>
        <w:spacing w:after="0" w:line="255"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Reported total revenues increased 12.2% to Ps. 26,069 million in the third quarter of 2018 as compared to the same period of 2017, driven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consolidation of recently acquired territories in Guatemala as of May 1, 2018, volume growth in Central America and Mexico, and pricing aligned with inflation in Mexico, partially offset by a mix effect in Mexico and Central America.</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Transactions: </w:t>
      </w:r>
      <w:r>
        <w:rPr>
          <w:rFonts w:ascii="Arial" w:cs="Arial" w:eastAsia="Arial" w:hAnsi="Arial"/>
          <w:sz w:val="16"/>
          <w:szCs w:val="16"/>
          <w:color w:val="auto"/>
        </w:rPr>
        <w:t>Reported total number of transactions increased 5.9% to 2,953.8 in the third quarter of 2018 as compared to the same period of 2017.</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6"/>
          <w:szCs w:val="16"/>
          <w:color w:val="auto"/>
        </w:rPr>
        <w:t>Reported total sales volume increased 5.5% to 534.1 million unit cases in the third quarter of 2018 as compared to the same period in 2017.</w:t>
      </w:r>
    </w:p>
    <w:p>
      <w:pPr>
        <w:spacing w:after="0" w:line="248"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Reported gross profit increased 11.2% to Ps. 12,566 million in the third quarter of 2018, and gross profit margin contracted 40 basis points</w:t>
      </w:r>
      <w:r>
        <w:rPr>
          <w:rFonts w:ascii="Arial" w:cs="Arial" w:eastAsia="Arial" w:hAnsi="Arial"/>
          <w:sz w:val="18"/>
          <w:szCs w:val="18"/>
          <w:b w:val="1"/>
          <w:bCs w:val="1"/>
          <w:color w:val="auto"/>
        </w:rPr>
        <w:t xml:space="preserve"> </w:t>
      </w:r>
      <w:r>
        <w:rPr>
          <w:rFonts w:ascii="Arial" w:cs="Arial" w:eastAsia="Arial" w:hAnsi="Arial"/>
          <w:sz w:val="18"/>
          <w:szCs w:val="18"/>
          <w:color w:val="auto"/>
        </w:rPr>
        <w:t>to 48.2% during the period.</w:t>
      </w:r>
    </w:p>
    <w:p>
      <w:pPr>
        <w:spacing w:after="0" w:line="162"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Reported operating income increased 5.9% to Ps. 3,750 million in the third quarter of 2018, and operating income margin contracted</w:t>
      </w:r>
      <w:r>
        <w:rPr>
          <w:rFonts w:ascii="Arial" w:cs="Arial" w:eastAsia="Arial" w:hAnsi="Arial"/>
          <w:sz w:val="18"/>
          <w:szCs w:val="18"/>
          <w:b w:val="1"/>
          <w:bCs w:val="1"/>
          <w:color w:val="auto"/>
        </w:rPr>
        <w:t xml:space="preserve"> </w:t>
      </w:r>
      <w:r>
        <w:rPr>
          <w:rFonts w:ascii="Arial" w:cs="Arial" w:eastAsia="Arial" w:hAnsi="Arial"/>
          <w:sz w:val="18"/>
          <w:szCs w:val="18"/>
          <w:color w:val="auto"/>
        </w:rPr>
        <w:t>80 basis points to 14.4% during the period.</w:t>
      </w:r>
    </w:p>
    <w:p>
      <w:pPr>
        <w:spacing w:after="0" w:line="162"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Operating cash flow: </w:t>
      </w:r>
      <w:r>
        <w:rPr>
          <w:rFonts w:ascii="Arial" w:cs="Arial" w:eastAsia="Arial" w:hAnsi="Arial"/>
          <w:sz w:val="18"/>
          <w:szCs w:val="18"/>
          <w:color w:val="auto"/>
        </w:rPr>
        <w:t>Reported operating cash flow increased 7.7% to Ps. 5,402 million in the third quarter of 2018, resulting in a margin contraction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90 basis points to 20.7%.</w:t>
      </w:r>
    </w:p>
    <w:p>
      <w:pPr>
        <w:spacing w:after="0" w:line="166" w:lineRule="exact"/>
        <w:rPr>
          <w:sz w:val="20"/>
          <w:szCs w:val="20"/>
          <w:color w:val="auto"/>
        </w:rPr>
      </w:pPr>
    </w:p>
    <w:p>
      <w:pPr>
        <w:ind w:left="340" w:hanging="332"/>
        <w:spacing w:after="0" w:line="194"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i w:val="1"/>
          <w:iCs w:val="1"/>
          <w:color w:val="auto"/>
        </w:rPr>
        <w:t>Please refer to page 9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14"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22" w:name="page23"/>
    <w:bookmarkEnd w:id="22"/>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South America Division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(Argentina, Brazil, Colombia and Uruguay)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figures:</w:t>
      </w:r>
    </w:p>
    <w:p>
      <w:pPr>
        <w:ind w:left="260"/>
        <w:spacing w:after="0"/>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Comparable total revenues increased 5.1%, driven by volume growth in Brazil and Colombia, partially offset by unfavorable price mix effects.</w:t>
      </w:r>
    </w:p>
    <w:p>
      <w:pPr>
        <w:spacing w:after="0" w:line="228" w:lineRule="exact"/>
        <w:rPr>
          <w:sz w:val="20"/>
          <w:szCs w:val="20"/>
          <w:color w:val="auto"/>
        </w:rPr>
      </w:pPr>
    </w:p>
    <w:p>
      <w:pPr>
        <w:jc w:val="both"/>
        <w:ind w:left="260"/>
        <w:spacing w:after="0" w:line="261" w:lineRule="auto"/>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18"/>
          <w:szCs w:val="18"/>
          <w:color w:val="auto"/>
        </w:rPr>
        <w:t>Comparable transactions in the division increased 2.5% during the third quarter of 2018. Our sparkling beverage portfolio’s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2.3%, driven by 6.5% growth in colas, partially offset by a decline in our flavors portfolio. Our positive performance in colas was driven by growth in both Brazil and Colombia. Our still beverage category’s transactions remained flat. Our water transactions, including bulk water, increased 6.7%.</w:t>
      </w:r>
    </w:p>
    <w:p>
      <w:pPr>
        <w:spacing w:after="0" w:line="180" w:lineRule="exact"/>
        <w:rPr>
          <w:sz w:val="20"/>
          <w:szCs w:val="20"/>
          <w:color w:val="auto"/>
        </w:rPr>
      </w:pPr>
    </w:p>
    <w:p>
      <w:pPr>
        <w:jc w:val="both"/>
        <w:ind w:left="260"/>
        <w:spacing w:after="0" w:line="277" w:lineRule="auto"/>
        <w:rPr>
          <w:sz w:val="20"/>
          <w:szCs w:val="20"/>
          <w:color w:val="auto"/>
        </w:rPr>
      </w:pPr>
      <w:r>
        <w:rPr>
          <w:rFonts w:ascii="Arial" w:cs="Arial" w:eastAsia="Arial" w:hAnsi="Arial"/>
          <w:sz w:val="17"/>
          <w:szCs w:val="17"/>
          <w:b w:val="1"/>
          <w:bCs w:val="1"/>
          <w:color w:val="auto"/>
        </w:rPr>
        <w:t xml:space="preserve">Volume: </w:t>
      </w:r>
      <w:r>
        <w:rPr>
          <w:rFonts w:ascii="Arial" w:cs="Arial" w:eastAsia="Arial" w:hAnsi="Arial"/>
          <w:sz w:val="17"/>
          <w:szCs w:val="17"/>
          <w:color w:val="auto"/>
        </w:rPr>
        <w:t>Comparable total sales volume in South America increased 1.8% during the third quarter of 2018 as compared to the same period of 2017.</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the bulk water category, total sales volume increased 2.3%. Our sparkling beverage category’s volume increased 2.5%, driven by 6.8% growth in colas, partially offset by a decline in flavors. Colas’ positive performance was driven by growth in Brazil and Colombia. Our still beverage category’s volume decreased 11.5%, driven by declines in Brazil and Colombia. Our personal water category’s volume increased 18.5%, driven by growth in Brazil and Colombia. Our bulk water business’s volume decreased 18.5%, driven by Colombia.</w:t>
      </w:r>
    </w:p>
    <w:p>
      <w:pPr>
        <w:spacing w:after="0" w:line="168" w:lineRule="exact"/>
        <w:rPr>
          <w:sz w:val="20"/>
          <w:szCs w:val="20"/>
          <w:color w:val="auto"/>
        </w:rPr>
      </w:pPr>
    </w:p>
    <w:p>
      <w:pPr>
        <w:jc w:val="both"/>
        <w:ind w:left="260"/>
        <w:spacing w:after="0" w:line="261"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Comparable gross profit increased 4.4% as a result of lower sweetener prices, a favorable currency hedging position in the division,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of the Colombian Peso as applied to U.S. dollar-denominated raw material costs. These factors were partially offset by higher PET prices in the division, an unfavorable raw material hedging position in Brazil, and the depreciation of the average exchange rate of the Brazilian Real as applied to our U.S. dollar-denominated raw material costs.</w:t>
      </w:r>
    </w:p>
    <w:p>
      <w:pPr>
        <w:spacing w:after="0" w:line="180"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Comparable operating income in the division increased 8.7% as compared to the same period in 2017, driven by operating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efficiencies in Brazil and Colombia.</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Operating cash flow: </w:t>
      </w:r>
      <w:r>
        <w:rPr>
          <w:rFonts w:ascii="Arial" w:cs="Arial" w:eastAsia="Arial" w:hAnsi="Arial"/>
          <w:sz w:val="18"/>
          <w:szCs w:val="18"/>
          <w:color w:val="auto"/>
        </w:rPr>
        <w:t>Comparable operating cash flow increased 9.6% as compared to the same period of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reported figures:</w:t>
      </w:r>
    </w:p>
    <w:p>
      <w:pPr>
        <w:spacing w:after="0" w:line="27" w:lineRule="exact"/>
        <w:rPr>
          <w:sz w:val="20"/>
          <w:szCs w:val="20"/>
          <w:color w:val="auto"/>
        </w:rPr>
      </w:pPr>
    </w:p>
    <w:p>
      <w:pPr>
        <w:jc w:val="both"/>
        <w:ind w:left="260"/>
        <w:spacing w:after="0" w:line="273"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Reported total revenues declined 14.8% to Ps. 18,079.2 million in the third quarter of 2018, driven mainly by an unfavorable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translation effect resulting from the depreciation of the Brazilian Real as compared to the Mexican Peso, the reporting of Argentina as a hyperinflationary subsidiary, and the deconsolidation of Coca-Cola FEMSA de Venezuela as of December 31, 2017. These factors were partially offset by volume growth in Brazil and Colombia, coupled with the consolidation of the recently acquired territory in Uruguay as of July 1, 2018.</w:t>
      </w:r>
    </w:p>
    <w:p>
      <w:pPr>
        <w:spacing w:after="0" w:line="173"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18"/>
          <w:szCs w:val="18"/>
          <w:color w:val="auto"/>
        </w:rPr>
        <w:t>Reported total number of transactions decreased 2.7% to 2,019.3 million in the third quarter of 2018 as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2017.</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6"/>
          <w:szCs w:val="16"/>
          <w:color w:val="auto"/>
        </w:rPr>
        <w:t>Reported total sales volume decreased 3.2% to 305.1 million unit cases in the third quarter of 2018 as compared to the same period in 2017.</w:t>
      </w:r>
    </w:p>
    <w:p>
      <w:pPr>
        <w:spacing w:after="0" w:line="248"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Reported gross profit decreased 12.9% to Ps. 7,671.2 million in the third quarter of 2018, and gross profit margin expanded 90 basis points</w:t>
      </w:r>
      <w:r>
        <w:rPr>
          <w:rFonts w:ascii="Arial" w:cs="Arial" w:eastAsia="Arial" w:hAnsi="Arial"/>
          <w:sz w:val="18"/>
          <w:szCs w:val="18"/>
          <w:b w:val="1"/>
          <w:bCs w:val="1"/>
          <w:color w:val="auto"/>
        </w:rPr>
        <w:t xml:space="preserve"> </w:t>
      </w:r>
      <w:r>
        <w:rPr>
          <w:rFonts w:ascii="Arial" w:cs="Arial" w:eastAsia="Arial" w:hAnsi="Arial"/>
          <w:sz w:val="18"/>
          <w:szCs w:val="18"/>
          <w:color w:val="auto"/>
        </w:rPr>
        <w:t>to 42.4%.</w:t>
      </w:r>
    </w:p>
    <w:p>
      <w:pPr>
        <w:spacing w:after="0" w:line="162"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Reported operating income grew 12.6% to Ps. 2,028.0 million in the third quarter of 2018, resulting in a margin expansion of 270</w:t>
      </w:r>
      <w:r>
        <w:rPr>
          <w:rFonts w:ascii="Arial" w:cs="Arial" w:eastAsia="Arial" w:hAnsi="Arial"/>
          <w:sz w:val="18"/>
          <w:szCs w:val="18"/>
          <w:b w:val="1"/>
          <w:bCs w:val="1"/>
          <w:color w:val="auto"/>
        </w:rPr>
        <w:t xml:space="preserve"> </w:t>
      </w:r>
      <w:r>
        <w:rPr>
          <w:rFonts w:ascii="Arial" w:cs="Arial" w:eastAsia="Arial" w:hAnsi="Arial"/>
          <w:sz w:val="18"/>
          <w:szCs w:val="18"/>
          <w:color w:val="auto"/>
        </w:rPr>
        <w:t>basis points to 11.2%.</w:t>
      </w:r>
    </w:p>
    <w:p>
      <w:pPr>
        <w:spacing w:after="0" w:line="162"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Operating cash flow: </w:t>
      </w:r>
      <w:r>
        <w:rPr>
          <w:rFonts w:ascii="Arial" w:cs="Arial" w:eastAsia="Arial" w:hAnsi="Arial"/>
          <w:sz w:val="18"/>
          <w:szCs w:val="18"/>
          <w:color w:val="auto"/>
        </w:rPr>
        <w:t>Reported operating cash flow decreased 13.7% to Ps. 3,089.5 million in the third quarter of 2018, resulting in a margin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of 20 basis points to 17.1%.</w:t>
      </w:r>
    </w:p>
    <w:p>
      <w:pPr>
        <w:spacing w:after="0" w:line="166" w:lineRule="exact"/>
        <w:rPr>
          <w:sz w:val="20"/>
          <w:szCs w:val="20"/>
          <w:color w:val="auto"/>
        </w:rPr>
      </w:pPr>
    </w:p>
    <w:p>
      <w:pPr>
        <w:ind w:left="340" w:hanging="332"/>
        <w:spacing w:after="0" w:line="194" w:lineRule="auto"/>
        <w:tabs>
          <w:tab w:leader="none" w:pos="340" w:val="left"/>
        </w:tabs>
        <w:numPr>
          <w:ilvl w:val="0"/>
          <w:numId w:val="2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Please refer to page 9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14"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23" w:name="page24"/>
    <w:bookmarkEnd w:id="23"/>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YTD Consolidated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figures:</w:t>
      </w:r>
    </w:p>
    <w:p>
      <w:pPr>
        <w:jc w:val="both"/>
        <w:ind w:left="260"/>
        <w:spacing w:after="0" w:line="288"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Comparable total revenues grew 5.2% in the first nine months of 2018 as compared to the same period of 2017, driven by average price per</w:t>
      </w:r>
      <w:r>
        <w:rPr>
          <w:rFonts w:ascii="Arial" w:cs="Arial" w:eastAsia="Arial" w:hAnsi="Arial"/>
          <w:sz w:val="17"/>
          <w:szCs w:val="17"/>
          <w:b w:val="1"/>
          <w:bCs w:val="1"/>
          <w:color w:val="auto"/>
        </w:rPr>
        <w:t xml:space="preserve"> </w:t>
      </w:r>
      <w:r>
        <w:rPr>
          <w:rFonts w:ascii="Arial" w:cs="Arial" w:eastAsia="Arial" w:hAnsi="Arial"/>
          <w:sz w:val="17"/>
          <w:szCs w:val="17"/>
          <w:color w:val="auto"/>
        </w:rPr>
        <w:t>unit case growth aligned with inflation in Mexico, coupled with volume growth in Brazil, Colombia, Central America, and Mexico.</w:t>
      </w:r>
    </w:p>
    <w:p>
      <w:pPr>
        <w:spacing w:after="0" w:line="159" w:lineRule="exact"/>
        <w:rPr>
          <w:sz w:val="20"/>
          <w:szCs w:val="20"/>
          <w:color w:val="auto"/>
        </w:rPr>
      </w:pPr>
    </w:p>
    <w:p>
      <w:pPr>
        <w:jc w:val="both"/>
        <w:ind w:left="260" w:right="20"/>
        <w:spacing w:after="0" w:line="261" w:lineRule="auto"/>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18"/>
          <w:szCs w:val="18"/>
          <w:color w:val="auto"/>
        </w:rPr>
        <w:t>Comparable number of transactions increased 1.4%. Our sparkling beverage category remained flat, driven by 1.9% growth in our colas</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offset by a decline in flavors. Our positive performance in colas was driven by growth in Brazil, Central America, and Colombia. Our still beverage category increased 1.6%, driven mainly by the positive performance of Brazil and Mexico. Finally, our water category’s transactions increased by 4.2%, driven by growth across most of our operations, partially offset by a decline in Central America.</w:t>
      </w:r>
    </w:p>
    <w:p>
      <w:pPr>
        <w:spacing w:after="0" w:line="180" w:lineRule="exact"/>
        <w:rPr>
          <w:sz w:val="20"/>
          <w:szCs w:val="20"/>
          <w:color w:val="auto"/>
        </w:rPr>
      </w:pPr>
    </w:p>
    <w:p>
      <w:pPr>
        <w:jc w:val="both"/>
        <w:ind w:left="260"/>
        <w:spacing w:after="0" w:line="256" w:lineRule="auto"/>
        <w:rPr>
          <w:sz w:val="20"/>
          <w:szCs w:val="20"/>
          <w:color w:val="auto"/>
        </w:rPr>
      </w:pPr>
      <w:r>
        <w:rPr>
          <w:rFonts w:ascii="Arial" w:cs="Arial" w:eastAsia="Arial" w:hAnsi="Arial"/>
          <w:sz w:val="18"/>
          <w:szCs w:val="18"/>
          <w:b w:val="1"/>
          <w:bCs w:val="1"/>
          <w:color w:val="auto"/>
        </w:rPr>
        <w:t xml:space="preserve">Volume: </w:t>
      </w:r>
      <w:r>
        <w:rPr>
          <w:rFonts w:ascii="Arial" w:cs="Arial" w:eastAsia="Arial" w:hAnsi="Arial"/>
          <w:sz w:val="18"/>
          <w:szCs w:val="18"/>
          <w:color w:val="auto"/>
        </w:rPr>
        <w:t>Comparable sales volume increased 1.4% in the first nine months of 2018 as compared to the same period in 2017. Additionally, excluding jug</w:t>
      </w:r>
      <w:r>
        <w:rPr>
          <w:rFonts w:ascii="Arial" w:cs="Arial" w:eastAsia="Arial" w:hAnsi="Arial"/>
          <w:sz w:val="18"/>
          <w:szCs w:val="18"/>
          <w:b w:val="1"/>
          <w:bCs w:val="1"/>
          <w:color w:val="auto"/>
        </w:rPr>
        <w:t xml:space="preserve"> </w:t>
      </w:r>
      <w:r>
        <w:rPr>
          <w:rFonts w:ascii="Arial" w:cs="Arial" w:eastAsia="Arial" w:hAnsi="Arial"/>
          <w:sz w:val="18"/>
          <w:szCs w:val="18"/>
          <w:color w:val="auto"/>
        </w:rPr>
        <w:t>water volume, comparable sales volume increased 2.2%. Our sparkling beverage portfolio’s volume increased 1.3%, driven mainly by 3.4% growth in our colas portfolio across all of our operations, partially offset by a decline in our flavors portfolio. Our still beverage category’s volume increased 3.9%, driven by volume growth in Brazil, Central America, and Mexico, which offset negative performance in Colombia. Our personal water portfolio’s volume grew 12.8% due to the positive performance of most of our operations. Finally, our bulk water portfolio’s volume decreased 5.3%, driven by declines in Colombia and Mexico.</w:t>
      </w:r>
    </w:p>
    <w:p>
      <w:pPr>
        <w:spacing w:after="0" w:line="188" w:lineRule="exact"/>
        <w:rPr>
          <w:sz w:val="20"/>
          <w:szCs w:val="20"/>
          <w:color w:val="auto"/>
        </w:rPr>
      </w:pPr>
    </w:p>
    <w:p>
      <w:pPr>
        <w:jc w:val="both"/>
        <w:ind w:left="260"/>
        <w:spacing w:after="0" w:line="266"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Comparable gross profit grew 5.4%. Our pricing initiatives, coupled with lower sweetener prices in most of our operations, were partially</w:t>
      </w:r>
      <w:r>
        <w:rPr>
          <w:rFonts w:ascii="Arial" w:cs="Arial" w:eastAsia="Arial" w:hAnsi="Arial"/>
          <w:sz w:val="18"/>
          <w:szCs w:val="18"/>
          <w:b w:val="1"/>
          <w:bCs w:val="1"/>
          <w:color w:val="auto"/>
        </w:rPr>
        <w:t xml:space="preserve"> </w:t>
      </w:r>
      <w:r>
        <w:rPr>
          <w:rFonts w:ascii="Arial" w:cs="Arial" w:eastAsia="Arial" w:hAnsi="Arial"/>
          <w:sz w:val="18"/>
          <w:szCs w:val="18"/>
          <w:color w:val="auto"/>
        </w:rPr>
        <w:t>offset by higher PET costs across most of our operations, higher concentrate costs in Mexico, and the depreciation in the average exchange rate of the Argentine Peso and the Brazilian Real as applied to our U.S. dollar-denominated raw material costs.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Comparable operating income remained flat for the first nine months of 2018 as compared to the same period of 2017.</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Operating cash flow: </w:t>
      </w:r>
      <w:r>
        <w:rPr>
          <w:rFonts w:ascii="Arial" w:cs="Arial" w:eastAsia="Arial" w:hAnsi="Arial"/>
          <w:sz w:val="18"/>
          <w:szCs w:val="18"/>
          <w:color w:val="auto"/>
        </w:rPr>
        <w:t>Comparable operating cash flow increased 3.8% in the first nine months of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reported figures:</w:t>
      </w:r>
    </w:p>
    <w:p>
      <w:pPr>
        <w:spacing w:after="0" w:line="27" w:lineRule="exact"/>
        <w:rPr>
          <w:sz w:val="20"/>
          <w:szCs w:val="20"/>
          <w:color w:val="auto"/>
        </w:rPr>
      </w:pPr>
    </w:p>
    <w:p>
      <w:pPr>
        <w:jc w:val="both"/>
        <w:ind w:left="260"/>
        <w:spacing w:after="0" w:line="271"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Reported total revenues decreased 4.7% to Ps. 130,577 million in the first nine months of 2018, driven by the consolidation of recently</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territories in Guatemala and Uruguay, volume growth in Brazil, Central America, Colombia, and Mexico, and price increases aligned with or above inflation in Argentina and Mexico. These factors were partially offset by the negative translation effect resulting from the depreciation of the Argentine Peso and the Brazilian Real as compared to the Mexican Peso, the deconsolidation of Coca-Cola FEMSA de Venezuela as of December 31, 2017, and the reporting of Argentina as a hyperinflationary subsidiary as of July 1, 2018.</w:t>
      </w:r>
    </w:p>
    <w:p>
      <w:pPr>
        <w:spacing w:after="0" w:line="175"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18"/>
          <w:szCs w:val="18"/>
          <w:color w:val="auto"/>
        </w:rPr>
        <w:t>Reported total number of transactions increased 0.5% to 14,539.0 million in the first nine months of 2018 as compared to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2017.</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6"/>
          <w:szCs w:val="16"/>
          <w:color w:val="auto"/>
        </w:rPr>
        <w:t>Reported total sales volume remained flat at 2,450.1 million unit cases for the first nine months of 2018 as compared to the same period in 2017.</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Reported gross profit decreased 2.1% to Ps. 60,150 million, and gross margin expanded 130 basis points to 46.1%.</w:t>
      </w:r>
    </w:p>
    <w:p>
      <w:pPr>
        <w:spacing w:after="0" w:line="225" w:lineRule="exact"/>
        <w:rPr>
          <w:sz w:val="20"/>
          <w:szCs w:val="20"/>
          <w:color w:val="auto"/>
        </w:rPr>
      </w:pPr>
    </w:p>
    <w:p>
      <w:pPr>
        <w:jc w:val="both"/>
        <w:ind w:left="260"/>
        <w:spacing w:after="0" w:line="266" w:lineRule="auto"/>
        <w:rPr>
          <w:sz w:val="20"/>
          <w:szCs w:val="20"/>
          <w:color w:val="auto"/>
        </w:rPr>
      </w:pPr>
      <w:r>
        <w:rPr>
          <w:rFonts w:ascii="Arial" w:cs="Arial" w:eastAsia="Arial" w:hAnsi="Arial"/>
          <w:sz w:val="18"/>
          <w:szCs w:val="18"/>
          <w:b w:val="1"/>
          <w:bCs w:val="1"/>
          <w:color w:val="auto"/>
        </w:rPr>
        <w:t xml:space="preserve">Equity method: </w:t>
      </w:r>
      <w:r>
        <w:rPr>
          <w:rFonts w:ascii="Arial" w:cs="Arial" w:eastAsia="Arial" w:hAnsi="Arial"/>
          <w:sz w:val="18"/>
          <w:szCs w:val="18"/>
          <w:color w:val="auto"/>
        </w:rPr>
        <w:t>The reported share of the profits of associates and joint ventures recorded a loss of Ps. 201 million in the first nine months of 2018,</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compared to a gain of Ps. 5 million recorded in the first nine months of 2017. This is due mainly to a loss in our dairy joint venture in Panama, partially offset by gains in our joint ventures in Brazil and in our </w:t>
      </w:r>
      <w:r>
        <w:rPr>
          <w:rFonts w:ascii="Arial" w:cs="Arial" w:eastAsia="Arial" w:hAnsi="Arial"/>
          <w:sz w:val="18"/>
          <w:szCs w:val="18"/>
          <w:i w:val="1"/>
          <w:iCs w:val="1"/>
          <w:color w:val="auto"/>
        </w:rPr>
        <w:t>Jugos del Valle</w:t>
      </w:r>
      <w:r>
        <w:rPr>
          <w:rFonts w:ascii="Arial" w:cs="Arial" w:eastAsia="Arial" w:hAnsi="Arial"/>
          <w:sz w:val="18"/>
          <w:szCs w:val="18"/>
          <w:color w:val="auto"/>
        </w:rPr>
        <w:t xml:space="preserve"> joint venture in Mexico</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ind w:left="340" w:hanging="332"/>
        <w:spacing w:after="0" w:line="194"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i w:val="1"/>
          <w:iCs w:val="1"/>
          <w:color w:val="auto"/>
        </w:rPr>
        <w:t>Please refer to page 9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14"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24" w:name="page25"/>
    <w:bookmarkEnd w:id="24"/>
    <w:p>
      <w:pPr>
        <w:jc w:val="both"/>
        <w:ind w:left="2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 xml:space="preserve">Operating Income: </w:t>
      </w:r>
      <w:r>
        <w:rPr>
          <w:rFonts w:ascii="Arial" w:cs="Arial" w:eastAsia="Arial" w:hAnsi="Arial"/>
          <w:sz w:val="18"/>
          <w:szCs w:val="18"/>
          <w:color w:val="auto"/>
        </w:rPr>
        <w:t>Operating income increased 1.6% to Ps. 17,103.5 million, and operating margin expanded 80 basis points to 13.1% during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nine months of 2018 as compared with the same period of 2017, which included Venezuela.</w:t>
      </w:r>
    </w:p>
    <w:p>
      <w:pPr>
        <w:spacing w:after="0" w:line="162" w:lineRule="exact"/>
        <w:rPr>
          <w:sz w:val="20"/>
          <w:szCs w:val="20"/>
          <w:color w:val="auto"/>
        </w:rPr>
      </w:pPr>
    </w:p>
    <w:p>
      <w:pPr>
        <w:jc w:val="both"/>
        <w:ind w:left="260" w:right="20"/>
        <w:spacing w:after="0" w:line="347" w:lineRule="auto"/>
        <w:rPr>
          <w:sz w:val="20"/>
          <w:szCs w:val="20"/>
          <w:color w:val="auto"/>
        </w:rPr>
      </w:pPr>
      <w:r>
        <w:rPr>
          <w:rFonts w:ascii="Arial" w:cs="Arial" w:eastAsia="Arial" w:hAnsi="Arial"/>
          <w:sz w:val="16"/>
          <w:szCs w:val="16"/>
          <w:b w:val="1"/>
          <w:bCs w:val="1"/>
          <w:color w:val="auto"/>
        </w:rPr>
        <w:t xml:space="preserve">Other non-operative expenses, net: </w:t>
      </w:r>
      <w:r>
        <w:rPr>
          <w:rFonts w:ascii="Arial" w:cs="Arial" w:eastAsia="Arial" w:hAnsi="Arial"/>
          <w:sz w:val="16"/>
          <w:szCs w:val="16"/>
          <w:color w:val="auto"/>
        </w:rPr>
        <w:t>Other non-operative expenses, net, recorded an expense of Ps. 216 million, compared to an expense of Ps. 707</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during the first nine months of 2017, due mainly to the effect of negative currency fluctuations in Venezuela during the first nine months of 2017.</w:t>
      </w:r>
    </w:p>
    <w:p>
      <w:pPr>
        <w:spacing w:after="0" w:line="116" w:lineRule="exact"/>
        <w:rPr>
          <w:sz w:val="20"/>
          <w:szCs w:val="20"/>
          <w:color w:val="auto"/>
        </w:rPr>
      </w:pPr>
    </w:p>
    <w:p>
      <w:pPr>
        <w:jc w:val="both"/>
        <w:ind w:left="260" w:right="20"/>
        <w:spacing w:after="0" w:line="282" w:lineRule="auto"/>
        <w:rPr>
          <w:sz w:val="20"/>
          <w:szCs w:val="20"/>
          <w:color w:val="auto"/>
        </w:rPr>
      </w:pPr>
      <w:r>
        <w:rPr>
          <w:rFonts w:ascii="Arial" w:cs="Arial" w:eastAsia="Arial" w:hAnsi="Arial"/>
          <w:sz w:val="18"/>
          <w:szCs w:val="18"/>
          <w:b w:val="1"/>
          <w:bCs w:val="1"/>
          <w:color w:val="auto"/>
        </w:rPr>
        <w:t xml:space="preserve">Comprehensive financing result: </w:t>
      </w:r>
      <w:r>
        <w:rPr>
          <w:rFonts w:ascii="Arial" w:cs="Arial" w:eastAsia="Arial" w:hAnsi="Arial"/>
          <w:sz w:val="18"/>
          <w:szCs w:val="18"/>
          <w:color w:val="auto"/>
        </w:rPr>
        <w:t>Comprehensive financing result in the first nine months of 2018 recorded an expense of Ps. 4,837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an expense of Ps. 3,271 million in the same period of 2017.</w:t>
      </w:r>
    </w:p>
    <w:p>
      <w:pPr>
        <w:spacing w:after="0" w:line="166" w:lineRule="exact"/>
        <w:rPr>
          <w:sz w:val="20"/>
          <w:szCs w:val="20"/>
          <w:color w:val="auto"/>
        </w:rPr>
      </w:pPr>
    </w:p>
    <w:p>
      <w:pPr>
        <w:jc w:val="both"/>
        <w:ind w:left="260"/>
        <w:spacing w:after="0" w:line="273" w:lineRule="auto"/>
        <w:rPr>
          <w:sz w:val="20"/>
          <w:szCs w:val="20"/>
          <w:color w:val="auto"/>
        </w:rPr>
      </w:pPr>
      <w:r>
        <w:rPr>
          <w:rFonts w:ascii="Arial" w:cs="Arial" w:eastAsia="Arial" w:hAnsi="Arial"/>
          <w:sz w:val="17"/>
          <w:szCs w:val="17"/>
          <w:color w:val="auto"/>
        </w:rPr>
        <w:t>During the first nine months of 2018, we recorded an interest expense, net, of Ps. 5,461 million, compared to Ps. 6,840 million in the same period of 2017. This decrease was driven by the decline of short-term interest rates in Brazil; the average exchange rate depreciation of the Brazilian Real compared to the Mexican Peso as applied to existing Brazilian Real-denominated interest expense; and the reduction of debt in Argentina, Brazil, and Colombia. However, these factors were partially offset by: (i) an interest rate increase in Mexico; (ii) financing of Ps. 10,100 million for the acquisition of our new territories in Guatemala and Uruguay; and (iii) an interest rate increase resulting from swapping U.S. dollar-denominated debt to Brazilian Real and Mexican Peso-denominated debt as part of our strategy to eliminate our U.S. dollar net debt exposure.</w:t>
      </w:r>
    </w:p>
    <w:p>
      <w:pPr>
        <w:spacing w:after="0" w:line="178" w:lineRule="exact"/>
        <w:rPr>
          <w:sz w:val="20"/>
          <w:szCs w:val="20"/>
          <w:color w:val="auto"/>
        </w:rPr>
      </w:pPr>
    </w:p>
    <w:p>
      <w:pPr>
        <w:jc w:val="both"/>
        <w:ind w:left="260"/>
        <w:spacing w:after="0" w:line="277" w:lineRule="auto"/>
        <w:rPr>
          <w:sz w:val="20"/>
          <w:szCs w:val="20"/>
          <w:color w:val="auto"/>
        </w:rPr>
      </w:pPr>
      <w:r>
        <w:rPr>
          <w:rFonts w:ascii="Arial" w:cs="Arial" w:eastAsia="Arial" w:hAnsi="Arial"/>
          <w:sz w:val="18"/>
          <w:szCs w:val="18"/>
          <w:color w:val="auto"/>
        </w:rPr>
        <w:t>In addition, for the first nine months of 2018, we recorded a foreign exchange gain of Ps. 51 million as compared to a gain of Ps. 268 million in 2017, which resulted from the depreciation of the Mexican Peso as applied to our U.S. dollar-denominated cash position.</w:t>
      </w:r>
    </w:p>
    <w:p>
      <w:pPr>
        <w:spacing w:after="0" w:line="170"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color w:val="auto"/>
        </w:rPr>
        <w:t>Due to the deconsolidation of Coca-Cola FEMSA de Venezuela, no monetary position in hyperinflationary subsidiaries was recorded in the first six months of 2018. Nevertheless, with the reporting of Argentina as of July 1, 2018, a gain of Ps. 117 million was recorded in monetary position in hyperinflationary subsidiaries, compared to a gain of Ps. 2,163 million related to Venezuela for the first nine months of 2017.</w:t>
      </w:r>
    </w:p>
    <w:p>
      <w:pPr>
        <w:spacing w:after="0" w:line="181" w:lineRule="exact"/>
        <w:rPr>
          <w:sz w:val="20"/>
          <w:szCs w:val="20"/>
          <w:color w:val="auto"/>
        </w:rPr>
      </w:pPr>
    </w:p>
    <w:p>
      <w:pPr>
        <w:jc w:val="both"/>
        <w:ind w:left="260"/>
        <w:spacing w:after="0" w:line="277" w:lineRule="auto"/>
        <w:rPr>
          <w:sz w:val="20"/>
          <w:szCs w:val="20"/>
          <w:color w:val="auto"/>
        </w:rPr>
      </w:pPr>
      <w:r>
        <w:rPr>
          <w:rFonts w:ascii="Arial" w:cs="Arial" w:eastAsia="Arial" w:hAnsi="Arial"/>
          <w:sz w:val="18"/>
          <w:szCs w:val="18"/>
          <w:color w:val="auto"/>
        </w:rPr>
        <w:t>Market value on financial instruments recorded a loss of Ps. 246 million, compared to a gain of Ps. 556 million in the first nine months of 2017, due to the decrease in long-term interest rates in Brazil as applied to our fixed rate cross-currency swaps, during the period.</w:t>
      </w:r>
    </w:p>
    <w:p>
      <w:pPr>
        <w:spacing w:after="0" w:line="166"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During the first nine months of 2018, reported income tax as a percentage of income before taxes was 31.2%, compared to 20.7% in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2017. The lower tax rate in the first nine months of 2017 was driven mainly by deferred taxes in Venezuela.</w:t>
      </w:r>
    </w:p>
    <w:p>
      <w:pPr>
        <w:spacing w:after="0" w:line="162" w:lineRule="exact"/>
        <w:rPr>
          <w:sz w:val="20"/>
          <w:szCs w:val="20"/>
          <w:color w:val="auto"/>
        </w:rPr>
      </w:pPr>
    </w:p>
    <w:p>
      <w:pPr>
        <w:jc w:val="both"/>
        <w:ind w:left="260"/>
        <w:spacing w:after="0" w:line="266"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Consolidated net controlling interest income decreased 19.9% to Ps. 8,201.0 million in the first nine months of 2018, resulting in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(EPS) of Ps. 3.90 (Ps. 39.04 per ADS), driven mainly by a non-cash gain on monetary position in inflationary subsidiaries generated by Venezuela during the comparable period of 2017.</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Operating cash flow: </w:t>
      </w:r>
      <w:r>
        <w:rPr>
          <w:rFonts w:ascii="Arial" w:cs="Arial" w:eastAsia="Arial" w:hAnsi="Arial"/>
          <w:sz w:val="16"/>
          <w:szCs w:val="16"/>
          <w:color w:val="auto"/>
        </w:rPr>
        <w:t>Operating cash flow decreased 5.2% to Ps. 24,909.3 million, and operating cash flow margin contracted 10 basis points to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8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Result from discontinued operations</w:t>
      </w:r>
    </w:p>
    <w:p>
      <w:pPr>
        <w:spacing w:after="0" w:line="283"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color w:val="auto"/>
        </w:rPr>
        <w:t>On August 16, 2018, KOF announced the exercise of the put option to sell its 51% stake in Coca-Cola FEMSA Philippines, Inc. Therefore, the Philippines is presented as a discontinued operation as of January 1, 2018, and the consolidated income statements presented herein are re-presented as if the Philippines had been discontinued from February 2017, date of the consolidation of said operation.</w:t>
      </w:r>
    </w:p>
    <w:p>
      <w:pPr>
        <w:spacing w:after="0" w:line="181"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color w:val="auto"/>
        </w:rPr>
        <w:t>During the first nine months of 2018, the result of discontinued operations reached Ps. 576 million as compared to Ps. 700 million in the same period of the previous year. This decrease was driven mainly by an increase in the cost of goods related to (i) the implementation of the excise tax, (ii) sugar scarcity, and (iii) higher PET prices; partially offset by operational efficiencies.</w:t>
      </w:r>
    </w:p>
    <w:p>
      <w:pPr>
        <w:spacing w:after="0" w:line="393"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5" w:name="page26"/>
    <w:bookmarkEnd w:id="25"/>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Recent Developments</w:t>
      </w:r>
    </w:p>
    <w:p>
      <w:pPr>
        <w:spacing w:after="0" w:line="283"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EF373E"/>
        </w:rPr>
      </w:pPr>
      <w:r>
        <w:rPr>
          <w:rFonts w:ascii="Arial" w:cs="Arial" w:eastAsia="Arial" w:hAnsi="Arial"/>
          <w:sz w:val="18"/>
          <w:szCs w:val="18"/>
          <w:color w:val="auto"/>
        </w:rPr>
        <w:t>On August 16, 2018, Coca-Cola FEMSA announced that it has notified The Coca-Cola Company, the exercise of KOF’s put option to sell its 51% stake in Coca-Cola FEMSA Philippines, Inc.</w:t>
      </w:r>
    </w:p>
    <w:p>
      <w:pPr>
        <w:spacing w:after="0" w:line="170" w:lineRule="exact"/>
        <w:rPr>
          <w:rFonts w:ascii="Arial" w:cs="Arial" w:eastAsia="Arial" w:hAnsi="Arial"/>
          <w:sz w:val="18"/>
          <w:szCs w:val="18"/>
          <w:color w:val="EF373E"/>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EF373E"/>
        </w:rPr>
      </w:pPr>
      <w:r>
        <w:rPr>
          <w:rFonts w:ascii="Arial" w:cs="Arial" w:eastAsia="Arial" w:hAnsi="Arial"/>
          <w:sz w:val="18"/>
          <w:szCs w:val="18"/>
          <w:color w:val="auto"/>
        </w:rPr>
        <w:t>On October 1, 2018, Coca-Cola FEMSA remained the only Latin American beverage company included in the Dow Jones Sustainability Emerging Markets Index for the sixth consecutive year. It was also included in the Dow Jones Sustainability MILA Pacific Alliance Index for the second consecutive year.</w:t>
      </w:r>
    </w:p>
    <w:p>
      <w:pPr>
        <w:spacing w:after="0" w:line="181" w:lineRule="exact"/>
        <w:rPr>
          <w:rFonts w:ascii="Arial" w:cs="Arial" w:eastAsia="Arial" w:hAnsi="Arial"/>
          <w:sz w:val="18"/>
          <w:szCs w:val="18"/>
          <w:color w:val="EF373E"/>
        </w:rPr>
      </w:pPr>
    </w:p>
    <w:p>
      <w:pPr>
        <w:ind w:left="660" w:hanging="328"/>
        <w:spacing w:after="0"/>
        <w:tabs>
          <w:tab w:leader="none" w:pos="660" w:val="left"/>
        </w:tabs>
        <w:numPr>
          <w:ilvl w:val="0"/>
          <w:numId w:val="26"/>
        </w:numPr>
        <w:rPr>
          <w:rFonts w:ascii="Arial" w:cs="Arial" w:eastAsia="Arial" w:hAnsi="Arial"/>
          <w:sz w:val="18"/>
          <w:szCs w:val="18"/>
          <w:color w:val="EF373E"/>
        </w:rPr>
      </w:pPr>
      <w:r>
        <w:rPr>
          <w:rFonts w:ascii="Arial" w:cs="Arial" w:eastAsia="Arial" w:hAnsi="Arial"/>
          <w:sz w:val="18"/>
          <w:szCs w:val="18"/>
          <w:color w:val="auto"/>
        </w:rPr>
        <w:t>On November 1, 2018, Coca-Cola FEMSA will pay the second installment of the 2017 dividend in the amount of Ps. 1.67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Comparability</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an effort to provide our readers with a more useful representation of our company's underlying financial and operating performance, we are including the term “Comparable.” This means, with respect to a year-over-year comparison, the change of a given measure excluding the effects of: (i) mergers, acquisitions, and divestitures: acquisitions made in Guatemala and Uruguay as of May and July 2018, respectively; (ii) translation effects resulting from exchange rate movements; and (iii) the results of hyperinflationary subsidiaries in both periods: Venezuela’s results from 2017 and Argentina’s results from 2018 and 2017. In preparing this measure, management has used its best judgment, estimates, and assumptions in order to maintain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Conference Call Information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third quarter 2018 conference call will be held on October 25, 2018, at 12:00 P.M. Eastern Time (11:00 A.M. Mexico City Time). To participate in the conference call, please dial: Domestic U.S.: 800-289-0438 or International: +1 323-794-2423. Participant code: 7189300. We invite investors to listen to the live audio cast of the conference call on the Company’s website, </w:t>
      </w:r>
      <w:r>
        <w:rPr>
          <w:rFonts w:ascii="Arial" w:cs="Arial" w:eastAsia="Arial" w:hAnsi="Arial"/>
          <w:sz w:val="18"/>
          <w:szCs w:val="18"/>
          <w:u w:val="single" w:color="auto"/>
          <w:color w:val="auto"/>
        </w:rPr>
        <w:t>www.coca-colafemsa.com</w:t>
      </w:r>
      <w:r>
        <w:rPr>
          <w:rFonts w:ascii="Arial" w:cs="Arial" w:eastAsia="Arial" w:hAnsi="Arial"/>
          <w:sz w:val="18"/>
          <w:szCs w:val="18"/>
          <w:color w:val="auto"/>
        </w:rPr>
        <w:t xml:space="preserve">. If you are unable to participate live, the conference call audio will be available at </w:t>
      </w:r>
      <w:r>
        <w:rPr>
          <w:rFonts w:ascii="Arial" w:cs="Arial" w:eastAsia="Arial" w:hAnsi="Arial"/>
          <w:sz w:val="18"/>
          <w:szCs w:val="18"/>
          <w:u w:val="single" w:color="auto"/>
          <w:color w:val="auto"/>
        </w:rPr>
        <w:t>www.coca-colafemsa.com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Mexican Stock Exchange Quarterly Filing</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Coca-Cola FEMSA encourages the reader to refer to our quarterly filing to the Mexican Stock Exchange (</w:t>
      </w:r>
      <w:r>
        <w:rPr>
          <w:rFonts w:ascii="Arial" w:cs="Arial" w:eastAsia="Arial" w:hAnsi="Arial"/>
          <w:sz w:val="18"/>
          <w:szCs w:val="18"/>
          <w:i w:val="1"/>
          <w:iCs w:val="1"/>
          <w:color w:val="auto"/>
        </w:rPr>
        <w:t>Bolsa Mexicana de Valores</w:t>
      </w:r>
      <w:r>
        <w:rPr>
          <w:rFonts w:ascii="Arial" w:cs="Arial" w:eastAsia="Arial" w:hAnsi="Arial"/>
          <w:sz w:val="18"/>
          <w:szCs w:val="18"/>
          <w:color w:val="auto"/>
        </w:rPr>
        <w:t xml:space="preserve"> or BMV) for more detailed information. This filing contains a detailed cash flow statement and selected notes to the financial statements, including segment information. This filing is available at </w:t>
      </w:r>
      <w:r>
        <w:rPr>
          <w:rFonts w:ascii="Arial" w:cs="Arial" w:eastAsia="Arial" w:hAnsi="Arial"/>
          <w:sz w:val="18"/>
          <w:szCs w:val="18"/>
          <w:u w:val="single" w:color="auto"/>
          <w:color w:val="auto"/>
        </w:rPr>
        <w:t>www.bmv.com.mx</w:t>
      </w:r>
      <w:r>
        <w:rPr>
          <w:rFonts w:ascii="Arial" w:cs="Arial" w:eastAsia="Arial" w:hAnsi="Arial"/>
          <w:sz w:val="18"/>
          <w:szCs w:val="18"/>
          <w:color w:val="auto"/>
        </w:rPr>
        <w:t xml:space="preserve"> in the </w:t>
      </w:r>
      <w:r>
        <w:rPr>
          <w:rFonts w:ascii="Arial" w:cs="Arial" w:eastAsia="Arial" w:hAnsi="Arial"/>
          <w:sz w:val="18"/>
          <w:szCs w:val="18"/>
          <w:i w:val="1"/>
          <w:iCs w:val="1"/>
          <w:color w:val="auto"/>
        </w:rPr>
        <w:t>Información Financiera</w:t>
      </w:r>
      <w:r>
        <w:rPr>
          <w:rFonts w:ascii="Arial" w:cs="Arial" w:eastAsia="Arial" w:hAnsi="Arial"/>
          <w:sz w:val="18"/>
          <w:szCs w:val="18"/>
          <w:color w:val="auto"/>
        </w:rPr>
        <w:t xml:space="preserve"> section for Coca-Cola FEMSA (KOF) and on our corporate website at </w:t>
      </w:r>
      <w:r>
        <w:rPr>
          <w:rFonts w:ascii="Arial" w:cs="Arial" w:eastAsia="Arial" w:hAnsi="Arial"/>
          <w:sz w:val="18"/>
          <w:szCs w:val="18"/>
          <w:u w:val="single" w:color="auto"/>
          <w:color w:val="auto"/>
        </w:rPr>
        <w:t>www.coca-colafemsa.com/inversionistas/registros-bmv</w:t>
      </w:r>
      <w:r>
        <w:rPr>
          <w:rFonts w:ascii="Arial" w:cs="Arial" w:eastAsia="Arial" w:hAnsi="Arial"/>
          <w:sz w:val="18"/>
          <w:szCs w:val="18"/>
          <w:color w:val="auto"/>
        </w:rPr>
        <w:t>.</w:t>
      </w:r>
    </w:p>
    <w:p>
      <w:pPr>
        <w:spacing w:after="0" w:line="399"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26" w:name="page27"/>
    <w:bookmarkEnd w:id="26"/>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Additional Information</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news release may contain forward-looking statements concerning Coca-Cola FEMSA’s future performance, which should be considered as good faith estimates by Coca-Cola FEMSA. These forward-looking statements reflect management’s expectations and are based upon currently available data. Actual results are subject to future events and uncertainties, many of which are outside Coca-Cola FEMSA’s control, which could materially impact the Company’s actual performance. References herein to “US$” are to United States dollars. This news release contains translations of certain Mexican peso amounts into U.S. dollars for the convenience of the reader. These translations should not be construed as representations that Mexican peso amounts actually represent such U.S. dollar amounts or could be converted into U.S. dollars at the rate indicated.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All of the financial information presented in this report was prepared under International Financial Reporting Standards (IFRS).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were computed based on 2,100.8 million shares (each ADS represents 10 local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reporting purposes, all corporate expenses, including the equity method recorded from our stake of the results of Coca-Cola FEMSA Philippines, Inc., were included in the results of the Mexico and Central America division. Starting on February 2013 and ending on January 2017, we incorporated our stake of the results of Coca-Cola FEMSA Philippines, Inc. through the equity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Stock listing information: Mexican Stock Exchange, Ticker: KOFL | NYSE (ADR), Ticker: KOF | Ratio of KOF L to KOF = 10:1</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Coca-Cola FEMSA, S.A.B. de C.V. is the largest franchise bottler in the world by sales volume. The Company produces and distributes trademark beverages of The Coca-Cola Company, offering a wide portfolio of 169 brands to more than 396 million consumers daily. With over 100 thousand employees, the Company markets and sells approximately 4 billion unit cases through 2.8 million points of sale a year. Operating 67 manufacturing plants and 344 distribution centers, Coca-Cola FEMSA is committed to generating economic, social, and environmental value for all of its stakeholders across the value chain. The Company is a member of the Dow Jones Sustainability Emerging Markets Index, Dow Jones Sustainability MILA Pacific Alliance Index, FTSE4Good Emerging Index, and the Mexican Stock Exchange’s IPC and Social Responsibility and Sustainability Indices, among others. Its operations encompass franchise territories in Mexico, Guatemala, Colombia, Brazil, and Argentina, and, nationwide, in Nicaragua, Costa Rica, Panama, Uruguay, Venezuela and the Philippines. For further information, please visit </w:t>
      </w:r>
      <w:r>
        <w:rPr>
          <w:rFonts w:ascii="Arial" w:cs="Arial" w:eastAsia="Arial" w:hAnsi="Arial"/>
          <w:sz w:val="17"/>
          <w:szCs w:val="17"/>
          <w:u w:val="single" w:color="auto"/>
          <w:color w:val="auto"/>
        </w:rPr>
        <w:t>www.coca-colafemsa.com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additional information or inquiries, contact the Investor Relations team:</w:t>
      </w:r>
    </w:p>
    <w:p>
      <w:pPr>
        <w:spacing w:after="0" w:line="2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EF373E"/>
        </w:rPr>
      </w:pPr>
      <w:r>
        <w:rPr>
          <w:rFonts w:ascii="Arial" w:cs="Arial" w:eastAsia="Arial" w:hAnsi="Arial"/>
          <w:sz w:val="18"/>
          <w:szCs w:val="18"/>
          <w:color w:val="auto"/>
        </w:rPr>
        <w:t>Maria Dyla Castro | mariadyla.castro@kof.com.mx</w:t>
      </w:r>
    </w:p>
    <w:p>
      <w:pPr>
        <w:spacing w:after="0" w:line="9" w:lineRule="exact"/>
        <w:rPr>
          <w:rFonts w:ascii="Arial" w:cs="Arial" w:eastAsia="Arial" w:hAnsi="Arial"/>
          <w:sz w:val="18"/>
          <w:szCs w:val="18"/>
          <w:color w:val="EF373E"/>
        </w:rPr>
      </w:pPr>
    </w:p>
    <w:p>
      <w:pPr>
        <w:ind w:left="660" w:hanging="328"/>
        <w:spacing w:after="0"/>
        <w:tabs>
          <w:tab w:leader="none" w:pos="660" w:val="left"/>
        </w:tabs>
        <w:numPr>
          <w:ilvl w:val="0"/>
          <w:numId w:val="27"/>
        </w:numPr>
        <w:rPr>
          <w:rFonts w:ascii="Arial" w:cs="Arial" w:eastAsia="Arial" w:hAnsi="Arial"/>
          <w:sz w:val="18"/>
          <w:szCs w:val="18"/>
          <w:color w:val="EF373E"/>
        </w:rPr>
      </w:pPr>
      <w:r>
        <w:rPr>
          <w:rFonts w:ascii="Arial" w:cs="Arial" w:eastAsia="Arial" w:hAnsi="Arial"/>
          <w:sz w:val="18"/>
          <w:szCs w:val="18"/>
          <w:color w:val="auto"/>
        </w:rPr>
        <w:t>Jorge Collazo | jorge.collazo@kof.com.mx</w:t>
      </w:r>
    </w:p>
    <w:p>
      <w:pPr>
        <w:spacing w:after="0" w:line="9" w:lineRule="exact"/>
        <w:rPr>
          <w:rFonts w:ascii="Arial" w:cs="Arial" w:eastAsia="Arial" w:hAnsi="Arial"/>
          <w:sz w:val="18"/>
          <w:szCs w:val="18"/>
          <w:color w:val="EF373E"/>
        </w:rPr>
      </w:pPr>
    </w:p>
    <w:p>
      <w:pPr>
        <w:ind w:left="660" w:hanging="328"/>
        <w:spacing w:after="0"/>
        <w:tabs>
          <w:tab w:leader="none" w:pos="660" w:val="left"/>
        </w:tabs>
        <w:numPr>
          <w:ilvl w:val="0"/>
          <w:numId w:val="27"/>
        </w:numPr>
        <w:rPr>
          <w:rFonts w:ascii="Arial" w:cs="Arial" w:eastAsia="Arial" w:hAnsi="Arial"/>
          <w:sz w:val="18"/>
          <w:szCs w:val="18"/>
          <w:color w:val="EF373E"/>
        </w:rPr>
      </w:pPr>
      <w:r>
        <w:rPr>
          <w:rFonts w:ascii="Arial" w:cs="Arial" w:eastAsia="Arial" w:hAnsi="Arial"/>
          <w:sz w:val="18"/>
          <w:szCs w:val="18"/>
          <w:color w:val="auto"/>
        </w:rPr>
        <w:t>Maria Fernanda Garcia | maria.garciacr@kof.com.mx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(8 pages of tables to follow)</w:t>
      </w:r>
    </w:p>
    <w:p>
      <w:pPr>
        <w:spacing w:after="0" w:line="200" w:lineRule="exact"/>
        <w:rPr>
          <w:sz w:val="20"/>
          <w:szCs w:val="20"/>
          <w:color w:val="auto"/>
        </w:rPr>
      </w:pPr>
    </w:p>
    <w:p>
      <w:pPr>
        <w:spacing w:after="0" w:line="237"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26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27" w:name="page28"/>
    <w:bookmarkEnd w:id="27"/>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Quarter - Consolidated Income Statement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Expressed in millions of Mexican pesos</w:t>
      </w:r>
      <w:r>
        <w:rPr>
          <w:rFonts w:ascii="Arial" w:cs="Arial" w:eastAsia="Arial" w:hAnsi="Arial"/>
          <w:sz w:val="30"/>
          <w:szCs w:val="30"/>
          <w:color w:val="auto"/>
          <w:vertAlign w:val="superscript"/>
        </w:rPr>
        <w:t>(1)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3Q 17</w:t>
            </w: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D %</w:t>
            </w:r>
          </w:p>
        </w:tc>
        <w:tc>
          <w:tcPr>
            <w:tcW w:w="13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 %</w:t>
            </w:r>
          </w:p>
        </w:tc>
      </w:tr>
      <w:tr>
        <w:trPr>
          <w:trHeight w:val="270"/>
        </w:trPr>
        <w:tc>
          <w:tcPr>
            <w:tcW w:w="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b w:val="1"/>
                <w:bCs w:val="1"/>
                <w:color w:val="auto"/>
              </w:rPr>
              <w:t>3Q 18</w:t>
            </w: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 Rev</w:t>
            </w:r>
          </w:p>
        </w:tc>
        <w:tc>
          <w:tcPr>
            <w:tcW w:w="1500" w:type="dxa"/>
            <w:vAlign w:val="bottom"/>
            <w:gridSpan w:val="3"/>
          </w:tcPr>
          <w:p>
            <w:pPr>
              <w:jc w:val="right"/>
              <w:ind w:right="200"/>
              <w:spacing w:after="0" w:line="269" w:lineRule="exact"/>
              <w:rPr>
                <w:sz w:val="20"/>
                <w:szCs w:val="20"/>
                <w:color w:val="auto"/>
              </w:rPr>
            </w:pPr>
            <w:r>
              <w:rPr>
                <w:rFonts w:ascii="Arial" w:cs="Arial" w:eastAsia="Arial" w:hAnsi="Arial"/>
                <w:sz w:val="18"/>
                <w:szCs w:val="18"/>
                <w:b w:val="1"/>
                <w:bCs w:val="1"/>
                <w:color w:val="auto"/>
                <w:w w:val="91"/>
              </w:rPr>
              <w:t>Re-presented</w:t>
            </w:r>
            <w:r>
              <w:rPr>
                <w:rFonts w:ascii="Arial" w:cs="Arial" w:eastAsia="Arial" w:hAnsi="Arial"/>
                <w:sz w:val="30"/>
                <w:szCs w:val="30"/>
                <w:b w:val="1"/>
                <w:bCs w:val="1"/>
                <w:color w:val="auto"/>
                <w:w w:val="91"/>
                <w:vertAlign w:val="superscript"/>
              </w:rPr>
              <w:t>(2)</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 Rev</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1360" w:type="dxa"/>
            <w:vAlign w:val="bottom"/>
          </w:tcPr>
          <w:p>
            <w:pPr>
              <w:jc w:val="right"/>
              <w:ind w:right="90"/>
              <w:spacing w:after="0" w:line="269" w:lineRule="exact"/>
              <w:rPr>
                <w:sz w:val="20"/>
                <w:szCs w:val="20"/>
                <w:color w:val="auto"/>
              </w:rPr>
            </w:pPr>
            <w:r>
              <w:rPr>
                <w:rFonts w:ascii="Arial" w:cs="Arial" w:eastAsia="Arial" w:hAnsi="Arial"/>
                <w:sz w:val="18"/>
                <w:szCs w:val="18"/>
                <w:b w:val="1"/>
                <w:bCs w:val="1"/>
                <w:color w:val="auto"/>
                <w:w w:val="86"/>
              </w:rPr>
              <w:t xml:space="preserve">Comparable </w:t>
            </w:r>
            <w:r>
              <w:rPr>
                <w:rFonts w:ascii="Arial" w:cs="Arial" w:eastAsia="Arial" w:hAnsi="Arial"/>
                <w:sz w:val="30"/>
                <w:szCs w:val="30"/>
                <w:b w:val="1"/>
                <w:bCs w:val="1"/>
                <w:color w:val="auto"/>
                <w:w w:val="86"/>
                <w:vertAlign w:val="superscript"/>
              </w:rPr>
              <w:t>(9)</w:t>
            </w: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Transactions (million transactions)</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4,973.1</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4,866.0</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r>
      <w:tr>
        <w:trPr>
          <w:trHeight w:val="257"/>
        </w:trPr>
        <w:tc>
          <w:tcPr>
            <w:tcW w:w="20" w:type="dxa"/>
            <w:vAlign w:val="bottom"/>
          </w:tcPr>
          <w:p>
            <w:pPr>
              <w:spacing w:after="0"/>
              <w:rPr>
                <w:sz w:val="22"/>
                <w:szCs w:val="22"/>
                <w:color w:val="auto"/>
              </w:rPr>
            </w:pPr>
          </w:p>
        </w:tc>
        <w:tc>
          <w:tcPr>
            <w:tcW w:w="36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Volume (million unit cases) </w:t>
            </w:r>
            <w:r>
              <w:rPr>
                <w:rFonts w:ascii="Arial" w:cs="Arial" w:eastAsia="Arial" w:hAnsi="Arial"/>
                <w:sz w:val="29"/>
                <w:szCs w:val="29"/>
                <w:b w:val="1"/>
                <w:bCs w:val="1"/>
                <w:color w:val="auto"/>
                <w:vertAlign w:val="superscript"/>
              </w:rPr>
              <w:t>(3)</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839.2</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821.4</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57"/>
        </w:trPr>
        <w:tc>
          <w:tcPr>
            <w:tcW w:w="20" w:type="dxa"/>
            <w:vAlign w:val="bottom"/>
          </w:tcPr>
          <w:p>
            <w:pPr>
              <w:spacing w:after="0"/>
              <w:rPr>
                <w:sz w:val="22"/>
                <w:szCs w:val="22"/>
                <w:color w:val="auto"/>
              </w:rPr>
            </w:pPr>
          </w:p>
        </w:tc>
        <w:tc>
          <w:tcPr>
            <w:tcW w:w="3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price per unit case </w:t>
            </w:r>
            <w:r>
              <w:rPr>
                <w:rFonts w:ascii="Arial" w:cs="Arial" w:eastAsia="Arial" w:hAnsi="Arial"/>
                <w:sz w:val="29"/>
                <w:szCs w:val="29"/>
                <w:color w:val="auto"/>
                <w:vertAlign w:val="superscript"/>
              </w:rPr>
              <w:t>(3)</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48.95</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50.63</w:t>
            </w: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revenues</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44,012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44,353</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revenues</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620" w:type="dxa"/>
            <w:vAlign w:val="bottom"/>
          </w:tcPr>
          <w:p>
            <w:pPr>
              <w:spacing w:after="0" w:line="250" w:lineRule="exact"/>
              <w:rPr>
                <w:sz w:val="20"/>
                <w:szCs w:val="20"/>
                <w:color w:val="auto"/>
              </w:rPr>
            </w:pPr>
            <w:r>
              <w:rPr>
                <w:rFonts w:ascii="Arial" w:cs="Arial" w:eastAsia="Arial" w:hAnsi="Arial"/>
                <w:sz w:val="17"/>
                <w:szCs w:val="17"/>
                <w:b w:val="1"/>
                <w:bCs w:val="1"/>
                <w:color w:val="auto"/>
              </w:rPr>
              <w:t xml:space="preserve">Total revenues </w:t>
            </w:r>
            <w:r>
              <w:rPr>
                <w:rFonts w:ascii="Arial" w:cs="Arial" w:eastAsia="Arial" w:hAnsi="Arial"/>
                <w:sz w:val="28"/>
                <w:szCs w:val="28"/>
                <w:b w:val="1"/>
                <w:bCs w:val="1"/>
                <w:color w:val="auto"/>
                <w:vertAlign w:val="superscript"/>
              </w:rPr>
              <w:t>(4)</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44,148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44,464</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23,911</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24,358</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20,237</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20,107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224</w:t>
            </w: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Operating equity method (gain) loss in</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67"/>
        </w:trPr>
        <w:tc>
          <w:tcPr>
            <w:tcW w:w="20" w:type="dxa"/>
            <w:vAlign w:val="bottom"/>
          </w:tcPr>
          <w:p>
            <w:pPr>
              <w:spacing w:after="0"/>
              <w:rPr>
                <w:sz w:val="23"/>
                <w:szCs w:val="23"/>
                <w:color w:val="auto"/>
              </w:rPr>
            </w:pPr>
          </w:p>
        </w:tc>
        <w:tc>
          <w:tcPr>
            <w:tcW w:w="3620" w:type="dxa"/>
            <w:vAlign w:val="bottom"/>
            <w:tcBorders>
              <w:bottom w:val="single" w:sz="8" w:color="auto"/>
            </w:tcBorders>
            <w:shd w:val="clear" w:color="auto" w:fill="CCEEFF"/>
          </w:tcPr>
          <w:p>
            <w:pPr>
              <w:spacing w:after="0" w:line="266" w:lineRule="exact"/>
              <w:rPr>
                <w:sz w:val="20"/>
                <w:szCs w:val="20"/>
                <w:color w:val="auto"/>
              </w:rPr>
            </w:pPr>
            <w:r>
              <w:rPr>
                <w:rFonts w:ascii="Arial" w:cs="Arial" w:eastAsia="Arial" w:hAnsi="Arial"/>
                <w:sz w:val="18"/>
                <w:szCs w:val="18"/>
                <w:color w:val="auto"/>
              </w:rPr>
              <w:t>associates</w:t>
            </w:r>
            <w:r>
              <w:rPr>
                <w:rFonts w:ascii="Arial" w:cs="Arial" w:eastAsia="Arial" w:hAnsi="Arial"/>
                <w:sz w:val="30"/>
                <w:szCs w:val="30"/>
                <w:color w:val="auto"/>
                <w:vertAlign w:val="superscript"/>
              </w:rPr>
              <w:t>(5)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3620" w:type="dxa"/>
            <w:vAlign w:val="bottom"/>
          </w:tcPr>
          <w:p>
            <w:pPr>
              <w:spacing w:after="0" w:line="250" w:lineRule="exact"/>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28"/>
                <w:szCs w:val="28"/>
                <w:b w:val="1"/>
                <w:bCs w:val="1"/>
                <w:color w:val="auto"/>
                <w:vertAlign w:val="superscript"/>
              </w:rPr>
              <w:t>(6)</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5,777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5,341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 operating expenses, net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620" w:type="dxa"/>
            <w:vAlign w:val="bottom"/>
          </w:tcPr>
          <w:p>
            <w:pPr>
              <w:spacing w:after="0" w:line="206" w:lineRule="exact"/>
              <w:rPr>
                <w:sz w:val="20"/>
                <w:szCs w:val="20"/>
                <w:color w:val="auto"/>
              </w:rPr>
            </w:pPr>
            <w:r>
              <w:rPr>
                <w:rFonts w:ascii="Arial" w:cs="Arial" w:eastAsia="Arial" w:hAnsi="Arial"/>
                <w:sz w:val="18"/>
                <w:szCs w:val="18"/>
                <w:color w:val="auto"/>
              </w:rPr>
              <w:t>Non Operating equity method (gain) loss in</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67"/>
        </w:trPr>
        <w:tc>
          <w:tcPr>
            <w:tcW w:w="3640" w:type="dxa"/>
            <w:vAlign w:val="bottom"/>
            <w:gridSpan w:val="2"/>
          </w:tcPr>
          <w:p>
            <w:pPr>
              <w:spacing w:after="0" w:line="266" w:lineRule="exact"/>
              <w:rPr>
                <w:sz w:val="20"/>
                <w:szCs w:val="20"/>
                <w:color w:val="auto"/>
              </w:rPr>
            </w:pPr>
            <w:r>
              <w:rPr>
                <w:rFonts w:ascii="Arial" w:cs="Arial" w:eastAsia="Arial" w:hAnsi="Arial"/>
                <w:sz w:val="18"/>
                <w:szCs w:val="18"/>
                <w:color w:val="auto"/>
              </w:rPr>
              <w:t>associates</w:t>
            </w:r>
            <w:r>
              <w:rPr>
                <w:rFonts w:ascii="Arial" w:cs="Arial" w:eastAsia="Arial" w:hAnsi="Arial"/>
                <w:sz w:val="30"/>
                <w:szCs w:val="30"/>
                <w:color w:val="auto"/>
                <w:vertAlign w:val="superscript"/>
              </w:rPr>
              <w:t>(7)</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(40)</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1,834</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2,182</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2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253</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Interest expense, net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1,558</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480"/>
              <w:spacing w:after="0"/>
              <w:rPr>
                <w:sz w:val="20"/>
                <w:szCs w:val="20"/>
                <w:color w:val="auto"/>
              </w:rPr>
            </w:pPr>
            <w:r>
              <w:rPr>
                <w:rFonts w:ascii="Arial" w:cs="Arial" w:eastAsia="Arial" w:hAnsi="Arial"/>
                <w:sz w:val="18"/>
                <w:szCs w:val="18"/>
                <w:color w:val="auto"/>
              </w:rPr>
              <w:t>Foreign exchange loss (gain)</w:t>
            </w: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(84)</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Loss (gain) on monetary position in</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inflationary subsidiaries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(1,301)</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CCEEFF"/>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3620" w:type="dxa"/>
            <w:vAlign w:val="bottom"/>
          </w:tcPr>
          <w:p>
            <w:pPr>
              <w:ind w:left="480"/>
              <w:spacing w:after="0" w:line="182" w:lineRule="exact"/>
              <w:rPr>
                <w:sz w:val="20"/>
                <w:szCs w:val="20"/>
                <w:color w:val="auto"/>
              </w:rPr>
            </w:pPr>
            <w:r>
              <w:rPr>
                <w:rFonts w:ascii="Arial" w:cs="Arial" w:eastAsia="Arial" w:hAnsi="Arial"/>
                <w:sz w:val="18"/>
                <w:szCs w:val="18"/>
                <w:color w:val="auto"/>
              </w:rPr>
              <w:t>Market value (gain) loss on financial</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480"/>
              <w:spacing w:after="0"/>
              <w:rPr>
                <w:sz w:val="20"/>
                <w:szCs w:val="20"/>
                <w:color w:val="auto"/>
              </w:rPr>
            </w:pPr>
            <w:r>
              <w:rPr>
                <w:rFonts w:ascii="Arial" w:cs="Arial" w:eastAsia="Arial" w:hAnsi="Arial"/>
                <w:sz w:val="18"/>
                <w:szCs w:val="18"/>
                <w:color w:val="auto"/>
              </w:rPr>
              <w:t>instruments</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(203)</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financing result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Income before taxes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4,443</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1,119</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Result from discontinued operations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3,422</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3,339</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620" w:type="dxa"/>
            <w:vAlign w:val="bottom"/>
          </w:tcPr>
          <w:p>
            <w:pPr>
              <w:spacing w:after="0" w:line="191" w:lineRule="exact"/>
              <w:rPr>
                <w:sz w:val="20"/>
                <w:szCs w:val="20"/>
                <w:color w:val="auto"/>
              </w:rPr>
            </w:pPr>
            <w:r>
              <w:rPr>
                <w:rFonts w:ascii="Arial" w:cs="Arial" w:eastAsia="Arial" w:hAnsi="Arial"/>
                <w:sz w:val="18"/>
                <w:szCs w:val="18"/>
                <w:b w:val="1"/>
                <w:bCs w:val="1"/>
                <w:color w:val="auto"/>
                <w:w w:val="96"/>
              </w:rPr>
              <w:t>Net income attributable to equity holders of</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the company</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3,266</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3,152</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620" w:type="dxa"/>
            <w:vAlign w:val="bottom"/>
          </w:tcPr>
          <w:p>
            <w:pPr>
              <w:spacing w:after="0" w:line="250"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8"/>
                <w:szCs w:val="28"/>
                <w:color w:val="auto"/>
                <w:vertAlign w:val="superscript"/>
              </w:rPr>
              <w:t>(6)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5,777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5,341</w:t>
            </w: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2,322</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line="201" w:lineRule="exact"/>
              <w:rPr>
                <w:sz w:val="20"/>
                <w:szCs w:val="20"/>
                <w:color w:val="auto"/>
              </w:rPr>
            </w:pPr>
            <w:r>
              <w:rPr>
                <w:rFonts w:ascii="Arial" w:cs="Arial" w:eastAsia="Arial" w:hAnsi="Arial"/>
                <w:sz w:val="18"/>
                <w:szCs w:val="18"/>
                <w:color w:val="auto"/>
              </w:rPr>
              <w:t>Amortization and other operating non-cash</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charges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932</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620" w:type="dxa"/>
            <w:vAlign w:val="bottom"/>
            <w:tcBorders>
              <w:top w:val="single" w:sz="8" w:color="auto"/>
              <w:bottom w:val="single" w:sz="8" w:color="auto"/>
            </w:tcBorders>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 xml:space="preserve">Operating cash flow </w:t>
            </w:r>
            <w:r>
              <w:rPr>
                <w:rFonts w:ascii="Arial" w:cs="Arial" w:eastAsia="Arial" w:hAnsi="Arial"/>
                <w:sz w:val="29"/>
                <w:szCs w:val="29"/>
                <w:b w:val="1"/>
                <w:bCs w:val="1"/>
                <w:color w:val="auto"/>
                <w:vertAlign w:val="superscript"/>
              </w:rPr>
              <w:t>(6)(8)</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8,492</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8,596</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2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r>
      <w:tr>
        <w:trPr>
          <w:trHeight w:val="223"/>
        </w:trPr>
        <w:tc>
          <w:tcPr>
            <w:tcW w:w="20" w:type="dxa"/>
            <w:vAlign w:val="bottom"/>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CAPEX</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2,923</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bl>
    <w:p>
      <w:pPr>
        <w:spacing w:after="0" w:line="160"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Except volume and average price per unit case figures.</w:t>
      </w:r>
    </w:p>
    <w:p>
      <w:pPr>
        <w:spacing w:after="0" w:line="42" w:lineRule="exact"/>
        <w:rPr>
          <w:rFonts w:ascii="Arial" w:cs="Arial" w:eastAsia="Arial" w:hAnsi="Arial"/>
          <w:sz w:val="26"/>
          <w:szCs w:val="26"/>
          <w:i w:val="1"/>
          <w:iCs w:val="1"/>
          <w:color w:val="auto"/>
          <w:vertAlign w:val="superscript"/>
        </w:rPr>
      </w:pPr>
    </w:p>
    <w:p>
      <w:pPr>
        <w:ind w:left="220" w:hanging="212"/>
        <w:spacing w:after="0" w:line="186" w:lineRule="auto"/>
        <w:tabs>
          <w:tab w:leader="none" w:pos="220" w:val="left"/>
        </w:tabs>
        <w:numPr>
          <w:ilvl w:val="0"/>
          <w:numId w:val="28"/>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2017 financial information is re-presented as if the Philippines had been discontinued from February 2017, date of the consolidation of said operation.</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8"/>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Sales volume and average price per unit case exclude beer results.</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8"/>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Please refer to page 16 for revenue breakdown.</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8"/>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Includes equity method in Jugos del Valle, Leao Alimentos, Estrella Azul, among others.</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8"/>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The operating income and operating cash flow lines are presented as non-gaap measures for the convenience of the reader.</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8"/>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Includes equity method in PIASA, IEQSA, Beta San Miguel, IMER and KSP Participacoes among others.</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8"/>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Operating cash flow = operating income + depreciation, amortization &amp; other operating non-cash charges.</w:t>
      </w:r>
    </w:p>
    <w:p>
      <w:pPr>
        <w:spacing w:after="0" w:line="42" w:lineRule="exact"/>
        <w:rPr>
          <w:rFonts w:ascii="Arial" w:cs="Arial" w:eastAsia="Arial" w:hAnsi="Arial"/>
          <w:sz w:val="24"/>
          <w:szCs w:val="24"/>
          <w:i w:val="1"/>
          <w:iCs w:val="1"/>
          <w:color w:val="auto"/>
          <w:vertAlign w:val="superscript"/>
        </w:rPr>
      </w:pPr>
    </w:p>
    <w:p>
      <w:pPr>
        <w:ind w:firstLine="8"/>
        <w:spacing w:after="0"/>
        <w:tabs>
          <w:tab w:leader="none" w:pos="226" w:val="left"/>
        </w:tabs>
        <w:numPr>
          <w:ilvl w:val="0"/>
          <w:numId w:val="28"/>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Please refer to page 9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345"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27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882"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YTD - Consolidated Income Statement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Expressed in millions of Mexican pesos</w:t>
      </w:r>
      <w:r>
        <w:rPr>
          <w:rFonts w:ascii="Arial" w:cs="Arial" w:eastAsia="Arial" w:hAnsi="Arial"/>
          <w:sz w:val="30"/>
          <w:szCs w:val="30"/>
          <w:color w:val="auto"/>
          <w:vertAlign w:val="superscript"/>
        </w:rPr>
        <w:t>(1)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YTD 2017</w:t>
            </w: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D %</w:t>
            </w:r>
          </w:p>
        </w:tc>
        <w:tc>
          <w:tcPr>
            <w:tcW w:w="13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 %</w:t>
            </w:r>
          </w:p>
        </w:tc>
      </w:tr>
      <w:tr>
        <w:trPr>
          <w:trHeight w:val="270"/>
        </w:trPr>
        <w:tc>
          <w:tcPr>
            <w:tcW w:w="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YTD 2018</w:t>
            </w: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 Rev</w:t>
            </w:r>
          </w:p>
        </w:tc>
        <w:tc>
          <w:tcPr>
            <w:tcW w:w="1400" w:type="dxa"/>
            <w:vAlign w:val="bottom"/>
          </w:tcPr>
          <w:p>
            <w:pPr>
              <w:jc w:val="right"/>
              <w:ind w:right="110"/>
              <w:spacing w:after="0" w:line="269" w:lineRule="exact"/>
              <w:rPr>
                <w:sz w:val="20"/>
                <w:szCs w:val="20"/>
                <w:color w:val="auto"/>
              </w:rPr>
            </w:pPr>
            <w:r>
              <w:rPr>
                <w:rFonts w:ascii="Arial" w:cs="Arial" w:eastAsia="Arial" w:hAnsi="Arial"/>
                <w:sz w:val="18"/>
                <w:szCs w:val="18"/>
                <w:b w:val="1"/>
                <w:bCs w:val="1"/>
                <w:color w:val="auto"/>
                <w:w w:val="84"/>
              </w:rPr>
              <w:t>Re-presented</w:t>
            </w:r>
            <w:r>
              <w:rPr>
                <w:rFonts w:ascii="Arial" w:cs="Arial" w:eastAsia="Arial" w:hAnsi="Arial"/>
                <w:sz w:val="30"/>
                <w:szCs w:val="30"/>
                <w:b w:val="1"/>
                <w:bCs w:val="1"/>
                <w:color w:val="auto"/>
                <w:w w:val="84"/>
                <w:vertAlign w:val="superscript"/>
              </w:rPr>
              <w:t>(2)</w:t>
            </w: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 Rev</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Reported</w:t>
            </w:r>
          </w:p>
        </w:tc>
        <w:tc>
          <w:tcPr>
            <w:tcW w:w="1360" w:type="dxa"/>
            <w:vAlign w:val="bottom"/>
          </w:tcPr>
          <w:p>
            <w:pPr>
              <w:jc w:val="right"/>
              <w:ind w:right="90"/>
              <w:spacing w:after="0" w:line="269" w:lineRule="exact"/>
              <w:rPr>
                <w:sz w:val="20"/>
                <w:szCs w:val="20"/>
                <w:color w:val="auto"/>
              </w:rPr>
            </w:pPr>
            <w:r>
              <w:rPr>
                <w:rFonts w:ascii="Arial" w:cs="Arial" w:eastAsia="Arial" w:hAnsi="Arial"/>
                <w:sz w:val="18"/>
                <w:szCs w:val="18"/>
                <w:b w:val="1"/>
                <w:bCs w:val="1"/>
                <w:color w:val="auto"/>
                <w:w w:val="86"/>
              </w:rPr>
              <w:t xml:space="preserve">Comparable </w:t>
            </w:r>
            <w:r>
              <w:rPr>
                <w:rFonts w:ascii="Arial" w:cs="Arial" w:eastAsia="Arial" w:hAnsi="Arial"/>
                <w:sz w:val="30"/>
                <w:szCs w:val="30"/>
                <w:b w:val="1"/>
                <w:bCs w:val="1"/>
                <w:color w:val="auto"/>
                <w:w w:val="86"/>
                <w:vertAlign w:val="superscript"/>
              </w:rPr>
              <w:t>(9)</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Transactions (million transactions)</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14,539.0</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14,472.8</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r>
      <w:tr>
        <w:trPr>
          <w:trHeight w:val="257"/>
        </w:trPr>
        <w:tc>
          <w:tcPr>
            <w:tcW w:w="20" w:type="dxa"/>
            <w:vAlign w:val="bottom"/>
          </w:tcPr>
          <w:p>
            <w:pPr>
              <w:spacing w:after="0"/>
              <w:rPr>
                <w:sz w:val="22"/>
                <w:szCs w:val="22"/>
                <w:color w:val="auto"/>
              </w:rPr>
            </w:pPr>
          </w:p>
        </w:tc>
        <w:tc>
          <w:tcPr>
            <w:tcW w:w="458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Volume (million unit cases) </w:t>
            </w:r>
            <w:r>
              <w:rPr>
                <w:rFonts w:ascii="Arial" w:cs="Arial" w:eastAsia="Arial" w:hAnsi="Arial"/>
                <w:sz w:val="29"/>
                <w:szCs w:val="29"/>
                <w:b w:val="1"/>
                <w:bCs w:val="1"/>
                <w:color w:val="auto"/>
                <w:vertAlign w:val="superscript"/>
              </w:rPr>
              <w:t>(3)</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2,450.1</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2,444.9</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57"/>
        </w:trPr>
        <w:tc>
          <w:tcPr>
            <w:tcW w:w="20" w:type="dxa"/>
            <w:vAlign w:val="bottom"/>
          </w:tcPr>
          <w:p>
            <w:pPr>
              <w:spacing w:after="0"/>
              <w:rPr>
                <w:sz w:val="22"/>
                <w:szCs w:val="22"/>
                <w:color w:val="auto"/>
              </w:rPr>
            </w:pPr>
          </w:p>
        </w:tc>
        <w:tc>
          <w:tcPr>
            <w:tcW w:w="4580" w:type="dxa"/>
            <w:vAlign w:val="bottom"/>
            <w:tcBorders>
              <w:bottom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price per unit case </w:t>
            </w:r>
            <w:r>
              <w:rPr>
                <w:rFonts w:ascii="Arial" w:cs="Arial" w:eastAsia="Arial" w:hAnsi="Arial"/>
                <w:sz w:val="29"/>
                <w:szCs w:val="29"/>
                <w:color w:val="auto"/>
                <w:vertAlign w:val="superscript"/>
              </w:rPr>
              <w:t>(3)</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49.34</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52.39</w:t>
            </w: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revenues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130,252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136,775</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revenues</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266</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auto"/>
            </w:tcBorders>
          </w:tcPr>
          <w:p>
            <w:pPr>
              <w:spacing w:after="0" w:line="250" w:lineRule="exact"/>
              <w:rPr>
                <w:sz w:val="20"/>
                <w:szCs w:val="20"/>
                <w:color w:val="auto"/>
              </w:rPr>
            </w:pPr>
            <w:r>
              <w:rPr>
                <w:rFonts w:ascii="Arial" w:cs="Arial" w:eastAsia="Arial" w:hAnsi="Arial"/>
                <w:sz w:val="17"/>
                <w:szCs w:val="17"/>
                <w:b w:val="1"/>
                <w:bCs w:val="1"/>
                <w:color w:val="auto"/>
              </w:rPr>
              <w:t xml:space="preserve">Total revenues </w:t>
            </w:r>
            <w:r>
              <w:rPr>
                <w:rFonts w:ascii="Arial" w:cs="Arial" w:eastAsia="Arial" w:hAnsi="Arial"/>
                <w:sz w:val="28"/>
                <w:szCs w:val="28"/>
                <w:b w:val="1"/>
                <w:bCs w:val="1"/>
                <w:color w:val="auto"/>
                <w:vertAlign w:val="superscript"/>
              </w:rPr>
              <w:t>(4)</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130,577</w:t>
            </w: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137,041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70,427</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75,592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profit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60,150</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61,449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42,225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44,695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3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Operating equity method (gain) loss in associates</w:t>
            </w:r>
            <w:r>
              <w:rPr>
                <w:rFonts w:ascii="Arial" w:cs="Arial" w:eastAsia="Arial" w:hAnsi="Arial"/>
                <w:sz w:val="29"/>
                <w:szCs w:val="29"/>
                <w:color w:val="auto"/>
                <w:vertAlign w:val="superscript"/>
              </w:rPr>
              <w:t>(5)</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58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28"/>
                <w:szCs w:val="28"/>
                <w:b w:val="1"/>
                <w:bCs w:val="1"/>
                <w:color w:val="auto"/>
                <w:vertAlign w:val="superscript"/>
              </w:rPr>
              <w:t>(6)</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17,103</w:t>
            </w:r>
          </w:p>
        </w:tc>
        <w:tc>
          <w:tcPr>
            <w:tcW w:w="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top w:val="single" w:sz="8" w:color="CCEEFF"/>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16,830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top w:val="single" w:sz="8" w:color="CCEEFF"/>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top w:val="single" w:sz="8" w:color="CCEEFF"/>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non operating expenses, net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707</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auto"/>
            </w:tcBorders>
          </w:tcPr>
          <w:p>
            <w:pPr>
              <w:spacing w:after="0" w:line="256" w:lineRule="exact"/>
              <w:rPr>
                <w:sz w:val="20"/>
                <w:szCs w:val="20"/>
                <w:color w:val="auto"/>
              </w:rPr>
            </w:pPr>
            <w:r>
              <w:rPr>
                <w:rFonts w:ascii="Arial" w:cs="Arial" w:eastAsia="Arial" w:hAnsi="Arial"/>
                <w:sz w:val="18"/>
                <w:szCs w:val="18"/>
                <w:color w:val="auto"/>
              </w:rPr>
              <w:t>Non Operating equity method (gain) loss in associates</w:t>
            </w:r>
            <w:r>
              <w:rPr>
                <w:rFonts w:ascii="Arial" w:cs="Arial" w:eastAsia="Arial" w:hAnsi="Arial"/>
                <w:sz w:val="29"/>
                <w:szCs w:val="29"/>
                <w:color w:val="auto"/>
                <w:vertAlign w:val="superscript"/>
              </w:rPr>
              <w:t>(7)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6,840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702</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583</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 net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6,258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80"/>
              <w:spacing w:after="0"/>
              <w:rPr>
                <w:sz w:val="20"/>
                <w:szCs w:val="20"/>
                <w:color w:val="auto"/>
              </w:rPr>
            </w:pPr>
            <w:r>
              <w:rPr>
                <w:rFonts w:ascii="Arial" w:cs="Arial" w:eastAsia="Arial" w:hAnsi="Arial"/>
                <w:sz w:val="18"/>
                <w:szCs w:val="18"/>
                <w:color w:val="auto"/>
              </w:rPr>
              <w:t>Foreign exchange loss (gain)</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(268)</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Loss (gain) on monetary position in inflationary</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subsidiaries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(2,163)</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480"/>
              <w:spacing w:after="0"/>
              <w:rPr>
                <w:sz w:val="20"/>
                <w:szCs w:val="20"/>
                <w:color w:val="auto"/>
              </w:rPr>
            </w:pPr>
            <w:r>
              <w:rPr>
                <w:rFonts w:ascii="Arial" w:cs="Arial" w:eastAsia="Arial" w:hAnsi="Arial"/>
                <w:sz w:val="18"/>
                <w:szCs w:val="18"/>
                <w:color w:val="auto"/>
              </w:rPr>
              <w:t>Market value (gain) loss on financial instruments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(556)</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3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financing result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4,837</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3,271</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before taxes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12,091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12,918</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2,671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Result from discontinued operations</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700</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8,894</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10,947</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Net income attributable to equity holders of the company</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8,201</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10,233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580" w:type="dxa"/>
            <w:vAlign w:val="bottom"/>
          </w:tcPr>
          <w:p>
            <w:pPr>
              <w:spacing w:after="0" w:line="250"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8"/>
                <w:szCs w:val="28"/>
                <w:color w:val="auto"/>
                <w:vertAlign w:val="superscript"/>
              </w:rPr>
              <w:t>(6)</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17,103</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16,830</w:t>
            </w: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6,178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6,647</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and other operating non-cash charges</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1,627</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2,795</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auto"/>
            </w:tcBorders>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Operating cash flow </w:t>
            </w:r>
            <w:r>
              <w:rPr>
                <w:rFonts w:ascii="Arial" w:cs="Arial" w:eastAsia="Arial" w:hAnsi="Arial"/>
                <w:sz w:val="28"/>
                <w:szCs w:val="28"/>
                <w:b w:val="1"/>
                <w:bCs w:val="1"/>
                <w:color w:val="auto"/>
                <w:vertAlign w:val="superscript"/>
              </w:rPr>
              <w:t>(6)(8)</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24,909</w:t>
            </w:r>
          </w:p>
        </w:tc>
        <w:tc>
          <w:tcPr>
            <w:tcW w:w="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26,272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CAPEX</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7,120</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8,485</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bl>
    <w:p>
      <w:pPr>
        <w:spacing w:after="0" w:line="160"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Except volume and average price per unit case figures.</w:t>
      </w:r>
    </w:p>
    <w:p>
      <w:pPr>
        <w:spacing w:after="0" w:line="42" w:lineRule="exact"/>
        <w:rPr>
          <w:rFonts w:ascii="Arial" w:cs="Arial" w:eastAsia="Arial" w:hAnsi="Arial"/>
          <w:sz w:val="26"/>
          <w:szCs w:val="26"/>
          <w:i w:val="1"/>
          <w:iCs w:val="1"/>
          <w:color w:val="auto"/>
          <w:vertAlign w:val="superscript"/>
        </w:rPr>
      </w:pPr>
    </w:p>
    <w:p>
      <w:pPr>
        <w:ind w:left="220" w:hanging="212"/>
        <w:spacing w:after="0" w:line="186" w:lineRule="auto"/>
        <w:tabs>
          <w:tab w:leader="none" w:pos="220" w:val="left"/>
        </w:tabs>
        <w:numPr>
          <w:ilvl w:val="0"/>
          <w:numId w:val="29"/>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2017 financial information is re-presented as if the Philippines had been discontinued from February 2017, date of the consolidation of said operation.</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9"/>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Sales volume and average price per unit case exclude beer results.</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9"/>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Please refer to page 17 for revenue breakdown.</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9"/>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Includes equity method in Jugos del Valle, Leao Alimentos, Estrella Azul, among others. For January '17 includes Coca-Cola FEMSA Philippines, Inc.</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9"/>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The operating income and operating cash flow lines are presented as non-gaap measures for the convenience of the reader.</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9"/>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Includes equity method in PIASA, IEQSA, Beta San Miguel, IMER and KSP Participacoes among others.</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29"/>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Operating cash flow = operating income + depreciation, amortization &amp; other operating non-cash charges.</w:t>
      </w:r>
    </w:p>
    <w:p>
      <w:pPr>
        <w:spacing w:after="0" w:line="42" w:lineRule="exact"/>
        <w:rPr>
          <w:rFonts w:ascii="Arial" w:cs="Arial" w:eastAsia="Arial" w:hAnsi="Arial"/>
          <w:sz w:val="24"/>
          <w:szCs w:val="24"/>
          <w:i w:val="1"/>
          <w:iCs w:val="1"/>
          <w:color w:val="auto"/>
          <w:vertAlign w:val="superscript"/>
        </w:rPr>
      </w:pPr>
    </w:p>
    <w:p>
      <w:pPr>
        <w:ind w:right="520" w:firstLine="8"/>
        <w:spacing w:after="0" w:line="219" w:lineRule="auto"/>
        <w:tabs>
          <w:tab w:leader="none" w:pos="212" w:val="left"/>
        </w:tabs>
        <w:numPr>
          <w:ilvl w:val="0"/>
          <w:numId w:val="29"/>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Please refer to page 9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14"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28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Mexico &amp; Central America Division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Expressed in millions of Mexican pesos</w:t>
      </w:r>
      <w:r>
        <w:rPr>
          <w:rFonts w:ascii="Arial" w:cs="Arial" w:eastAsia="Arial" w:hAnsi="Arial"/>
          <w:sz w:val="30"/>
          <w:szCs w:val="30"/>
          <w:color w:val="auto"/>
          <w:vertAlign w:val="superscript"/>
        </w:rPr>
        <w:t>(1)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Quarterly information</w:t>
            </w:r>
          </w:p>
        </w:tc>
        <w:tc>
          <w:tcPr>
            <w:tcW w:w="1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vMerge w:val="restart"/>
          </w:tcPr>
          <w:p>
            <w:pPr>
              <w:jc w:val="right"/>
              <w:ind w:right="570"/>
              <w:spacing w:after="0"/>
              <w:rPr>
                <w:sz w:val="20"/>
                <w:szCs w:val="20"/>
                <w:color w:val="auto"/>
              </w:rPr>
            </w:pPr>
            <w:r>
              <w:rPr>
                <w:rFonts w:ascii="Arial" w:cs="Arial" w:eastAsia="Arial" w:hAnsi="Arial"/>
                <w:sz w:val="18"/>
                <w:szCs w:val="18"/>
                <w:b w:val="1"/>
                <w:bCs w:val="1"/>
                <w:color w:val="auto"/>
              </w:rPr>
              <w:t>D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line="184" w:lineRule="exact"/>
              <w:rPr>
                <w:sz w:val="20"/>
                <w:szCs w:val="20"/>
                <w:color w:val="auto"/>
              </w:rPr>
            </w:pPr>
            <w:r>
              <w:rPr>
                <w:rFonts w:ascii="Arial" w:cs="Arial" w:eastAsia="Arial" w:hAnsi="Arial"/>
                <w:sz w:val="18"/>
                <w:szCs w:val="18"/>
                <w:b w:val="1"/>
                <w:bCs w:val="1"/>
                <w:color w:val="auto"/>
              </w:rPr>
              <w:t>D %</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3Q 18</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 Rev</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3Q 17</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 Rev</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Reported</w:t>
            </w:r>
          </w:p>
        </w:tc>
        <w:tc>
          <w:tcPr>
            <w:tcW w:w="1440" w:type="dxa"/>
            <w:vAlign w:val="bottom"/>
          </w:tcPr>
          <w:p>
            <w:pPr>
              <w:jc w:val="right"/>
              <w:ind w:right="150"/>
              <w:spacing w:after="0" w:line="269" w:lineRule="exact"/>
              <w:rPr>
                <w:sz w:val="20"/>
                <w:szCs w:val="20"/>
                <w:color w:val="auto"/>
              </w:rPr>
            </w:pPr>
            <w:r>
              <w:rPr>
                <w:rFonts w:ascii="Arial" w:cs="Arial" w:eastAsia="Arial" w:hAnsi="Arial"/>
                <w:sz w:val="18"/>
                <w:szCs w:val="18"/>
                <w:b w:val="1"/>
                <w:bCs w:val="1"/>
                <w:color w:val="auto"/>
                <w:w w:val="91"/>
              </w:rPr>
              <w:t>Comparable</w:t>
            </w:r>
            <w:r>
              <w:rPr>
                <w:rFonts w:ascii="Arial" w:cs="Arial" w:eastAsia="Arial" w:hAnsi="Arial"/>
                <w:sz w:val="30"/>
                <w:szCs w:val="30"/>
                <w:b w:val="1"/>
                <w:bCs w:val="1"/>
                <w:color w:val="auto"/>
                <w:w w:val="91"/>
                <w:vertAlign w:val="superscript"/>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Transactions (million transactions)</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2,953.8</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2,789.9</w:t>
            </w: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Volume (million unit cases)</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534.1</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506.1</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price per unit case</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48.78</w:t>
            </w: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45.89</w:t>
            </w: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revenues</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26,056</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23,223</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revenues</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Pr>
          <w:p>
            <w:pPr>
              <w:spacing w:after="0" w:line="250" w:lineRule="exact"/>
              <w:rPr>
                <w:sz w:val="20"/>
                <w:szCs w:val="20"/>
                <w:color w:val="auto"/>
              </w:rPr>
            </w:pPr>
            <w:r>
              <w:rPr>
                <w:rFonts w:ascii="Arial" w:cs="Arial" w:eastAsia="Arial" w:hAnsi="Arial"/>
                <w:sz w:val="17"/>
                <w:szCs w:val="17"/>
                <w:b w:val="1"/>
                <w:bCs w:val="1"/>
                <w:color w:val="auto"/>
              </w:rPr>
              <w:t xml:space="preserve">Total revenues </w:t>
            </w:r>
            <w:r>
              <w:rPr>
                <w:rFonts w:ascii="Arial" w:cs="Arial" w:eastAsia="Arial" w:hAnsi="Arial"/>
                <w:sz w:val="28"/>
                <w:szCs w:val="28"/>
                <w:b w:val="1"/>
                <w:bCs w:val="1"/>
                <w:color w:val="auto"/>
                <w:vertAlign w:val="superscript"/>
              </w:rPr>
              <w:t>(2)</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26,069</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23,239</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13,503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11,942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12,566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11,297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8,748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7,652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3"/>
              </w:rPr>
              <w:t>Operating equity method (gain) loss in associates</w:t>
            </w:r>
          </w:p>
        </w:tc>
        <w:tc>
          <w:tcPr>
            <w:tcW w:w="12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(3)</w:t>
            </w: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auto"/>
            </w:tcBorders>
          </w:tcPr>
          <w:p>
            <w:pPr>
              <w:spacing w:after="0" w:line="251" w:lineRule="exact"/>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29"/>
                <w:szCs w:val="29"/>
                <w:b w:val="1"/>
                <w:bCs w:val="1"/>
                <w:color w:val="auto"/>
                <w:vertAlign w:val="superscript"/>
              </w:rPr>
              <w:t>(4)</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3,750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3,540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Depreciation, amortization &amp; other operating</w:t>
            </w:r>
          </w:p>
        </w:tc>
        <w:tc>
          <w:tcPr>
            <w:tcW w:w="1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1,653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1,475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auto"/>
            </w:tcBorders>
          </w:tcPr>
          <w:p>
            <w:pPr>
              <w:spacing w:after="0" w:line="251" w:lineRule="exact"/>
              <w:rPr>
                <w:sz w:val="20"/>
                <w:szCs w:val="20"/>
                <w:color w:val="auto"/>
              </w:rPr>
            </w:pPr>
            <w:r>
              <w:rPr>
                <w:rFonts w:ascii="Arial" w:cs="Arial" w:eastAsia="Arial" w:hAnsi="Arial"/>
                <w:sz w:val="18"/>
                <w:szCs w:val="18"/>
                <w:b w:val="1"/>
                <w:bCs w:val="1"/>
                <w:color w:val="auto"/>
              </w:rPr>
              <w:t xml:space="preserve">Operating cash flow </w:t>
            </w:r>
            <w:r>
              <w:rPr>
                <w:rFonts w:ascii="Arial" w:cs="Arial" w:eastAsia="Arial" w:hAnsi="Arial"/>
                <w:sz w:val="29"/>
                <w:szCs w:val="29"/>
                <w:b w:val="1"/>
                <w:bCs w:val="1"/>
                <w:color w:val="auto"/>
                <w:vertAlign w:val="superscript"/>
              </w:rPr>
              <w:t>(4)(5)</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5,402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5,015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Accumulated information</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D %</w:t>
            </w:r>
          </w:p>
        </w:tc>
        <w:tc>
          <w:tcPr>
            <w:tcW w:w="144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b w:val="1"/>
                <w:bCs w:val="1"/>
                <w:color w:val="auto"/>
              </w:rPr>
              <w:t>D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YTD 2018</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 Rev</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YTD 2017</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 Rev</w:t>
            </w:r>
          </w:p>
        </w:tc>
        <w:tc>
          <w:tcPr>
            <w:tcW w:w="13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1"/>
              </w:rPr>
              <w:t>Reported</w:t>
            </w:r>
          </w:p>
        </w:tc>
        <w:tc>
          <w:tcPr>
            <w:tcW w:w="1440" w:type="dxa"/>
            <w:vAlign w:val="bottom"/>
            <w:shd w:val="clear" w:color="auto" w:fill="CCEEFF"/>
          </w:tcPr>
          <w:p>
            <w:pPr>
              <w:jc w:val="right"/>
              <w:ind w:right="110"/>
              <w:spacing w:after="0" w:line="269" w:lineRule="exact"/>
              <w:rPr>
                <w:sz w:val="20"/>
                <w:szCs w:val="20"/>
                <w:color w:val="auto"/>
              </w:rPr>
            </w:pPr>
            <w:r>
              <w:rPr>
                <w:rFonts w:ascii="Arial" w:cs="Arial" w:eastAsia="Arial" w:hAnsi="Arial"/>
                <w:sz w:val="18"/>
                <w:szCs w:val="18"/>
                <w:b w:val="1"/>
                <w:bCs w:val="1"/>
                <w:color w:val="auto"/>
                <w:w w:val="94"/>
              </w:rPr>
              <w:t>Comparable</w:t>
            </w:r>
            <w:r>
              <w:rPr>
                <w:rFonts w:ascii="Arial" w:cs="Arial" w:eastAsia="Arial" w:hAnsi="Arial"/>
                <w:sz w:val="30"/>
                <w:szCs w:val="30"/>
                <w:b w:val="1"/>
                <w:bCs w:val="1"/>
                <w:color w:val="auto"/>
                <w:w w:val="94"/>
                <w:vertAlign w:val="superscript"/>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Transactions (million transactions)</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8,700.0</w:t>
            </w: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8,467.8</w:t>
            </w: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 (million unit cases)</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1,561.2</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1,522.8</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price per unit case</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47.85</w:t>
            </w: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45.45</w:t>
            </w: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74,708</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69,218</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revenues</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revenues </w:t>
            </w:r>
            <w:r>
              <w:rPr>
                <w:rFonts w:ascii="Arial" w:cs="Arial" w:eastAsia="Arial" w:hAnsi="Arial"/>
                <w:sz w:val="28"/>
                <w:szCs w:val="28"/>
                <w:b w:val="1"/>
                <w:bCs w:val="1"/>
                <w:color w:val="auto"/>
                <w:vertAlign w:val="superscript"/>
              </w:rPr>
              <w:t>(2)</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74,738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69,259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38,808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35,375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35,930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33,883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25,334</w:t>
            </w: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23,051</w:t>
            </w: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 net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line="206" w:lineRule="exact"/>
              <w:rPr>
                <w:sz w:val="20"/>
                <w:szCs w:val="20"/>
                <w:color w:val="auto"/>
              </w:rPr>
            </w:pPr>
            <w:r>
              <w:rPr>
                <w:rFonts w:ascii="Arial" w:cs="Arial" w:eastAsia="Arial" w:hAnsi="Arial"/>
                <w:sz w:val="18"/>
                <w:szCs w:val="18"/>
                <w:color w:val="auto"/>
                <w:w w:val="93"/>
              </w:rPr>
              <w:t>Operating equity method (gain) loss in associates</w:t>
            </w: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color w:val="auto"/>
              </w:rPr>
              <w:t>243</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7"/>
                <w:szCs w:val="17"/>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color w:val="auto"/>
              </w:rPr>
              <w:t>94</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Arial" w:cs="Arial" w:eastAsia="Arial" w:hAnsi="Arial"/>
                <w:sz w:val="15"/>
                <w:szCs w:val="15"/>
                <w:color w:val="auto"/>
              </w:rPr>
              <w:t>(3)</w:t>
            </w:r>
          </w:p>
        </w:tc>
        <w:tc>
          <w:tcPr>
            <w:tcW w:w="12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top w:val="single" w:sz="8" w:color="auto"/>
              <w:bottom w:val="single" w:sz="8" w:color="auto"/>
            </w:tcBorders>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29"/>
                <w:szCs w:val="29"/>
                <w:b w:val="1"/>
                <w:bCs w:val="1"/>
                <w:color w:val="auto"/>
                <w:vertAlign w:val="superscript"/>
              </w:rPr>
              <w:t>(4)</w:t>
            </w: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10,212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10,774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Depreciation, amortization &amp; other operating</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non-cash charges</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4,900</w:t>
            </w: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4,117</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top w:val="single" w:sz="8" w:color="auto"/>
              <w:bottom w:val="single" w:sz="8" w:color="auto"/>
            </w:tcBorders>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 xml:space="preserve">Operating cash flow </w:t>
            </w:r>
            <w:r>
              <w:rPr>
                <w:rFonts w:ascii="Arial" w:cs="Arial" w:eastAsia="Arial" w:hAnsi="Arial"/>
                <w:sz w:val="29"/>
                <w:szCs w:val="29"/>
                <w:b w:val="1"/>
                <w:bCs w:val="1"/>
                <w:color w:val="auto"/>
                <w:vertAlign w:val="superscript"/>
              </w:rPr>
              <w:t>(4)(5)</w:t>
            </w: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15,112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14,890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-3112135</wp:posOffset>
            </wp:positionV>
            <wp:extent cx="7246620" cy="909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spacing w:after="0" w:line="140"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Except volume and average price per unit case figures.</w:t>
      </w:r>
    </w:p>
    <w:p>
      <w:pPr>
        <w:spacing w:after="0" w:line="42" w:lineRule="exact"/>
        <w:rPr>
          <w:rFonts w:ascii="Arial" w:cs="Arial" w:eastAsia="Arial" w:hAnsi="Arial"/>
          <w:sz w:val="26"/>
          <w:szCs w:val="26"/>
          <w:i w:val="1"/>
          <w:iCs w:val="1"/>
          <w:color w:val="auto"/>
          <w:vertAlign w:val="superscript"/>
        </w:rPr>
      </w:pPr>
    </w:p>
    <w:p>
      <w:pPr>
        <w:ind w:left="220" w:hanging="212"/>
        <w:spacing w:after="0" w:line="186" w:lineRule="auto"/>
        <w:tabs>
          <w:tab w:leader="none" w:pos="220" w:val="left"/>
        </w:tabs>
        <w:numPr>
          <w:ilvl w:val="0"/>
          <w:numId w:val="30"/>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Please refer to pages 16 and 17 for revenue breakdown.</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30"/>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Includes equity method in Jugos del Valle, Estrella Azul, among others. For January '17 includes Coca-Cola FEMSA Philippines, Inc.</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30"/>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The operating income and operating cash flow lines are presented as non-gaap measures for the convenience of the reader.</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30"/>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Operating cash flow = operating income + depreciation, amortization &amp; other operating non-cash charges.</w:t>
      </w:r>
    </w:p>
    <w:p>
      <w:pPr>
        <w:spacing w:after="0" w:line="42" w:lineRule="exact"/>
        <w:rPr>
          <w:rFonts w:ascii="Arial" w:cs="Arial" w:eastAsia="Arial" w:hAnsi="Arial"/>
          <w:sz w:val="24"/>
          <w:szCs w:val="24"/>
          <w:i w:val="1"/>
          <w:iCs w:val="1"/>
          <w:color w:val="auto"/>
          <w:vertAlign w:val="superscript"/>
        </w:rPr>
      </w:pPr>
    </w:p>
    <w:p>
      <w:pPr>
        <w:ind w:right="520" w:firstLine="8"/>
        <w:spacing w:after="0" w:line="219" w:lineRule="auto"/>
        <w:tabs>
          <w:tab w:leader="none" w:pos="212" w:val="left"/>
        </w:tabs>
        <w:numPr>
          <w:ilvl w:val="0"/>
          <w:numId w:val="30"/>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Please refer to page 9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14"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29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South America Division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Expressed in millions of Mexican pesos</w:t>
      </w:r>
      <w:r>
        <w:rPr>
          <w:rFonts w:ascii="Arial" w:cs="Arial" w:eastAsia="Arial" w:hAnsi="Arial"/>
          <w:sz w:val="30"/>
          <w:szCs w:val="30"/>
          <w:color w:val="auto"/>
          <w:vertAlign w:val="superscript"/>
        </w:rPr>
        <w:t>(1)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Quarterly information</w:t>
            </w:r>
          </w:p>
        </w:tc>
        <w:tc>
          <w:tcPr>
            <w:tcW w:w="1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vMerge w:val="restart"/>
          </w:tcPr>
          <w:p>
            <w:pPr>
              <w:jc w:val="right"/>
              <w:ind w:right="570"/>
              <w:spacing w:after="0"/>
              <w:rPr>
                <w:sz w:val="20"/>
                <w:szCs w:val="20"/>
                <w:color w:val="auto"/>
              </w:rPr>
            </w:pPr>
            <w:r>
              <w:rPr>
                <w:rFonts w:ascii="Arial" w:cs="Arial" w:eastAsia="Arial" w:hAnsi="Arial"/>
                <w:sz w:val="18"/>
                <w:szCs w:val="18"/>
                <w:b w:val="1"/>
                <w:bCs w:val="1"/>
                <w:color w:val="auto"/>
              </w:rPr>
              <w:t>D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line="184" w:lineRule="exact"/>
              <w:rPr>
                <w:sz w:val="20"/>
                <w:szCs w:val="20"/>
                <w:color w:val="auto"/>
              </w:rPr>
            </w:pPr>
            <w:r>
              <w:rPr>
                <w:rFonts w:ascii="Arial" w:cs="Arial" w:eastAsia="Arial" w:hAnsi="Arial"/>
                <w:sz w:val="18"/>
                <w:szCs w:val="18"/>
                <w:b w:val="1"/>
                <w:bCs w:val="1"/>
                <w:color w:val="auto"/>
              </w:rPr>
              <w:t>D %</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3Q 18</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 Rev</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3Q 17</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 Rev</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Reported</w:t>
            </w:r>
          </w:p>
        </w:tc>
        <w:tc>
          <w:tcPr>
            <w:tcW w:w="1440" w:type="dxa"/>
            <w:vAlign w:val="bottom"/>
          </w:tcPr>
          <w:p>
            <w:pPr>
              <w:jc w:val="right"/>
              <w:ind w:right="150"/>
              <w:spacing w:after="0" w:line="269" w:lineRule="exact"/>
              <w:rPr>
                <w:sz w:val="20"/>
                <w:szCs w:val="20"/>
                <w:color w:val="auto"/>
              </w:rPr>
            </w:pPr>
            <w:r>
              <w:rPr>
                <w:rFonts w:ascii="Arial" w:cs="Arial" w:eastAsia="Arial" w:hAnsi="Arial"/>
                <w:sz w:val="18"/>
                <w:szCs w:val="18"/>
                <w:b w:val="1"/>
                <w:bCs w:val="1"/>
                <w:color w:val="auto"/>
                <w:w w:val="91"/>
              </w:rPr>
              <w:t>Comparable</w:t>
            </w:r>
            <w:r>
              <w:rPr>
                <w:rFonts w:ascii="Arial" w:cs="Arial" w:eastAsia="Arial" w:hAnsi="Arial"/>
                <w:sz w:val="30"/>
                <w:szCs w:val="30"/>
                <w:b w:val="1"/>
                <w:bCs w:val="1"/>
                <w:color w:val="auto"/>
                <w:w w:val="91"/>
                <w:vertAlign w:val="superscript"/>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Transactions (million transactions)</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2,019.3</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2,016.7</w:t>
            </w: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Volume (million unit cases) </w:t>
            </w:r>
            <w:r>
              <w:rPr>
                <w:rFonts w:ascii="Arial" w:cs="Arial" w:eastAsia="Arial" w:hAnsi="Arial"/>
                <w:sz w:val="29"/>
                <w:szCs w:val="29"/>
                <w:b w:val="1"/>
                <w:bCs w:val="1"/>
                <w:color w:val="auto"/>
                <w:vertAlign w:val="superscript"/>
              </w:rPr>
              <w:t>(2)</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305.1</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316.1</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tcBorders>
              <w:bottom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price per unit case </w:t>
            </w:r>
            <w:r>
              <w:rPr>
                <w:rFonts w:ascii="Arial" w:cs="Arial" w:eastAsia="Arial" w:hAnsi="Arial"/>
                <w:sz w:val="29"/>
                <w:szCs w:val="29"/>
                <w:color w:val="auto"/>
                <w:vertAlign w:val="superscript"/>
              </w:rPr>
              <w:t>(2)</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49.25</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58.24</w:t>
            </w: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revenues</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17,955</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21,129</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revenues</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124</w:t>
            </w: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Pr>
          <w:p>
            <w:pPr>
              <w:spacing w:after="0" w:line="250" w:lineRule="exact"/>
              <w:rPr>
                <w:sz w:val="20"/>
                <w:szCs w:val="20"/>
                <w:color w:val="auto"/>
              </w:rPr>
            </w:pPr>
            <w:r>
              <w:rPr>
                <w:rFonts w:ascii="Arial" w:cs="Arial" w:eastAsia="Arial" w:hAnsi="Arial"/>
                <w:sz w:val="17"/>
                <w:szCs w:val="17"/>
                <w:b w:val="1"/>
                <w:bCs w:val="1"/>
                <w:color w:val="auto"/>
              </w:rPr>
              <w:t xml:space="preserve">Total revenues </w:t>
            </w:r>
            <w:r>
              <w:rPr>
                <w:rFonts w:ascii="Arial" w:cs="Arial" w:eastAsia="Arial" w:hAnsi="Arial"/>
                <w:sz w:val="28"/>
                <w:szCs w:val="28"/>
                <w:b w:val="1"/>
                <w:bCs w:val="1"/>
                <w:color w:val="auto"/>
                <w:vertAlign w:val="superscript"/>
              </w:rPr>
              <w:t>(3)</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18,079</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21,226</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10,408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12,416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7,671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8,810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5,507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6,883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167</w:t>
            </w: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3"/>
              </w:rPr>
              <w:t>Operating equity method (gain) loss in associates</w:t>
            </w:r>
          </w:p>
        </w:tc>
        <w:tc>
          <w:tcPr>
            <w:tcW w:w="12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(4)</w:t>
            </w: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auto"/>
            </w:tcBorders>
          </w:tcPr>
          <w:p>
            <w:pPr>
              <w:spacing w:after="0" w:line="251" w:lineRule="exact"/>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29"/>
                <w:szCs w:val="29"/>
                <w:b w:val="1"/>
                <w:bCs w:val="1"/>
                <w:color w:val="auto"/>
                <w:vertAlign w:val="superscript"/>
              </w:rPr>
              <w:t>(5)</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1,801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Depreciation, amortization &amp; other operating</w:t>
            </w:r>
          </w:p>
        </w:tc>
        <w:tc>
          <w:tcPr>
            <w:tcW w:w="1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1,062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1,779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auto"/>
            </w:tcBorders>
          </w:tcPr>
          <w:p>
            <w:pPr>
              <w:spacing w:after="0" w:line="251" w:lineRule="exact"/>
              <w:rPr>
                <w:sz w:val="20"/>
                <w:szCs w:val="20"/>
                <w:color w:val="auto"/>
              </w:rPr>
            </w:pPr>
            <w:r>
              <w:rPr>
                <w:rFonts w:ascii="Arial" w:cs="Arial" w:eastAsia="Arial" w:hAnsi="Arial"/>
                <w:sz w:val="18"/>
                <w:szCs w:val="18"/>
                <w:b w:val="1"/>
                <w:bCs w:val="1"/>
                <w:color w:val="auto"/>
              </w:rPr>
              <w:t xml:space="preserve">Operating cash flow </w:t>
            </w:r>
            <w:r>
              <w:rPr>
                <w:rFonts w:ascii="Arial" w:cs="Arial" w:eastAsia="Arial" w:hAnsi="Arial"/>
                <w:sz w:val="29"/>
                <w:szCs w:val="29"/>
                <w:b w:val="1"/>
                <w:bCs w:val="1"/>
                <w:color w:val="auto"/>
                <w:vertAlign w:val="superscript"/>
              </w:rPr>
              <w:t>(5)(6)</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3,090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3,580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Accumulated information</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D %</w:t>
            </w:r>
          </w:p>
        </w:tc>
        <w:tc>
          <w:tcPr>
            <w:tcW w:w="144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b w:val="1"/>
                <w:bCs w:val="1"/>
                <w:color w:val="auto"/>
              </w:rPr>
              <w:t>D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YTD 2018</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 Rev</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YTD 2017</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 Rev</w:t>
            </w:r>
          </w:p>
        </w:tc>
        <w:tc>
          <w:tcPr>
            <w:tcW w:w="13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1"/>
              </w:rPr>
              <w:t>Reported</w:t>
            </w:r>
          </w:p>
        </w:tc>
        <w:tc>
          <w:tcPr>
            <w:tcW w:w="1440" w:type="dxa"/>
            <w:vAlign w:val="bottom"/>
            <w:shd w:val="clear" w:color="auto" w:fill="CCEEFF"/>
          </w:tcPr>
          <w:p>
            <w:pPr>
              <w:jc w:val="right"/>
              <w:ind w:right="110"/>
              <w:spacing w:after="0" w:line="269" w:lineRule="exact"/>
              <w:rPr>
                <w:sz w:val="20"/>
                <w:szCs w:val="20"/>
                <w:color w:val="auto"/>
              </w:rPr>
            </w:pPr>
            <w:r>
              <w:rPr>
                <w:rFonts w:ascii="Arial" w:cs="Arial" w:eastAsia="Arial" w:hAnsi="Arial"/>
                <w:sz w:val="18"/>
                <w:szCs w:val="18"/>
                <w:b w:val="1"/>
                <w:bCs w:val="1"/>
                <w:color w:val="auto"/>
                <w:w w:val="94"/>
              </w:rPr>
              <w:t>Comparable</w:t>
            </w:r>
            <w:r>
              <w:rPr>
                <w:rFonts w:ascii="Arial" w:cs="Arial" w:eastAsia="Arial" w:hAnsi="Arial"/>
                <w:sz w:val="30"/>
                <w:szCs w:val="30"/>
                <w:b w:val="1"/>
                <w:bCs w:val="1"/>
                <w:color w:val="auto"/>
                <w:w w:val="94"/>
                <w:vertAlign w:val="superscript"/>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Transactions (million transactions)</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5,838.9</w:t>
            </w: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6,005.0</w:t>
            </w: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Volume (million unit cases) </w:t>
            </w:r>
            <w:r>
              <w:rPr>
                <w:rFonts w:ascii="Arial" w:cs="Arial" w:eastAsia="Arial" w:hAnsi="Arial"/>
                <w:sz w:val="29"/>
                <w:szCs w:val="29"/>
                <w:b w:val="1"/>
                <w:bCs w:val="1"/>
                <w:color w:val="auto"/>
                <w:vertAlign w:val="superscript"/>
              </w:rPr>
              <w:t>(2)</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888.9</w:t>
            </w: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922.1</w:t>
            </w: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tcBorders>
              <w:bottom w:val="single" w:sz="8" w:color="auto"/>
            </w:tcBorders>
          </w:tcPr>
          <w:p>
            <w:pPr>
              <w:spacing w:after="0" w:line="256" w:lineRule="exact"/>
              <w:rPr>
                <w:sz w:val="20"/>
                <w:szCs w:val="20"/>
                <w:color w:val="auto"/>
              </w:rPr>
            </w:pPr>
            <w:r>
              <w:rPr>
                <w:rFonts w:ascii="Arial" w:cs="Arial" w:eastAsia="Arial" w:hAnsi="Arial"/>
                <w:sz w:val="18"/>
                <w:szCs w:val="18"/>
                <w:color w:val="auto"/>
              </w:rPr>
              <w:t xml:space="preserve">Average price per unit case </w:t>
            </w:r>
            <w:r>
              <w:rPr>
                <w:rFonts w:ascii="Arial" w:cs="Arial" w:eastAsia="Arial" w:hAnsi="Arial"/>
                <w:sz w:val="29"/>
                <w:szCs w:val="29"/>
                <w:color w:val="auto"/>
                <w:vertAlign w:val="superscript"/>
              </w:rPr>
              <w:t>(2)</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51.96</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63.84</w:t>
            </w: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55,544</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67,557</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revenues</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295</w:t>
            </w: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226</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revenues </w:t>
            </w:r>
            <w:r>
              <w:rPr>
                <w:rFonts w:ascii="Arial" w:cs="Arial" w:eastAsia="Arial" w:hAnsi="Arial"/>
                <w:sz w:val="28"/>
                <w:szCs w:val="28"/>
                <w:b w:val="1"/>
                <w:bCs w:val="1"/>
                <w:color w:val="auto"/>
                <w:vertAlign w:val="superscript"/>
              </w:rPr>
              <w:t>(3)</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55,839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67,783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31,619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40,217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24,220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27,566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16,891</w:t>
            </w:r>
          </w:p>
        </w:tc>
        <w:tc>
          <w:tcPr>
            <w:tcW w:w="11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21,644</w:t>
            </w:r>
          </w:p>
        </w:tc>
        <w:tc>
          <w:tcPr>
            <w:tcW w:w="11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 net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line="206" w:lineRule="exact"/>
              <w:rPr>
                <w:sz w:val="20"/>
                <w:szCs w:val="20"/>
                <w:color w:val="auto"/>
              </w:rPr>
            </w:pPr>
            <w:r>
              <w:rPr>
                <w:rFonts w:ascii="Arial" w:cs="Arial" w:eastAsia="Arial" w:hAnsi="Arial"/>
                <w:sz w:val="18"/>
                <w:szCs w:val="18"/>
                <w:color w:val="auto"/>
                <w:w w:val="93"/>
              </w:rPr>
              <w:t>Operating equity method (gain) loss in associates</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color w:val="auto"/>
              </w:rPr>
              <w:t>(42)</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7"/>
                <w:szCs w:val="17"/>
                <w:color w:val="auto"/>
              </w:rPr>
            </w:pP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color w:val="auto"/>
              </w:rPr>
              <w:t>(99)</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Arial" w:cs="Arial" w:eastAsia="Arial" w:hAnsi="Arial"/>
                <w:sz w:val="15"/>
                <w:szCs w:val="15"/>
                <w:color w:val="auto"/>
              </w:rPr>
              <w:t>(4)</w:t>
            </w:r>
          </w:p>
        </w:tc>
        <w:tc>
          <w:tcPr>
            <w:tcW w:w="12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top w:val="single" w:sz="8" w:color="auto"/>
              <w:bottom w:val="single" w:sz="8" w:color="auto"/>
            </w:tcBorders>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29"/>
                <w:szCs w:val="29"/>
                <w:b w:val="1"/>
                <w:bCs w:val="1"/>
                <w:color w:val="auto"/>
                <w:vertAlign w:val="superscript"/>
              </w:rPr>
              <w:t>(5)</w:t>
            </w: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6,891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6,057</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Depreciation, amortization &amp; other operating</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non-cash charges</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2,906</w:t>
            </w: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5,325</w:t>
            </w: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top w:val="single" w:sz="8" w:color="auto"/>
              <w:bottom w:val="single" w:sz="8" w:color="auto"/>
            </w:tcBorders>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 xml:space="preserve">Operating cash flow </w:t>
            </w:r>
            <w:r>
              <w:rPr>
                <w:rFonts w:ascii="Arial" w:cs="Arial" w:eastAsia="Arial" w:hAnsi="Arial"/>
                <w:sz w:val="29"/>
                <w:szCs w:val="29"/>
                <w:b w:val="1"/>
                <w:bCs w:val="1"/>
                <w:color w:val="auto"/>
                <w:vertAlign w:val="superscript"/>
              </w:rPr>
              <w:t>(5)(6)</w:t>
            </w: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9,797</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11,382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2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-3155315</wp:posOffset>
            </wp:positionV>
            <wp:extent cx="7246620" cy="909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spacing w:after="0" w:line="154"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Except volume and average price per unit case figures.</w:t>
      </w:r>
    </w:p>
    <w:p>
      <w:pPr>
        <w:spacing w:after="0" w:line="42" w:lineRule="exact"/>
        <w:rPr>
          <w:rFonts w:ascii="Arial" w:cs="Arial" w:eastAsia="Arial" w:hAnsi="Arial"/>
          <w:sz w:val="26"/>
          <w:szCs w:val="26"/>
          <w:i w:val="1"/>
          <w:iCs w:val="1"/>
          <w:color w:val="auto"/>
          <w:vertAlign w:val="superscript"/>
        </w:rPr>
      </w:pPr>
    </w:p>
    <w:p>
      <w:pPr>
        <w:ind w:left="220" w:hanging="212"/>
        <w:spacing w:after="0" w:line="186" w:lineRule="auto"/>
        <w:tabs>
          <w:tab w:leader="none" w:pos="220" w:val="left"/>
        </w:tabs>
        <w:numPr>
          <w:ilvl w:val="0"/>
          <w:numId w:val="31"/>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Sales volume and average price per unit case exclude beer results.</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i w:val="1"/>
          <w:iCs w:val="1"/>
          <w:color w:val="auto"/>
        </w:rPr>
        <w:t>Please refer to pages 16 and 17 for revenue breakdown.</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31"/>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Includes equity method in Leao Alimentos, Verde Campo, among others.</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31"/>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The operating income and operating cash flow lines are presented as non-gaap measures for the convenience of the reader.</w:t>
      </w:r>
    </w:p>
    <w:p>
      <w:pPr>
        <w:spacing w:after="0" w:line="42" w:lineRule="exact"/>
        <w:rPr>
          <w:rFonts w:ascii="Arial" w:cs="Arial" w:eastAsia="Arial" w:hAnsi="Arial"/>
          <w:sz w:val="24"/>
          <w:szCs w:val="24"/>
          <w:i w:val="1"/>
          <w:iCs w:val="1"/>
          <w:color w:val="auto"/>
          <w:vertAlign w:val="superscript"/>
        </w:rPr>
      </w:pPr>
    </w:p>
    <w:p>
      <w:pPr>
        <w:ind w:left="220" w:hanging="212"/>
        <w:spacing w:after="0" w:line="186" w:lineRule="auto"/>
        <w:tabs>
          <w:tab w:leader="none" w:pos="220" w:val="left"/>
        </w:tabs>
        <w:numPr>
          <w:ilvl w:val="0"/>
          <w:numId w:val="31"/>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Operating cash flow = operating income + depreciation, amortization &amp; other operating non-cash charges.</w:t>
      </w:r>
    </w:p>
    <w:p>
      <w:pPr>
        <w:spacing w:after="0" w:line="42" w:lineRule="exact"/>
        <w:rPr>
          <w:rFonts w:ascii="Arial" w:cs="Arial" w:eastAsia="Arial" w:hAnsi="Arial"/>
          <w:sz w:val="24"/>
          <w:szCs w:val="24"/>
          <w:i w:val="1"/>
          <w:iCs w:val="1"/>
          <w:color w:val="auto"/>
          <w:vertAlign w:val="superscript"/>
        </w:rPr>
      </w:pPr>
    </w:p>
    <w:p>
      <w:pPr>
        <w:ind w:firstLine="8"/>
        <w:spacing w:after="0"/>
        <w:tabs>
          <w:tab w:leader="none" w:pos="226" w:val="left"/>
        </w:tabs>
        <w:numPr>
          <w:ilvl w:val="0"/>
          <w:numId w:val="31"/>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Please refer to page 9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345"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Consolidated Balance Sheet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Expressed in millions of Mexican pesos.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5"/>
              </w:rPr>
              <w:t>Sep-18</w:t>
            </w:r>
            <w:r>
              <w:rPr>
                <w:rFonts w:ascii="Arial" w:cs="Arial" w:eastAsia="Arial" w:hAnsi="Arial"/>
                <w:sz w:val="30"/>
                <w:szCs w:val="30"/>
                <w:b w:val="1"/>
                <w:bCs w:val="1"/>
                <w:color w:val="auto"/>
                <w:w w:val="95"/>
                <w:vertAlign w:val="superscript"/>
              </w:rPr>
              <w:t>(1)</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5"/>
              </w:rPr>
              <w:t>Dec-17</w:t>
            </w:r>
            <w:r>
              <w:rPr>
                <w:rFonts w:ascii="Arial" w:cs="Arial" w:eastAsia="Arial" w:hAnsi="Arial"/>
                <w:sz w:val="30"/>
                <w:szCs w:val="30"/>
                <w:b w:val="1"/>
                <w:bCs w:val="1"/>
                <w:color w:val="auto"/>
                <w:w w:val="95"/>
                <w:vertAlign w:val="superscript"/>
              </w:rPr>
              <w:t>(2)</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254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Ps.</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18,475</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Ps.</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18,767</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 accounts receivable</w:t>
            </w:r>
          </w:p>
        </w:tc>
        <w:tc>
          <w:tcPr>
            <w:tcW w:w="25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12,605</w:t>
            </w:r>
          </w:p>
        </w:tc>
        <w:tc>
          <w:tcPr>
            <w:tcW w:w="4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17,576</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10,299</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11,364</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Assets available for sale</w:t>
            </w:r>
          </w:p>
        </w:tc>
        <w:tc>
          <w:tcPr>
            <w:tcW w:w="25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28,571</w:t>
            </w:r>
          </w:p>
        </w:tc>
        <w:tc>
          <w:tcPr>
            <w:tcW w:w="4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8,936</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7,950</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assets</w:t>
            </w:r>
          </w:p>
        </w:tc>
        <w:tc>
          <w:tcPr>
            <w:tcW w:w="2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78,886</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55,657</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100,436</w:t>
            </w:r>
          </w:p>
        </w:tc>
        <w:tc>
          <w:tcPr>
            <w:tcW w:w="4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121,968</w:t>
            </w:r>
          </w:p>
        </w:tc>
      </w:tr>
      <w:tr>
        <w:trPr>
          <w:trHeight w:val="216"/>
        </w:trPr>
        <w:tc>
          <w:tcPr>
            <w:tcW w:w="20" w:type="dxa"/>
            <w:vAlign w:val="bottom"/>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(42,106)</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(46,141)</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property, plant and equipment, net</w:t>
            </w:r>
          </w:p>
        </w:tc>
        <w:tc>
          <w:tcPr>
            <w:tcW w:w="2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58,330</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75,827</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shares</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10,841</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12,540</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Intangibles assets and other assets</w:t>
            </w:r>
          </w:p>
        </w:tc>
        <w:tc>
          <w:tcPr>
            <w:tcW w:w="25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113,513</w:t>
            </w:r>
          </w:p>
        </w:tc>
        <w:tc>
          <w:tcPr>
            <w:tcW w:w="4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124,243</w:t>
            </w:r>
          </w:p>
        </w:tc>
      </w:tr>
      <w:tr>
        <w:trPr>
          <w:trHeight w:val="216"/>
        </w:trPr>
        <w:tc>
          <w:tcPr>
            <w:tcW w:w="20" w:type="dxa"/>
            <w:vAlign w:val="bottom"/>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17,234</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17,410</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54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Ps.</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278,804</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285,677</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Equity</w:t>
            </w:r>
          </w:p>
        </w:tc>
        <w:tc>
          <w:tcPr>
            <w:tcW w:w="2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Short-term bank loans and notes payable</w:t>
            </w:r>
          </w:p>
        </w:tc>
        <w:tc>
          <w:tcPr>
            <w:tcW w:w="2540" w:type="dxa"/>
            <w:vAlign w:val="bottom"/>
          </w:tcPr>
          <w:p>
            <w:pPr>
              <w:ind w:left="2220"/>
              <w:spacing w:after="0"/>
              <w:rPr>
                <w:sz w:val="20"/>
                <w:szCs w:val="20"/>
                <w:color w:val="auto"/>
              </w:rPr>
            </w:pPr>
            <w:r>
              <w:rPr>
                <w:rFonts w:ascii="Arial" w:cs="Arial" w:eastAsia="Arial" w:hAnsi="Arial"/>
                <w:sz w:val="18"/>
                <w:szCs w:val="18"/>
                <w:color w:val="auto"/>
              </w:rPr>
              <w:t>Ps.</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10,121</w:t>
            </w:r>
          </w:p>
        </w:tc>
        <w:tc>
          <w:tcPr>
            <w:tcW w:w="400" w:type="dxa"/>
            <w:vAlign w:val="bottom"/>
          </w:tcPr>
          <w:p>
            <w:pPr>
              <w:ind w:left="80"/>
              <w:spacing w:after="0"/>
              <w:rPr>
                <w:sz w:val="20"/>
                <w:szCs w:val="20"/>
                <w:color w:val="auto"/>
              </w:rPr>
            </w:pPr>
            <w:r>
              <w:rPr>
                <w:rFonts w:ascii="Arial" w:cs="Arial" w:eastAsia="Arial" w:hAnsi="Arial"/>
                <w:sz w:val="18"/>
                <w:szCs w:val="18"/>
                <w:color w:val="auto"/>
              </w:rPr>
              <w:t>Ps.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12,171</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Liabilities available for sale</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8,515</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Suppliers</w:t>
            </w:r>
          </w:p>
        </w:tc>
        <w:tc>
          <w:tcPr>
            <w:tcW w:w="25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15,609</w:t>
            </w:r>
          </w:p>
        </w:tc>
        <w:tc>
          <w:tcPr>
            <w:tcW w:w="4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19,956</w:t>
            </w:r>
          </w:p>
        </w:tc>
      </w:tr>
      <w:tr>
        <w:trPr>
          <w:trHeight w:val="216"/>
        </w:trPr>
        <w:tc>
          <w:tcPr>
            <w:tcW w:w="20" w:type="dxa"/>
            <w:vAlign w:val="bottom"/>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17,764</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23,467</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liabilities</w:t>
            </w:r>
          </w:p>
        </w:tc>
        <w:tc>
          <w:tcPr>
            <w:tcW w:w="2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52,009</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55,595</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Long-term bank loans and notes payable</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79,840</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71,189</w:t>
            </w:r>
          </w:p>
        </w:tc>
      </w:tr>
      <w:tr>
        <w:trPr>
          <w:trHeight w:val="216"/>
        </w:trPr>
        <w:tc>
          <w:tcPr>
            <w:tcW w:w="20" w:type="dxa"/>
            <w:vAlign w:val="bottom"/>
          </w:tcPr>
          <w:p>
            <w:pPr>
              <w:spacing w:after="0"/>
              <w:rPr>
                <w:sz w:val="18"/>
                <w:szCs w:val="18"/>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2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15,835</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18,184</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147,685</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144,968</w:t>
            </w: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15,929</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18,141</w:t>
            </w:r>
          </w:p>
        </w:tc>
      </w:tr>
      <w:tr>
        <w:trPr>
          <w:trHeight w:val="216"/>
        </w:trPr>
        <w:tc>
          <w:tcPr>
            <w:tcW w:w="20" w:type="dxa"/>
            <w:vAlign w:val="bottom"/>
          </w:tcPr>
          <w:p>
            <w:pPr>
              <w:spacing w:after="0"/>
              <w:rPr>
                <w:sz w:val="18"/>
                <w:szCs w:val="18"/>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controlling interest</w:t>
            </w:r>
          </w:p>
        </w:tc>
        <w:tc>
          <w:tcPr>
            <w:tcW w:w="2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115,190</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122,568</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131,119</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140,709</w:t>
            </w:r>
          </w:p>
        </w:tc>
      </w:tr>
      <w:tr>
        <w:trPr>
          <w:trHeight w:val="210"/>
        </w:trPr>
        <w:tc>
          <w:tcPr>
            <w:tcW w:w="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54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Ps.</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278,804</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285,677</w:t>
            </w:r>
          </w:p>
        </w:tc>
      </w:tr>
    </w:tbl>
    <w:p>
      <w:pPr>
        <w:spacing w:after="0" w:line="160"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The Philippines is classified as available-for-sale.</w:t>
      </w:r>
    </w:p>
    <w:p>
      <w:pPr>
        <w:spacing w:after="0" w:line="42" w:lineRule="exact"/>
        <w:rPr>
          <w:rFonts w:ascii="Arial" w:cs="Arial" w:eastAsia="Arial" w:hAnsi="Arial"/>
          <w:sz w:val="26"/>
          <w:szCs w:val="26"/>
          <w:i w:val="1"/>
          <w:iCs w:val="1"/>
          <w:color w:val="auto"/>
          <w:vertAlign w:val="superscript"/>
        </w:rPr>
      </w:pPr>
    </w:p>
    <w:p>
      <w:pPr>
        <w:ind w:left="220" w:hanging="212"/>
        <w:spacing w:after="0" w:line="186" w:lineRule="auto"/>
        <w:tabs>
          <w:tab w:leader="none" w:pos="220" w:val="left"/>
        </w:tabs>
        <w:numPr>
          <w:ilvl w:val="0"/>
          <w:numId w:val="32"/>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Information for 2017 is presented as reported.</w:t>
      </w:r>
    </w:p>
    <w:p>
      <w:pPr>
        <w:spacing w:after="0" w:line="200" w:lineRule="exact"/>
        <w:rPr>
          <w:sz w:val="20"/>
          <w:szCs w:val="20"/>
          <w:color w:val="auto"/>
        </w:rPr>
      </w:pPr>
    </w:p>
    <w:p>
      <w:pPr>
        <w:spacing w:after="0" w:line="214"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Quarter - Volume, Transactions &amp; 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on September 30, 2018 and 2017</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8954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954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0"/>
        </w:trPr>
        <w:tc>
          <w:tcPr>
            <w:tcW w:w="2520" w:type="dxa"/>
            <w:vAlign w:val="bottom"/>
            <w:tcBorders>
              <w:top w:val="single" w:sz="8" w:color="auto"/>
              <w:bottom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i w:val="1"/>
                <w:iCs w:val="1"/>
                <w:color w:val="auto"/>
                <w:w w:val="95"/>
              </w:rPr>
              <w:t>Expressed in million unit cases</w:t>
            </w:r>
          </w:p>
        </w:tc>
        <w:tc>
          <w:tcPr>
            <w:tcW w:w="92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3Q 2018</w:t>
            </w:r>
          </w:p>
        </w:tc>
        <w:tc>
          <w:tcPr>
            <w:tcW w:w="5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right w:val="single" w:sz="8" w:color="auto"/>
            </w:tcBorders>
          </w:tcPr>
          <w:p>
            <w:pPr>
              <w:spacing w:after="0"/>
              <w:rPr>
                <w:sz w:val="21"/>
                <w:szCs w:val="21"/>
                <w:color w:val="auto"/>
              </w:rPr>
            </w:pPr>
          </w:p>
        </w:tc>
        <w:tc>
          <w:tcPr>
            <w:tcW w:w="280" w:type="dxa"/>
            <w:vAlign w:val="bottom"/>
            <w:tcBorders>
              <w:top w:val="single" w:sz="8" w:color="auto"/>
              <w:right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2"/>
          </w:tcPr>
          <w:p>
            <w:pPr>
              <w:ind w:left="540"/>
              <w:spacing w:after="0" w:line="250" w:lineRule="exact"/>
              <w:rPr>
                <w:sz w:val="20"/>
                <w:szCs w:val="20"/>
                <w:color w:val="auto"/>
              </w:rPr>
            </w:pPr>
            <w:r>
              <w:rPr>
                <w:rFonts w:ascii="Arial" w:cs="Arial" w:eastAsia="Arial" w:hAnsi="Arial"/>
                <w:sz w:val="17"/>
                <w:szCs w:val="17"/>
                <w:b w:val="1"/>
                <w:bCs w:val="1"/>
                <w:color w:val="auto"/>
              </w:rPr>
              <w:t xml:space="preserve">3Q 2017 </w:t>
            </w:r>
            <w:r>
              <w:rPr>
                <w:rFonts w:ascii="Arial" w:cs="Arial" w:eastAsia="Arial" w:hAnsi="Arial"/>
                <w:sz w:val="28"/>
                <w:szCs w:val="28"/>
                <w:b w:val="1"/>
                <w:bCs w:val="1"/>
                <w:color w:val="auto"/>
                <w:vertAlign w:val="superscript"/>
              </w:rPr>
              <w:t>(3)</w:t>
            </w:r>
          </w:p>
        </w:tc>
        <w:tc>
          <w:tcPr>
            <w:tcW w:w="5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right w:val="single" w:sz="8" w:color="auto"/>
            </w:tcBorders>
          </w:tcPr>
          <w:p>
            <w:pPr>
              <w:spacing w:after="0"/>
              <w:rPr>
                <w:sz w:val="21"/>
                <w:szCs w:val="21"/>
                <w:color w:val="auto"/>
              </w:rPr>
            </w:pPr>
          </w:p>
        </w:tc>
        <w:tc>
          <w:tcPr>
            <w:tcW w:w="30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YoY</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5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Sparkling</w:t>
            </w:r>
          </w:p>
        </w:tc>
        <w:tc>
          <w:tcPr>
            <w:tcW w:w="860" w:type="dxa"/>
            <w:vAlign w:val="bottom"/>
            <w:tcBorders>
              <w:right w:val="single" w:sz="8" w:color="auto"/>
            </w:tcBorders>
            <w:vMerge w:val="restart"/>
          </w:tcPr>
          <w:p>
            <w:pPr>
              <w:jc w:val="center"/>
              <w:spacing w:after="0" w:line="250" w:lineRule="exact"/>
              <w:rPr>
                <w:sz w:val="20"/>
                <w:szCs w:val="20"/>
                <w:color w:val="auto"/>
              </w:rPr>
            </w:pPr>
            <w:r>
              <w:rPr>
                <w:rFonts w:ascii="Arial" w:cs="Arial" w:eastAsia="Arial" w:hAnsi="Arial"/>
                <w:sz w:val="17"/>
                <w:szCs w:val="17"/>
                <w:color w:val="auto"/>
                <w:w w:val="87"/>
              </w:rPr>
              <w:t xml:space="preserve">Water </w:t>
            </w:r>
            <w:r>
              <w:rPr>
                <w:rFonts w:ascii="Arial" w:cs="Arial" w:eastAsia="Arial" w:hAnsi="Arial"/>
                <w:sz w:val="28"/>
                <w:szCs w:val="28"/>
                <w:color w:val="auto"/>
                <w:w w:val="87"/>
                <w:vertAlign w:val="superscript"/>
              </w:rPr>
              <w:t>(1)</w:t>
            </w:r>
          </w:p>
        </w:tc>
        <w:tc>
          <w:tcPr>
            <w:tcW w:w="800" w:type="dxa"/>
            <w:vAlign w:val="bottom"/>
            <w:tcBorders>
              <w:right w:val="single" w:sz="8" w:color="auto"/>
            </w:tcBorders>
            <w:vMerge w:val="restart"/>
          </w:tcPr>
          <w:p>
            <w:pPr>
              <w:jc w:val="right"/>
              <w:ind w:right="30"/>
              <w:spacing w:after="0" w:line="250" w:lineRule="exact"/>
              <w:rPr>
                <w:sz w:val="20"/>
                <w:szCs w:val="20"/>
                <w:color w:val="auto"/>
              </w:rPr>
            </w:pPr>
            <w:r>
              <w:rPr>
                <w:rFonts w:ascii="Arial" w:cs="Arial" w:eastAsia="Arial" w:hAnsi="Arial"/>
                <w:sz w:val="17"/>
                <w:szCs w:val="17"/>
                <w:color w:val="auto"/>
              </w:rPr>
              <w:t xml:space="preserve">Bulk </w:t>
            </w:r>
            <w:r>
              <w:rPr>
                <w:rFonts w:ascii="Arial" w:cs="Arial" w:eastAsia="Arial" w:hAnsi="Arial"/>
                <w:sz w:val="28"/>
                <w:szCs w:val="28"/>
                <w:color w:val="auto"/>
                <w:vertAlign w:val="superscript"/>
              </w:rPr>
              <w:t>(2)</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Stills</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Total</w:t>
            </w:r>
          </w:p>
        </w:tc>
        <w:tc>
          <w:tcPr>
            <w:tcW w:w="28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Sparkling</w:t>
            </w:r>
          </w:p>
        </w:tc>
        <w:tc>
          <w:tcPr>
            <w:tcW w:w="860" w:type="dxa"/>
            <w:vAlign w:val="bottom"/>
            <w:tcBorders>
              <w:right w:val="single" w:sz="8" w:color="auto"/>
            </w:tcBorders>
            <w:vMerge w:val="restart"/>
          </w:tcPr>
          <w:p>
            <w:pPr>
              <w:jc w:val="center"/>
              <w:spacing w:after="0" w:line="250" w:lineRule="exact"/>
              <w:rPr>
                <w:sz w:val="20"/>
                <w:szCs w:val="20"/>
                <w:color w:val="auto"/>
              </w:rPr>
            </w:pPr>
            <w:r>
              <w:rPr>
                <w:rFonts w:ascii="Arial" w:cs="Arial" w:eastAsia="Arial" w:hAnsi="Arial"/>
                <w:sz w:val="17"/>
                <w:szCs w:val="17"/>
                <w:color w:val="auto"/>
                <w:w w:val="87"/>
              </w:rPr>
              <w:t xml:space="preserve">Water </w:t>
            </w:r>
            <w:r>
              <w:rPr>
                <w:rFonts w:ascii="Arial" w:cs="Arial" w:eastAsia="Arial" w:hAnsi="Arial"/>
                <w:sz w:val="28"/>
                <w:szCs w:val="28"/>
                <w:color w:val="auto"/>
                <w:w w:val="87"/>
                <w:vertAlign w:val="superscript"/>
              </w:rPr>
              <w:t>(1)</w:t>
            </w:r>
          </w:p>
        </w:tc>
        <w:tc>
          <w:tcPr>
            <w:tcW w:w="800" w:type="dxa"/>
            <w:vAlign w:val="bottom"/>
            <w:tcBorders>
              <w:right w:val="single" w:sz="8" w:color="auto"/>
            </w:tcBorders>
            <w:vMerge w:val="restart"/>
          </w:tcPr>
          <w:p>
            <w:pPr>
              <w:jc w:val="center"/>
              <w:spacing w:after="0" w:line="250" w:lineRule="exact"/>
              <w:rPr>
                <w:sz w:val="20"/>
                <w:szCs w:val="20"/>
                <w:color w:val="auto"/>
              </w:rPr>
            </w:pPr>
            <w:r>
              <w:rPr>
                <w:rFonts w:ascii="Arial" w:cs="Arial" w:eastAsia="Arial" w:hAnsi="Arial"/>
                <w:sz w:val="17"/>
                <w:szCs w:val="17"/>
                <w:color w:val="auto"/>
                <w:w w:val="95"/>
              </w:rPr>
              <w:t xml:space="preserve">Bulk </w:t>
            </w:r>
            <w:r>
              <w:rPr>
                <w:rFonts w:ascii="Arial" w:cs="Arial" w:eastAsia="Arial" w:hAnsi="Arial"/>
                <w:sz w:val="28"/>
                <w:szCs w:val="28"/>
                <w:color w:val="auto"/>
                <w:w w:val="95"/>
                <w:vertAlign w:val="superscript"/>
              </w:rPr>
              <w:t>(2)</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Stills</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Total</w:t>
            </w:r>
          </w:p>
        </w:tc>
        <w:tc>
          <w:tcPr>
            <w:tcW w:w="300" w:type="dxa"/>
            <w:vAlign w:val="bottom"/>
            <w:tcBorders>
              <w:right w:val="single" w:sz="8" w:color="auto"/>
            </w:tcBorders>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580" w:type="dxa"/>
            <w:vAlign w:val="bottom"/>
            <w:tcBorders>
              <w:bottom w:val="single" w:sz="8" w:color="auto"/>
              <w:right w:val="single" w:sz="8" w:color="auto"/>
            </w:tcBorders>
            <w:vMerge w:val="continue"/>
          </w:tcPr>
          <w:p>
            <w:pPr>
              <w:spacing w:after="0"/>
              <w:rPr>
                <w:sz w:val="14"/>
                <w:szCs w:val="14"/>
                <w:color w:val="auto"/>
              </w:rPr>
            </w:pPr>
          </w:p>
        </w:tc>
        <w:tc>
          <w:tcPr>
            <w:tcW w:w="640" w:type="dxa"/>
            <w:vAlign w:val="bottom"/>
            <w:tcBorders>
              <w:bottom w:val="single" w:sz="8" w:color="auto"/>
              <w:right w:val="single" w:sz="8" w:color="auto"/>
            </w:tcBorders>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580" w:type="dxa"/>
            <w:vAlign w:val="bottom"/>
            <w:tcBorders>
              <w:bottom w:val="single" w:sz="8" w:color="auto"/>
              <w:right w:val="single" w:sz="8" w:color="auto"/>
            </w:tcBorders>
            <w:vMerge w:val="continue"/>
          </w:tcPr>
          <w:p>
            <w:pPr>
              <w:spacing w:after="0"/>
              <w:rPr>
                <w:sz w:val="14"/>
                <w:szCs w:val="14"/>
                <w:color w:val="auto"/>
              </w:rPr>
            </w:pPr>
          </w:p>
        </w:tc>
        <w:tc>
          <w:tcPr>
            <w:tcW w:w="640" w:type="dxa"/>
            <w:vAlign w:val="bottom"/>
            <w:tcBorders>
              <w:bottom w:val="single" w:sz="8" w:color="auto"/>
              <w:right w:val="single" w:sz="8" w:color="auto"/>
            </w:tcBorders>
            <w:vMerge w:val="continue"/>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20" w:type="dxa"/>
            <w:vAlign w:val="bottom"/>
            <w:tcBorders>
              <w:right w:val="single" w:sz="8" w:color="auto"/>
            </w:tcBorders>
          </w:tcPr>
          <w:p>
            <w:pPr>
              <w:ind w:left="520"/>
              <w:spacing w:after="0" w:line="195" w:lineRule="exact"/>
              <w:rPr>
                <w:sz w:val="20"/>
                <w:szCs w:val="20"/>
                <w:color w:val="auto"/>
              </w:rPr>
            </w:pPr>
            <w:r>
              <w:rPr>
                <w:rFonts w:ascii="Arial" w:cs="Arial" w:eastAsia="Arial" w:hAnsi="Arial"/>
                <w:sz w:val="18"/>
                <w:szCs w:val="18"/>
                <w:color w:val="auto"/>
              </w:rPr>
              <w:t>Mexico</w:t>
            </w: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93"/>
              </w:rPr>
              <w:t>349.1</w:t>
            </w: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91"/>
              </w:rPr>
              <w:t>25.9</w:t>
            </w: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91"/>
              </w:rPr>
              <w:t>72.0</w:t>
            </w:r>
          </w:p>
        </w:tc>
        <w:tc>
          <w:tcPr>
            <w:tcW w:w="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30.6</w:t>
            </w:r>
          </w:p>
        </w:tc>
        <w:tc>
          <w:tcPr>
            <w:tcW w:w="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477.6</w:t>
            </w:r>
          </w:p>
        </w:tc>
        <w:tc>
          <w:tcPr>
            <w:tcW w:w="280" w:type="dxa"/>
            <w:vAlign w:val="bottom"/>
            <w:tcBorders>
              <w:right w:val="single" w:sz="8" w:color="auto"/>
            </w:tcBorders>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93"/>
              </w:rPr>
              <w:t>340.0</w:t>
            </w: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91"/>
              </w:rPr>
              <w:t>23.6</w:t>
            </w: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91"/>
              </w:rPr>
              <w:t>73.3</w:t>
            </w:r>
          </w:p>
        </w:tc>
        <w:tc>
          <w:tcPr>
            <w:tcW w:w="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27.4</w:t>
            </w:r>
          </w:p>
        </w:tc>
        <w:tc>
          <w:tcPr>
            <w:tcW w:w="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464.3</w:t>
            </w:r>
          </w:p>
        </w:tc>
        <w:tc>
          <w:tcPr>
            <w:tcW w:w="300" w:type="dxa"/>
            <w:vAlign w:val="bottom"/>
            <w:tcBorders>
              <w:right w:val="single" w:sz="8" w:color="auto"/>
            </w:tcBorders>
          </w:tcPr>
          <w:p>
            <w:pPr>
              <w:spacing w:after="0"/>
              <w:rPr>
                <w:sz w:val="16"/>
                <w:szCs w:val="16"/>
                <w:color w:val="auto"/>
              </w:rPr>
            </w:pPr>
          </w:p>
        </w:tc>
        <w:tc>
          <w:tcPr>
            <w:tcW w:w="700" w:type="dxa"/>
            <w:vAlign w:val="bottom"/>
          </w:tcPr>
          <w:p>
            <w:pPr>
              <w:jc w:val="center"/>
              <w:spacing w:after="0" w:line="195" w:lineRule="exact"/>
              <w:rPr>
                <w:sz w:val="20"/>
                <w:szCs w:val="20"/>
                <w:color w:val="auto"/>
              </w:rPr>
            </w:pPr>
            <w:r>
              <w:rPr>
                <w:rFonts w:ascii="Arial" w:cs="Arial" w:eastAsia="Arial" w:hAnsi="Arial"/>
                <w:sz w:val="18"/>
                <w:szCs w:val="18"/>
                <w:color w:val="auto"/>
                <w:w w:val="92"/>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Central America</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48.5</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0.1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56.6</w:t>
            </w:r>
          </w:p>
        </w:tc>
        <w:tc>
          <w:tcPr>
            <w:tcW w:w="280" w:type="dxa"/>
            <w:vAlign w:val="bottom"/>
            <w:tcBorders>
              <w:right w:val="single" w:sz="8" w:color="auto"/>
            </w:tcBorders>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34.4</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0.1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4.9</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41.9</w:t>
            </w:r>
          </w:p>
        </w:tc>
        <w:tc>
          <w:tcPr>
            <w:tcW w:w="300" w:type="dxa"/>
            <w:vAlign w:val="bottom"/>
            <w:tcBorders>
              <w:right w:val="single" w:sz="8" w:color="auto"/>
            </w:tcBorders>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35.2%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w w:val="97"/>
              </w:rPr>
              <w:t>Mexico and Central America</w:t>
            </w: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397.6</w:t>
            </w:r>
          </w:p>
        </w:tc>
        <w:tc>
          <w:tcPr>
            <w:tcW w:w="8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28.6</w:t>
            </w:r>
          </w:p>
        </w:tc>
        <w:tc>
          <w:tcPr>
            <w:tcW w:w="8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72.1</w:t>
            </w:r>
          </w:p>
        </w:tc>
        <w:tc>
          <w:tcPr>
            <w:tcW w:w="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35.8</w:t>
            </w:r>
          </w:p>
        </w:tc>
        <w:tc>
          <w:tcPr>
            <w:tcW w:w="6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534.1</w:t>
            </w:r>
          </w:p>
        </w:tc>
        <w:tc>
          <w:tcPr>
            <w:tcW w:w="280" w:type="dxa"/>
            <w:vAlign w:val="bottom"/>
            <w:tcBorders>
              <w:right w:val="single" w:sz="8" w:color="auto"/>
            </w:tcBorders>
          </w:tcPr>
          <w:p>
            <w:pPr>
              <w:spacing w:after="0"/>
              <w:rPr>
                <w:sz w:val="18"/>
                <w:szCs w:val="18"/>
                <w:color w:val="auto"/>
              </w:rPr>
            </w:pP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374.4</w:t>
            </w:r>
          </w:p>
        </w:tc>
        <w:tc>
          <w:tcPr>
            <w:tcW w:w="8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26.1</w:t>
            </w:r>
          </w:p>
        </w:tc>
        <w:tc>
          <w:tcPr>
            <w:tcW w:w="8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73.4</w:t>
            </w:r>
          </w:p>
        </w:tc>
        <w:tc>
          <w:tcPr>
            <w:tcW w:w="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32.2</w:t>
            </w:r>
          </w:p>
        </w:tc>
        <w:tc>
          <w:tcPr>
            <w:tcW w:w="6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506.1</w:t>
            </w:r>
          </w:p>
        </w:tc>
        <w:tc>
          <w:tcPr>
            <w:tcW w:w="300" w:type="dxa"/>
            <w:vAlign w:val="bottom"/>
            <w:tcBorders>
              <w:right w:val="single" w:sz="8" w:color="auto"/>
            </w:tcBorders>
          </w:tcPr>
          <w:p>
            <w:pPr>
              <w:spacing w:after="0"/>
              <w:rPr>
                <w:sz w:val="18"/>
                <w:szCs w:val="18"/>
                <w:color w:val="auto"/>
              </w:rPr>
            </w:pPr>
          </w:p>
        </w:tc>
        <w:tc>
          <w:tcPr>
            <w:tcW w:w="70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Borders>
              <w:right w:val="single" w:sz="8" w:color="auto"/>
            </w:tcBorders>
          </w:tcPr>
          <w:p>
            <w:pPr>
              <w:ind w:left="520"/>
              <w:spacing w:after="0" w:line="201" w:lineRule="exact"/>
              <w:rPr>
                <w:sz w:val="20"/>
                <w:szCs w:val="20"/>
                <w:color w:val="auto"/>
              </w:rPr>
            </w:pPr>
            <w:r>
              <w:rPr>
                <w:rFonts w:ascii="Arial" w:cs="Arial" w:eastAsia="Arial" w:hAnsi="Arial"/>
                <w:sz w:val="18"/>
                <w:szCs w:val="18"/>
                <w:color w:val="auto"/>
              </w:rPr>
              <w:t>Colombia</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1"/>
              </w:rPr>
              <w:t>53.3</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7"/>
              </w:rPr>
              <w:t>8.0</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5"/>
              </w:rPr>
              <w:t>3.7</w:t>
            </w:r>
          </w:p>
        </w:tc>
        <w:tc>
          <w:tcPr>
            <w:tcW w:w="5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4.4</w:t>
            </w: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69.5</w:t>
            </w:r>
          </w:p>
        </w:tc>
        <w:tc>
          <w:tcPr>
            <w:tcW w:w="280" w:type="dxa"/>
            <w:vAlign w:val="bottom"/>
            <w:tcBorders>
              <w:right w:val="single" w:sz="8" w:color="auto"/>
            </w:tcBorders>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5"/>
              </w:rPr>
              <w:t>51.2</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7"/>
              </w:rPr>
              <w:t>6.0</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5"/>
              </w:rPr>
              <w:t>5.0</w:t>
            </w:r>
          </w:p>
        </w:tc>
        <w:tc>
          <w:tcPr>
            <w:tcW w:w="5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5.7</w:t>
            </w: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67.9</w:t>
            </w:r>
          </w:p>
        </w:tc>
        <w:tc>
          <w:tcPr>
            <w:tcW w:w="300" w:type="dxa"/>
            <w:vAlign w:val="bottom"/>
            <w:tcBorders>
              <w:right w:val="single" w:sz="8" w:color="auto"/>
            </w:tcBorders>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2"/>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Venezuela</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16.2</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0.2</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18.8</w:t>
            </w:r>
          </w:p>
        </w:tc>
        <w:tc>
          <w:tcPr>
            <w:tcW w:w="300" w:type="dxa"/>
            <w:vAlign w:val="bottom"/>
            <w:tcBorders>
              <w:right w:val="single" w:sz="8" w:color="auto"/>
            </w:tcBorders>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Brazil</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164.3</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8.8</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184.9</w:t>
            </w:r>
          </w:p>
        </w:tc>
        <w:tc>
          <w:tcPr>
            <w:tcW w:w="28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161.8</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9.4</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1.5</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9.2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181.9</w:t>
            </w:r>
          </w:p>
        </w:tc>
        <w:tc>
          <w:tcPr>
            <w:tcW w:w="300" w:type="dxa"/>
            <w:vAlign w:val="bottom"/>
            <w:tcBorders>
              <w:right w:val="single" w:sz="8" w:color="auto"/>
            </w:tcBorders>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Argentina</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34.1</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0.9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2.5</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41.4</w:t>
            </w:r>
          </w:p>
        </w:tc>
        <w:tc>
          <w:tcPr>
            <w:tcW w:w="28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37.6</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0.9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3.5</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46.6</w:t>
            </w:r>
          </w:p>
        </w:tc>
        <w:tc>
          <w:tcPr>
            <w:tcW w:w="300" w:type="dxa"/>
            <w:vAlign w:val="bottom"/>
            <w:tcBorders>
              <w:right w:val="single" w:sz="8" w:color="auto"/>
            </w:tcBorders>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Uruguay</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8.7</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0.0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9.4</w:t>
            </w:r>
          </w:p>
        </w:tc>
        <w:tc>
          <w:tcPr>
            <w:tcW w:w="280" w:type="dxa"/>
            <w:vAlign w:val="bottom"/>
            <w:tcBorders>
              <w:right w:val="single" w:sz="8" w:color="auto"/>
            </w:tcBorders>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South America</w:t>
            </w: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260.4</w:t>
            </w:r>
          </w:p>
        </w:tc>
        <w:tc>
          <w:tcPr>
            <w:tcW w:w="8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22.7</w:t>
            </w:r>
          </w:p>
        </w:tc>
        <w:tc>
          <w:tcPr>
            <w:tcW w:w="8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6.2</w:t>
            </w:r>
          </w:p>
        </w:tc>
        <w:tc>
          <w:tcPr>
            <w:tcW w:w="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15.8</w:t>
            </w:r>
          </w:p>
        </w:tc>
        <w:tc>
          <w:tcPr>
            <w:tcW w:w="6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305.1</w:t>
            </w:r>
          </w:p>
        </w:tc>
        <w:tc>
          <w:tcPr>
            <w:tcW w:w="280" w:type="dxa"/>
            <w:vAlign w:val="bottom"/>
            <w:tcBorders>
              <w:right w:val="single" w:sz="8" w:color="auto"/>
            </w:tcBorders>
          </w:tcPr>
          <w:p>
            <w:pPr>
              <w:spacing w:after="0"/>
              <w:rPr>
                <w:sz w:val="18"/>
                <w:szCs w:val="18"/>
                <w:color w:val="auto"/>
              </w:rPr>
            </w:pP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266.8</w:t>
            </w:r>
          </w:p>
        </w:tc>
        <w:tc>
          <w:tcPr>
            <w:tcW w:w="8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21.8</w:t>
            </w:r>
          </w:p>
        </w:tc>
        <w:tc>
          <w:tcPr>
            <w:tcW w:w="8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7.6</w:t>
            </w:r>
          </w:p>
        </w:tc>
        <w:tc>
          <w:tcPr>
            <w:tcW w:w="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19.1</w:t>
            </w:r>
          </w:p>
        </w:tc>
        <w:tc>
          <w:tcPr>
            <w:tcW w:w="6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315.3</w:t>
            </w:r>
          </w:p>
        </w:tc>
        <w:tc>
          <w:tcPr>
            <w:tcW w:w="300" w:type="dxa"/>
            <w:vAlign w:val="bottom"/>
            <w:tcBorders>
              <w:right w:val="single" w:sz="8" w:color="auto"/>
            </w:tcBorders>
          </w:tcPr>
          <w:p>
            <w:pPr>
              <w:spacing w:after="0"/>
              <w:rPr>
                <w:sz w:val="18"/>
                <w:szCs w:val="18"/>
                <w:color w:val="auto"/>
              </w:rPr>
            </w:pPr>
          </w:p>
        </w:tc>
        <w:tc>
          <w:tcPr>
            <w:tcW w:w="70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658.0</w:t>
            </w:r>
          </w:p>
        </w:tc>
        <w:tc>
          <w:tcPr>
            <w:tcW w:w="86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51.3</w:t>
            </w:r>
          </w:p>
        </w:tc>
        <w:tc>
          <w:tcPr>
            <w:tcW w:w="80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78.3</w:t>
            </w:r>
          </w:p>
        </w:tc>
        <w:tc>
          <w:tcPr>
            <w:tcW w:w="5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5"/>
              </w:rPr>
              <w:t>51.6</w:t>
            </w:r>
          </w:p>
        </w:tc>
        <w:tc>
          <w:tcPr>
            <w:tcW w:w="6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839.2</w:t>
            </w:r>
          </w:p>
        </w:tc>
        <w:tc>
          <w:tcPr>
            <w:tcW w:w="280" w:type="dxa"/>
            <w:vAlign w:val="bottom"/>
            <w:tcBorders>
              <w:right w:val="single" w:sz="8" w:color="auto"/>
            </w:tcBorders>
          </w:tcPr>
          <w:p>
            <w:pPr>
              <w:spacing w:after="0"/>
              <w:rPr>
                <w:sz w:val="18"/>
                <w:szCs w:val="18"/>
                <w:color w:val="auto"/>
              </w:rPr>
            </w:pPr>
          </w:p>
        </w:tc>
        <w:tc>
          <w:tcPr>
            <w:tcW w:w="92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641.2</w:t>
            </w:r>
          </w:p>
        </w:tc>
        <w:tc>
          <w:tcPr>
            <w:tcW w:w="86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47.9</w:t>
            </w:r>
          </w:p>
        </w:tc>
        <w:tc>
          <w:tcPr>
            <w:tcW w:w="80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81.0</w:t>
            </w:r>
          </w:p>
        </w:tc>
        <w:tc>
          <w:tcPr>
            <w:tcW w:w="5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5"/>
              </w:rPr>
              <w:t>51.3</w:t>
            </w:r>
          </w:p>
        </w:tc>
        <w:tc>
          <w:tcPr>
            <w:tcW w:w="6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821.4</w:t>
            </w:r>
          </w:p>
        </w:tc>
        <w:tc>
          <w:tcPr>
            <w:tcW w:w="300" w:type="dxa"/>
            <w:vAlign w:val="bottom"/>
            <w:tcBorders>
              <w:right w:val="single" w:sz="8" w:color="auto"/>
            </w:tcBorders>
          </w:tcPr>
          <w:p>
            <w:pPr>
              <w:spacing w:after="0"/>
              <w:rPr>
                <w:sz w:val="18"/>
                <w:szCs w:val="18"/>
                <w:color w:val="auto"/>
              </w:rPr>
            </w:pPr>
          </w:p>
        </w:tc>
        <w:tc>
          <w:tcPr>
            <w:tcW w:w="70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rPr>
              <w:t>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Excludes water presentations larger than 5.0 Lt ; includes flavored water</w:t>
      </w:r>
    </w:p>
    <w:p>
      <w:pPr>
        <w:spacing w:after="0" w:line="42" w:lineRule="exact"/>
        <w:rPr>
          <w:rFonts w:ascii="Arial" w:cs="Arial" w:eastAsia="Arial" w:hAnsi="Arial"/>
          <w:sz w:val="26"/>
          <w:szCs w:val="26"/>
          <w:i w:val="1"/>
          <w:iCs w:val="1"/>
          <w:color w:val="auto"/>
          <w:vertAlign w:val="superscript"/>
        </w:rPr>
      </w:pPr>
    </w:p>
    <w:p>
      <w:pPr>
        <w:ind w:left="220" w:hanging="212"/>
        <w:spacing w:after="0" w:line="186" w:lineRule="auto"/>
        <w:tabs>
          <w:tab w:leader="none" w:pos="220" w:val="left"/>
        </w:tabs>
        <w:numPr>
          <w:ilvl w:val="0"/>
          <w:numId w:val="33"/>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Bulk Water = Still bottled water in 5.0, 19.0 and 20.0 - liter packaging presentations; includes flavored water</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869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0"/>
        </w:trPr>
        <w:tc>
          <w:tcPr>
            <w:tcW w:w="2860" w:type="dxa"/>
            <w:vAlign w:val="bottom"/>
            <w:tcBorders>
              <w:top w:val="single" w:sz="8" w:color="auto"/>
              <w:bottom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i w:val="1"/>
                <w:iCs w:val="1"/>
                <w:color w:val="auto"/>
                <w:w w:val="94"/>
              </w:rPr>
              <w:t>Expressed in million of transactions</w:t>
            </w:r>
          </w:p>
        </w:tc>
        <w:tc>
          <w:tcPr>
            <w:tcW w:w="9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92"/>
              </w:rPr>
              <w:t>3Q 2018</w:t>
            </w:r>
          </w:p>
        </w:tc>
        <w:tc>
          <w:tcPr>
            <w:tcW w:w="6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right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gridSpan w:val="2"/>
          </w:tcPr>
          <w:p>
            <w:pPr>
              <w:ind w:left="420"/>
              <w:spacing w:after="0" w:line="250" w:lineRule="exact"/>
              <w:rPr>
                <w:sz w:val="20"/>
                <w:szCs w:val="20"/>
                <w:color w:val="auto"/>
              </w:rPr>
            </w:pPr>
            <w:r>
              <w:rPr>
                <w:rFonts w:ascii="Arial" w:cs="Arial" w:eastAsia="Arial" w:hAnsi="Arial"/>
                <w:sz w:val="17"/>
                <w:szCs w:val="17"/>
                <w:b w:val="1"/>
                <w:bCs w:val="1"/>
                <w:color w:val="auto"/>
                <w:w w:val="93"/>
              </w:rPr>
              <w:t>3Q 2017</w:t>
            </w:r>
            <w:r>
              <w:rPr>
                <w:rFonts w:ascii="Arial" w:cs="Arial" w:eastAsia="Arial" w:hAnsi="Arial"/>
                <w:sz w:val="28"/>
                <w:szCs w:val="28"/>
                <w:b w:val="1"/>
                <w:bCs w:val="1"/>
                <w:color w:val="auto"/>
                <w:w w:val="93"/>
                <w:vertAlign w:val="superscript"/>
              </w:rPr>
              <w:t>(3)</w:t>
            </w:r>
          </w:p>
        </w:tc>
        <w:tc>
          <w:tcPr>
            <w:tcW w:w="6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YoY</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86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Sparkling</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Water</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Stills</w:t>
            </w:r>
          </w:p>
        </w:tc>
        <w:tc>
          <w:tcPr>
            <w:tcW w:w="7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Sparkling</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Water</w:t>
            </w:r>
          </w:p>
        </w:tc>
        <w:tc>
          <w:tcPr>
            <w:tcW w:w="60" w:type="dxa"/>
            <w:vAlign w:val="bottom"/>
          </w:tcPr>
          <w:p>
            <w:pPr>
              <w:spacing w:after="0"/>
              <w:rPr>
                <w:sz w:val="6"/>
                <w:szCs w:val="6"/>
                <w:color w:val="auto"/>
              </w:rPr>
            </w:pPr>
          </w:p>
        </w:tc>
        <w:tc>
          <w:tcPr>
            <w:tcW w:w="6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9"/>
              </w:rPr>
              <w:t>Stills</w:t>
            </w:r>
          </w:p>
        </w:tc>
        <w:tc>
          <w:tcPr>
            <w:tcW w:w="7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tcBorders>
              <w:right w:val="single" w:sz="8" w:color="auto"/>
            </w:tcBorders>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8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vMerge w:val="continue"/>
          </w:tcPr>
          <w:p>
            <w:pPr>
              <w:spacing w:after="0"/>
              <w:rPr>
                <w:sz w:val="11"/>
                <w:szCs w:val="11"/>
                <w:color w:val="auto"/>
              </w:rPr>
            </w:pPr>
          </w:p>
        </w:tc>
        <w:tc>
          <w:tcPr>
            <w:tcW w:w="1200" w:type="dxa"/>
            <w:vAlign w:val="bottom"/>
            <w:tcBorders>
              <w:bottom w:val="single" w:sz="8" w:color="auto"/>
              <w:right w:val="single" w:sz="8" w:color="auto"/>
            </w:tcBorders>
            <w:vMerge w:val="continue"/>
          </w:tcPr>
          <w:p>
            <w:pPr>
              <w:spacing w:after="0"/>
              <w:rPr>
                <w:sz w:val="11"/>
                <w:szCs w:val="11"/>
                <w:color w:val="auto"/>
              </w:rPr>
            </w:pPr>
          </w:p>
        </w:tc>
        <w:tc>
          <w:tcPr>
            <w:tcW w:w="660" w:type="dxa"/>
            <w:vAlign w:val="bottom"/>
            <w:tcBorders>
              <w:bottom w:val="single" w:sz="8" w:color="auto"/>
              <w:right w:val="single" w:sz="8" w:color="auto"/>
            </w:tcBorders>
            <w:vMerge w:val="continue"/>
          </w:tcPr>
          <w:p>
            <w:pPr>
              <w:spacing w:after="0"/>
              <w:rPr>
                <w:sz w:val="11"/>
                <w:szCs w:val="11"/>
                <w:color w:val="auto"/>
              </w:rPr>
            </w:pPr>
          </w:p>
        </w:tc>
        <w:tc>
          <w:tcPr>
            <w:tcW w:w="740" w:type="dxa"/>
            <w:vAlign w:val="bottom"/>
            <w:tcBorders>
              <w:bottom w:val="single" w:sz="8" w:color="auto"/>
              <w:right w:val="single" w:sz="8" w:color="auto"/>
            </w:tcBorders>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vMerge w:val="continue"/>
          </w:tcPr>
          <w:p>
            <w:pPr>
              <w:spacing w:after="0"/>
              <w:rPr>
                <w:sz w:val="11"/>
                <w:szCs w:val="11"/>
                <w:color w:val="auto"/>
              </w:rPr>
            </w:pPr>
          </w:p>
        </w:tc>
        <w:tc>
          <w:tcPr>
            <w:tcW w:w="1200" w:type="dxa"/>
            <w:vAlign w:val="bottom"/>
            <w:tcBorders>
              <w:bottom w:val="single" w:sz="8" w:color="auto"/>
              <w:right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vMerge w:val="continue"/>
          </w:tcPr>
          <w:p>
            <w:pPr>
              <w:spacing w:after="0"/>
              <w:rPr>
                <w:sz w:val="11"/>
                <w:szCs w:val="11"/>
                <w:color w:val="auto"/>
              </w:rPr>
            </w:pPr>
          </w:p>
        </w:tc>
        <w:tc>
          <w:tcPr>
            <w:tcW w:w="760" w:type="dxa"/>
            <w:vAlign w:val="bottom"/>
            <w:tcBorders>
              <w:bottom w:val="single" w:sz="8" w:color="auto"/>
              <w:right w:val="single" w:sz="8" w:color="auto"/>
            </w:tcBorders>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60" w:type="dxa"/>
            <w:vAlign w:val="bottom"/>
            <w:tcBorders>
              <w:right w:val="single" w:sz="8" w:color="auto"/>
            </w:tcBorders>
          </w:tcPr>
          <w:p>
            <w:pPr>
              <w:ind w:left="520"/>
              <w:spacing w:after="0" w:line="195" w:lineRule="exact"/>
              <w:rPr>
                <w:sz w:val="20"/>
                <w:szCs w:val="20"/>
                <w:color w:val="auto"/>
              </w:rPr>
            </w:pPr>
            <w:r>
              <w:rPr>
                <w:rFonts w:ascii="Arial" w:cs="Arial" w:eastAsia="Arial" w:hAnsi="Arial"/>
                <w:sz w:val="18"/>
                <w:szCs w:val="18"/>
                <w:color w:val="auto"/>
              </w:rPr>
              <w:t>Mexico</w:t>
            </w: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9"/>
              </w:rPr>
              <w:t>2,042.4</w:t>
            </w:r>
          </w:p>
        </w:tc>
        <w:tc>
          <w:tcPr>
            <w:tcW w:w="1200" w:type="dxa"/>
            <w:vAlign w:val="bottom"/>
          </w:tcPr>
          <w:p>
            <w:pPr>
              <w:jc w:val="center"/>
              <w:spacing w:after="0" w:line="195" w:lineRule="exact"/>
              <w:rPr>
                <w:sz w:val="20"/>
                <w:szCs w:val="20"/>
                <w:color w:val="auto"/>
              </w:rPr>
            </w:pPr>
            <w:r>
              <w:rPr>
                <w:rFonts w:ascii="Arial" w:cs="Arial" w:eastAsia="Arial" w:hAnsi="Arial"/>
                <w:sz w:val="18"/>
                <w:szCs w:val="18"/>
                <w:color w:val="auto"/>
                <w:w w:val="88"/>
              </w:rPr>
              <w:t>192.6</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242.2</w:t>
            </w:r>
          </w:p>
        </w:tc>
        <w:tc>
          <w:tcPr>
            <w:tcW w:w="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2,477.2</w:t>
            </w:r>
          </w:p>
        </w:tc>
        <w:tc>
          <w:tcPr>
            <w:tcW w:w="420" w:type="dxa"/>
            <w:vAlign w:val="bottom"/>
            <w:tcBorders>
              <w:right w:val="single" w:sz="8" w:color="auto"/>
            </w:tcBorders>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9"/>
              </w:rPr>
              <w:t>2,027.5</w:t>
            </w:r>
          </w:p>
        </w:tc>
        <w:tc>
          <w:tcPr>
            <w:tcW w:w="1200" w:type="dxa"/>
            <w:vAlign w:val="bottom"/>
          </w:tcPr>
          <w:p>
            <w:pPr>
              <w:jc w:val="center"/>
              <w:spacing w:after="0" w:line="195" w:lineRule="exact"/>
              <w:rPr>
                <w:sz w:val="20"/>
                <w:szCs w:val="20"/>
                <w:color w:val="auto"/>
              </w:rPr>
            </w:pPr>
            <w:r>
              <w:rPr>
                <w:rFonts w:ascii="Arial" w:cs="Arial" w:eastAsia="Arial" w:hAnsi="Arial"/>
                <w:sz w:val="18"/>
                <w:szCs w:val="18"/>
                <w:color w:val="auto"/>
                <w:w w:val="88"/>
              </w:rPr>
              <w:t>175.9</w:t>
            </w:r>
          </w:p>
        </w:tc>
        <w:tc>
          <w:tcPr>
            <w:tcW w:w="60" w:type="dxa"/>
            <w:vAlign w:val="bottom"/>
          </w:tcPr>
          <w:p>
            <w:pPr>
              <w:spacing w:after="0"/>
              <w:rPr>
                <w:sz w:val="16"/>
                <w:szCs w:val="16"/>
                <w:color w:val="auto"/>
              </w:rPr>
            </w:pPr>
          </w:p>
        </w:tc>
        <w:tc>
          <w:tcPr>
            <w:tcW w:w="600" w:type="dxa"/>
            <w:vAlign w:val="bottom"/>
            <w:tcBorders>
              <w:right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88"/>
              </w:rPr>
              <w:t>223.3</w:t>
            </w:r>
          </w:p>
        </w:tc>
        <w:tc>
          <w:tcPr>
            <w:tcW w:w="7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2,426.7</w:t>
            </w:r>
          </w:p>
        </w:tc>
        <w:tc>
          <w:tcPr>
            <w:tcW w:w="420" w:type="dxa"/>
            <w:vAlign w:val="bottom"/>
            <w:tcBorders>
              <w:right w:val="single" w:sz="8" w:color="auto"/>
            </w:tcBorders>
          </w:tcPr>
          <w:p>
            <w:pPr>
              <w:spacing w:after="0"/>
              <w:rPr>
                <w:sz w:val="16"/>
                <w:szCs w:val="16"/>
                <w:color w:val="auto"/>
              </w:rPr>
            </w:pP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2"/>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6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Central America</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396.8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17.5</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62.3</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476.6</w:t>
            </w:r>
          </w:p>
        </w:tc>
        <w:tc>
          <w:tcPr>
            <w:tcW w:w="420" w:type="dxa"/>
            <w:vAlign w:val="bottom"/>
            <w:tcBorders>
              <w:right w:val="single" w:sz="8" w:color="auto"/>
            </w:tcBorders>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286.1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14.8</w:t>
            </w:r>
          </w:p>
        </w:tc>
        <w:tc>
          <w:tcPr>
            <w:tcW w:w="60" w:type="dxa"/>
            <w:vAlign w:val="bottom"/>
          </w:tcPr>
          <w:p>
            <w:pPr>
              <w:spacing w:after="0"/>
              <w:rPr>
                <w:sz w:val="20"/>
                <w:szCs w:val="20"/>
                <w:color w:val="auto"/>
              </w:rPr>
            </w:pPr>
          </w:p>
        </w:tc>
        <w:tc>
          <w:tcPr>
            <w:tcW w:w="6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62.3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363.1</w:t>
            </w:r>
          </w:p>
        </w:tc>
        <w:tc>
          <w:tcPr>
            <w:tcW w:w="420" w:type="dxa"/>
            <w:vAlign w:val="bottom"/>
            <w:tcBorders>
              <w:right w:val="single" w:sz="8" w:color="auto"/>
            </w:tcBorders>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31.3%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Mexico and Central America</w:t>
            </w: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2,439.2</w:t>
            </w:r>
          </w:p>
        </w:tc>
        <w:tc>
          <w:tcPr>
            <w:tcW w:w="12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210.1</w:t>
            </w:r>
          </w:p>
        </w:tc>
        <w:tc>
          <w:tcPr>
            <w:tcW w:w="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304.5</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2,953.8</w:t>
            </w:r>
          </w:p>
        </w:tc>
        <w:tc>
          <w:tcPr>
            <w:tcW w:w="420" w:type="dxa"/>
            <w:vAlign w:val="bottom"/>
            <w:tcBorders>
              <w:right w:val="single" w:sz="8" w:color="auto"/>
            </w:tcBorders>
          </w:tcPr>
          <w:p>
            <w:pPr>
              <w:spacing w:after="0"/>
              <w:rPr>
                <w:sz w:val="18"/>
                <w:szCs w:val="18"/>
                <w:color w:val="auto"/>
              </w:rPr>
            </w:pP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2,313.5</w:t>
            </w:r>
          </w:p>
        </w:tc>
        <w:tc>
          <w:tcPr>
            <w:tcW w:w="12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190.7</w:t>
            </w:r>
          </w:p>
        </w:tc>
        <w:tc>
          <w:tcPr>
            <w:tcW w:w="60" w:type="dxa"/>
            <w:vAlign w:val="bottom"/>
            <w:shd w:val="clear" w:color="auto" w:fill="D9D9D9"/>
          </w:tcPr>
          <w:p>
            <w:pPr>
              <w:spacing w:after="0"/>
              <w:rPr>
                <w:sz w:val="18"/>
                <w:szCs w:val="18"/>
                <w:color w:val="auto"/>
              </w:rPr>
            </w:pPr>
          </w:p>
        </w:tc>
        <w:tc>
          <w:tcPr>
            <w:tcW w:w="600" w:type="dxa"/>
            <w:vAlign w:val="bottom"/>
            <w:tcBorders>
              <w:right w:val="single" w:sz="8" w:color="auto"/>
            </w:tcBorders>
            <w:shd w:val="clear" w:color="auto" w:fill="D9D9D9"/>
          </w:tcPr>
          <w:p>
            <w:pPr>
              <w:jc w:val="center"/>
              <w:ind w:right="30"/>
              <w:spacing w:after="0"/>
              <w:rPr>
                <w:sz w:val="20"/>
                <w:szCs w:val="20"/>
                <w:color w:val="auto"/>
              </w:rPr>
            </w:pPr>
            <w:r>
              <w:rPr>
                <w:rFonts w:ascii="Arial" w:cs="Arial" w:eastAsia="Arial" w:hAnsi="Arial"/>
                <w:sz w:val="18"/>
                <w:szCs w:val="18"/>
                <w:b w:val="1"/>
                <w:bCs w:val="1"/>
                <w:color w:val="auto"/>
                <w:w w:val="88"/>
              </w:rPr>
              <w:t>285.6</w:t>
            </w:r>
          </w:p>
        </w:tc>
        <w:tc>
          <w:tcPr>
            <w:tcW w:w="7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2,789.9</w:t>
            </w:r>
          </w:p>
        </w:tc>
        <w:tc>
          <w:tcPr>
            <w:tcW w:w="420" w:type="dxa"/>
            <w:vAlign w:val="bottom"/>
            <w:tcBorders>
              <w:right w:val="single" w:sz="8" w:color="auto"/>
            </w:tcBorders>
          </w:tcPr>
          <w:p>
            <w:pPr>
              <w:spacing w:after="0"/>
              <w:rPr>
                <w:sz w:val="18"/>
                <w:szCs w:val="18"/>
                <w:color w:val="auto"/>
              </w:rPr>
            </w:pPr>
          </w:p>
        </w:tc>
        <w:tc>
          <w:tcPr>
            <w:tcW w:w="64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tcBorders>
              <w:right w:val="single" w:sz="8" w:color="auto"/>
            </w:tcBorders>
          </w:tcPr>
          <w:p>
            <w:pPr>
              <w:ind w:left="520"/>
              <w:spacing w:after="0" w:line="201" w:lineRule="exact"/>
              <w:rPr>
                <w:sz w:val="20"/>
                <w:szCs w:val="20"/>
                <w:color w:val="auto"/>
              </w:rPr>
            </w:pPr>
            <w:r>
              <w:rPr>
                <w:rFonts w:ascii="Arial" w:cs="Arial" w:eastAsia="Arial" w:hAnsi="Arial"/>
                <w:sz w:val="18"/>
                <w:szCs w:val="18"/>
                <w:color w:val="auto"/>
              </w:rPr>
              <w:t>Colombia</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384.9</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91"/>
              </w:rPr>
              <w:t>95.3</w:t>
            </w:r>
          </w:p>
        </w:tc>
        <w:tc>
          <w:tcPr>
            <w:tcW w:w="6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46.8</w:t>
            </w:r>
          </w:p>
        </w:tc>
        <w:tc>
          <w:tcPr>
            <w:tcW w:w="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526.9</w:t>
            </w:r>
          </w:p>
        </w:tc>
        <w:tc>
          <w:tcPr>
            <w:tcW w:w="420" w:type="dxa"/>
            <w:vAlign w:val="bottom"/>
            <w:tcBorders>
              <w:right w:val="single" w:sz="8" w:color="auto"/>
            </w:tcBorders>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8"/>
              </w:rPr>
              <w:t>388.1</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91"/>
              </w:rPr>
              <w:t>91.6</w:t>
            </w:r>
          </w:p>
        </w:tc>
        <w:tc>
          <w:tcPr>
            <w:tcW w:w="60" w:type="dxa"/>
            <w:vAlign w:val="bottom"/>
          </w:tcPr>
          <w:p>
            <w:pPr>
              <w:spacing w:after="0"/>
              <w:rPr>
                <w:sz w:val="17"/>
                <w:szCs w:val="17"/>
                <w:color w:val="auto"/>
              </w:rPr>
            </w:pPr>
          </w:p>
        </w:tc>
        <w:tc>
          <w:tcPr>
            <w:tcW w:w="600" w:type="dxa"/>
            <w:vAlign w:val="bottom"/>
            <w:tcBorders>
              <w:right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1"/>
              </w:rPr>
              <w:t>55.5</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535.2</w:t>
            </w:r>
          </w:p>
        </w:tc>
        <w:tc>
          <w:tcPr>
            <w:tcW w:w="420" w:type="dxa"/>
            <w:vAlign w:val="bottom"/>
            <w:tcBorders>
              <w:right w:val="single" w:sz="8" w:color="auto"/>
            </w:tcBorders>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93"/>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Venezuela</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105.7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17.3</w:t>
            </w: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6.3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129.3</w:t>
            </w:r>
          </w:p>
        </w:tc>
        <w:tc>
          <w:tcPr>
            <w:tcW w:w="420" w:type="dxa"/>
            <w:vAlign w:val="bottom"/>
            <w:tcBorders>
              <w:right w:val="single" w:sz="8" w:color="auto"/>
            </w:tcBorders>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Brazil</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1,019.2</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89.5</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114.6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1,223.4</w:t>
            </w:r>
          </w:p>
        </w:tc>
        <w:tc>
          <w:tcPr>
            <w:tcW w:w="42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984.6</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81.7</w:t>
            </w: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106.0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1,172.2</w:t>
            </w:r>
          </w:p>
        </w:tc>
        <w:tc>
          <w:tcPr>
            <w:tcW w:w="420" w:type="dxa"/>
            <w:vAlign w:val="bottom"/>
            <w:tcBorders>
              <w:right w:val="single" w:sz="8" w:color="auto"/>
            </w:tcBorders>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Argentina</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180.6</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21.9</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18.8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221.4</w:t>
            </w:r>
          </w:p>
        </w:tc>
        <w:tc>
          <w:tcPr>
            <w:tcW w:w="42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191.9</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24.3</w:t>
            </w: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23.3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239.4</w:t>
            </w:r>
          </w:p>
        </w:tc>
        <w:tc>
          <w:tcPr>
            <w:tcW w:w="420" w:type="dxa"/>
            <w:vAlign w:val="bottom"/>
            <w:tcBorders>
              <w:right w:val="single" w:sz="8" w:color="auto"/>
            </w:tcBorders>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Uruguay</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44.3</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0.6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47.6</w:t>
            </w:r>
          </w:p>
        </w:tc>
        <w:tc>
          <w:tcPr>
            <w:tcW w:w="420" w:type="dxa"/>
            <w:vAlign w:val="bottom"/>
            <w:tcBorders>
              <w:right w:val="single" w:sz="8" w:color="auto"/>
            </w:tcBorders>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auto"/>
            </w:tcBorders>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South America</w:t>
            </w: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1,629.0</w:t>
            </w:r>
          </w:p>
        </w:tc>
        <w:tc>
          <w:tcPr>
            <w:tcW w:w="12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209.5</w:t>
            </w:r>
          </w:p>
        </w:tc>
        <w:tc>
          <w:tcPr>
            <w:tcW w:w="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180.8</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2,019.3</w:t>
            </w:r>
          </w:p>
        </w:tc>
        <w:tc>
          <w:tcPr>
            <w:tcW w:w="420" w:type="dxa"/>
            <w:vAlign w:val="bottom"/>
            <w:tcBorders>
              <w:right w:val="single" w:sz="8" w:color="auto"/>
            </w:tcBorders>
          </w:tcPr>
          <w:p>
            <w:pPr>
              <w:spacing w:after="0"/>
              <w:rPr>
                <w:sz w:val="18"/>
                <w:szCs w:val="18"/>
                <w:color w:val="auto"/>
              </w:rPr>
            </w:pP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1,670.2</w:t>
            </w:r>
          </w:p>
        </w:tc>
        <w:tc>
          <w:tcPr>
            <w:tcW w:w="12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214.8</w:t>
            </w:r>
          </w:p>
        </w:tc>
        <w:tc>
          <w:tcPr>
            <w:tcW w:w="60" w:type="dxa"/>
            <w:vAlign w:val="bottom"/>
            <w:shd w:val="clear" w:color="auto" w:fill="D9D9D9"/>
          </w:tcPr>
          <w:p>
            <w:pPr>
              <w:spacing w:after="0"/>
              <w:rPr>
                <w:sz w:val="18"/>
                <w:szCs w:val="18"/>
                <w:color w:val="auto"/>
              </w:rPr>
            </w:pPr>
          </w:p>
        </w:tc>
        <w:tc>
          <w:tcPr>
            <w:tcW w:w="600" w:type="dxa"/>
            <w:vAlign w:val="bottom"/>
            <w:tcBorders>
              <w:right w:val="single" w:sz="8" w:color="auto"/>
            </w:tcBorders>
            <w:shd w:val="clear" w:color="auto" w:fill="D9D9D9"/>
          </w:tcPr>
          <w:p>
            <w:pPr>
              <w:jc w:val="center"/>
              <w:ind w:right="30"/>
              <w:spacing w:after="0"/>
              <w:rPr>
                <w:sz w:val="20"/>
                <w:szCs w:val="20"/>
                <w:color w:val="auto"/>
              </w:rPr>
            </w:pPr>
            <w:r>
              <w:rPr>
                <w:rFonts w:ascii="Arial" w:cs="Arial" w:eastAsia="Arial" w:hAnsi="Arial"/>
                <w:sz w:val="18"/>
                <w:szCs w:val="18"/>
                <w:b w:val="1"/>
                <w:bCs w:val="1"/>
                <w:color w:val="auto"/>
                <w:w w:val="88"/>
              </w:rPr>
              <w:t>191.1</w:t>
            </w:r>
          </w:p>
        </w:tc>
        <w:tc>
          <w:tcPr>
            <w:tcW w:w="7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2,076.1</w:t>
            </w:r>
          </w:p>
        </w:tc>
        <w:tc>
          <w:tcPr>
            <w:tcW w:w="420" w:type="dxa"/>
            <w:vAlign w:val="bottom"/>
            <w:tcBorders>
              <w:right w:val="single" w:sz="8" w:color="auto"/>
            </w:tcBorders>
          </w:tcPr>
          <w:p>
            <w:pPr>
              <w:spacing w:after="0"/>
              <w:rPr>
                <w:sz w:val="18"/>
                <w:szCs w:val="18"/>
                <w:color w:val="auto"/>
              </w:rPr>
            </w:pPr>
          </w:p>
        </w:tc>
        <w:tc>
          <w:tcPr>
            <w:tcW w:w="64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4,068.3</w:t>
            </w:r>
          </w:p>
        </w:tc>
        <w:tc>
          <w:tcPr>
            <w:tcW w:w="120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419.6</w:t>
            </w:r>
          </w:p>
        </w:tc>
        <w:tc>
          <w:tcPr>
            <w:tcW w:w="6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485.3</w:t>
            </w:r>
          </w:p>
        </w:tc>
        <w:tc>
          <w:tcPr>
            <w:tcW w:w="7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4,973.1</w:t>
            </w:r>
          </w:p>
        </w:tc>
        <w:tc>
          <w:tcPr>
            <w:tcW w:w="420" w:type="dxa"/>
            <w:vAlign w:val="bottom"/>
            <w:tcBorders>
              <w:right w:val="single" w:sz="8" w:color="auto"/>
            </w:tcBorders>
          </w:tcPr>
          <w:p>
            <w:pPr>
              <w:spacing w:after="0"/>
              <w:rPr>
                <w:sz w:val="18"/>
                <w:szCs w:val="18"/>
                <w:color w:val="auto"/>
              </w:rPr>
            </w:pPr>
          </w:p>
        </w:tc>
        <w:tc>
          <w:tcPr>
            <w:tcW w:w="92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3,983.7</w:t>
            </w:r>
          </w:p>
        </w:tc>
        <w:tc>
          <w:tcPr>
            <w:tcW w:w="120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405.5</w:t>
            </w:r>
          </w:p>
        </w:tc>
        <w:tc>
          <w:tcPr>
            <w:tcW w:w="60" w:type="dxa"/>
            <w:vAlign w:val="bottom"/>
            <w:tcBorders>
              <w:bottom w:val="single" w:sz="8" w:color="auto"/>
            </w:tcBorders>
            <w:shd w:val="clear" w:color="auto" w:fill="BFBFBF"/>
          </w:tcPr>
          <w:p>
            <w:pPr>
              <w:spacing w:after="0"/>
              <w:rPr>
                <w:sz w:val="18"/>
                <w:szCs w:val="18"/>
                <w:color w:val="auto"/>
              </w:rPr>
            </w:pPr>
          </w:p>
        </w:tc>
        <w:tc>
          <w:tcPr>
            <w:tcW w:w="600" w:type="dxa"/>
            <w:vAlign w:val="bottom"/>
            <w:tcBorders>
              <w:bottom w:val="single" w:sz="8" w:color="auto"/>
              <w:right w:val="single" w:sz="8" w:color="auto"/>
            </w:tcBorders>
            <w:shd w:val="clear" w:color="auto" w:fill="BFBFBF"/>
          </w:tcPr>
          <w:p>
            <w:pPr>
              <w:jc w:val="center"/>
              <w:ind w:right="30"/>
              <w:spacing w:after="0"/>
              <w:rPr>
                <w:sz w:val="20"/>
                <w:szCs w:val="20"/>
                <w:color w:val="auto"/>
              </w:rPr>
            </w:pPr>
            <w:r>
              <w:rPr>
                <w:rFonts w:ascii="Arial" w:cs="Arial" w:eastAsia="Arial" w:hAnsi="Arial"/>
                <w:sz w:val="18"/>
                <w:szCs w:val="18"/>
                <w:b w:val="1"/>
                <w:bCs w:val="1"/>
                <w:color w:val="auto"/>
                <w:w w:val="88"/>
              </w:rPr>
              <w:t>476.7</w:t>
            </w:r>
          </w:p>
        </w:tc>
        <w:tc>
          <w:tcPr>
            <w:tcW w:w="7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4,866.0</w:t>
            </w:r>
          </w:p>
        </w:tc>
        <w:tc>
          <w:tcPr>
            <w:tcW w:w="420" w:type="dxa"/>
            <w:vAlign w:val="bottom"/>
            <w:tcBorders>
              <w:right w:val="single" w:sz="8" w:color="auto"/>
            </w:tcBorders>
          </w:tcPr>
          <w:p>
            <w:pPr>
              <w:spacing w:after="0"/>
              <w:rPr>
                <w:sz w:val="18"/>
                <w:szCs w:val="18"/>
                <w:color w:val="auto"/>
              </w:rPr>
            </w:pPr>
          </w:p>
        </w:tc>
        <w:tc>
          <w:tcPr>
            <w:tcW w:w="64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7"/>
              </w:rPr>
              <w:t>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4193540" cy="18522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193540" cy="18522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12"/>
        </w:trPr>
        <w:tc>
          <w:tcPr>
            <w:tcW w:w="302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w w:val="96"/>
              </w:rPr>
              <w:t>Expressed in million Mexican Pesos</w:t>
            </w:r>
          </w:p>
        </w:tc>
        <w:tc>
          <w:tcPr>
            <w:tcW w:w="1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3Q 2018</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3Q 2017</w:t>
            </w:r>
            <w:r>
              <w:rPr>
                <w:rFonts w:ascii="Arial" w:cs="Arial" w:eastAsia="Arial" w:hAnsi="Arial"/>
                <w:sz w:val="30"/>
                <w:szCs w:val="30"/>
                <w:b w:val="1"/>
                <w:bCs w:val="1"/>
                <w:color w:val="auto"/>
                <w:w w:val="87"/>
                <w:vertAlign w:val="superscript"/>
              </w:rPr>
              <w:t>(3)</w:t>
            </w:r>
          </w:p>
        </w:tc>
        <w:tc>
          <w:tcPr>
            <w:tcW w:w="11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D%</w:t>
            </w:r>
          </w:p>
        </w:tc>
        <w:tc>
          <w:tcPr>
            <w:tcW w:w="20" w:type="dxa"/>
            <w:vAlign w:val="bottom"/>
            <w:tcBorders>
              <w:top w:val="single" w:sz="8" w:color="auto"/>
              <w:bottom w:val="single" w:sz="8" w:color="auto"/>
            </w:tcBorders>
          </w:tcPr>
          <w:p>
            <w:pPr>
              <w:spacing w:after="0"/>
              <w:rPr>
                <w:sz w:val="24"/>
                <w:szCs w:val="24"/>
                <w:color w:val="auto"/>
              </w:rPr>
            </w:pPr>
          </w:p>
        </w:tc>
      </w:tr>
      <w:tr>
        <w:trPr>
          <w:trHeight w:val="195"/>
        </w:trPr>
        <w:tc>
          <w:tcPr>
            <w:tcW w:w="3020" w:type="dxa"/>
            <w:vAlign w:val="bottom"/>
            <w:tcBorders>
              <w:right w:val="single" w:sz="8" w:color="auto"/>
            </w:tcBorders>
          </w:tcPr>
          <w:p>
            <w:pPr>
              <w:ind w:left="520"/>
              <w:spacing w:after="0" w:line="195" w:lineRule="exact"/>
              <w:rPr>
                <w:sz w:val="20"/>
                <w:szCs w:val="20"/>
                <w:color w:val="auto"/>
              </w:rPr>
            </w:pPr>
            <w:r>
              <w:rPr>
                <w:rFonts w:ascii="Arial" w:cs="Arial" w:eastAsia="Arial" w:hAnsi="Arial"/>
                <w:sz w:val="18"/>
                <w:szCs w:val="18"/>
                <w:color w:val="auto"/>
              </w:rPr>
              <w:t>Mexico</w:t>
            </w:r>
          </w:p>
        </w:tc>
        <w:tc>
          <w:tcPr>
            <w:tcW w:w="1200" w:type="dxa"/>
            <w:vAlign w:val="bottom"/>
          </w:tcPr>
          <w:p>
            <w:pPr>
              <w:jc w:val="center"/>
              <w:spacing w:after="0" w:line="195" w:lineRule="exact"/>
              <w:rPr>
                <w:sz w:val="20"/>
                <w:szCs w:val="20"/>
                <w:color w:val="auto"/>
              </w:rPr>
            </w:pPr>
            <w:r>
              <w:rPr>
                <w:rFonts w:ascii="Arial" w:cs="Arial" w:eastAsia="Arial" w:hAnsi="Arial"/>
                <w:sz w:val="18"/>
                <w:szCs w:val="18"/>
                <w:color w:val="auto"/>
                <w:w w:val="90"/>
              </w:rPr>
              <w:t>21,909</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20,332</w:t>
            </w:r>
          </w:p>
        </w:tc>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92"/>
              </w:rPr>
              <w:t>7.8%</w:t>
            </w:r>
          </w:p>
        </w:tc>
        <w:tc>
          <w:tcPr>
            <w:tcW w:w="20" w:type="dxa"/>
            <w:vAlign w:val="bottom"/>
          </w:tcPr>
          <w:p>
            <w:pPr>
              <w:spacing w:after="0"/>
              <w:rPr>
                <w:sz w:val="16"/>
                <w:szCs w:val="16"/>
                <w:color w:val="auto"/>
              </w:rPr>
            </w:pPr>
          </w:p>
        </w:tc>
      </w:tr>
      <w:tr>
        <w:trPr>
          <w:trHeight w:val="230"/>
        </w:trPr>
        <w:tc>
          <w:tcPr>
            <w:tcW w:w="30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Central America</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4,160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2,907</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43.1%</w:t>
            </w:r>
          </w:p>
        </w:tc>
        <w:tc>
          <w:tcPr>
            <w:tcW w:w="20" w:type="dxa"/>
            <w:vAlign w:val="bottom"/>
          </w:tcPr>
          <w:p>
            <w:pPr>
              <w:spacing w:after="0"/>
              <w:rPr>
                <w:sz w:val="20"/>
                <w:szCs w:val="20"/>
                <w:color w:val="auto"/>
              </w:rPr>
            </w:pPr>
          </w:p>
        </w:tc>
      </w:tr>
      <w:tr>
        <w:trPr>
          <w:trHeight w:val="216"/>
        </w:trPr>
        <w:tc>
          <w:tcPr>
            <w:tcW w:w="302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Mexico and Central America</w:t>
            </w:r>
          </w:p>
        </w:tc>
        <w:tc>
          <w:tcPr>
            <w:tcW w:w="12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26,069</w:t>
            </w:r>
          </w:p>
        </w:tc>
        <w:tc>
          <w:tcPr>
            <w:tcW w:w="12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23,239</w:t>
            </w:r>
          </w:p>
        </w:tc>
        <w:tc>
          <w:tcPr>
            <w:tcW w:w="11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12.2%</w:t>
            </w:r>
          </w:p>
        </w:tc>
        <w:tc>
          <w:tcPr>
            <w:tcW w:w="20" w:type="dxa"/>
            <w:vAlign w:val="bottom"/>
          </w:tcPr>
          <w:p>
            <w:pPr>
              <w:spacing w:after="0"/>
              <w:rPr>
                <w:sz w:val="18"/>
                <w:szCs w:val="18"/>
                <w:color w:val="auto"/>
              </w:rPr>
            </w:pPr>
          </w:p>
        </w:tc>
      </w:tr>
      <w:tr>
        <w:trPr>
          <w:trHeight w:val="202"/>
        </w:trPr>
        <w:tc>
          <w:tcPr>
            <w:tcW w:w="3020" w:type="dxa"/>
            <w:vAlign w:val="bottom"/>
            <w:tcBorders>
              <w:right w:val="single" w:sz="8" w:color="auto"/>
            </w:tcBorders>
          </w:tcPr>
          <w:p>
            <w:pPr>
              <w:ind w:left="520"/>
              <w:spacing w:after="0" w:line="201" w:lineRule="exact"/>
              <w:rPr>
                <w:sz w:val="20"/>
                <w:szCs w:val="20"/>
                <w:color w:val="auto"/>
              </w:rPr>
            </w:pPr>
            <w:r>
              <w:rPr>
                <w:rFonts w:ascii="Arial" w:cs="Arial" w:eastAsia="Arial" w:hAnsi="Arial"/>
                <w:sz w:val="18"/>
                <w:szCs w:val="18"/>
                <w:color w:val="auto"/>
              </w:rPr>
              <w:t>Colombia</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88"/>
              </w:rPr>
              <w:t>3,697</w:t>
            </w:r>
          </w:p>
        </w:tc>
        <w:tc>
          <w:tcPr>
            <w:tcW w:w="12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3,415</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2"/>
              </w:rPr>
              <w:t>8.2%</w:t>
            </w:r>
          </w:p>
        </w:tc>
        <w:tc>
          <w:tcPr>
            <w:tcW w:w="20" w:type="dxa"/>
            <w:vAlign w:val="bottom"/>
          </w:tcPr>
          <w:p>
            <w:pPr>
              <w:spacing w:after="0"/>
              <w:rPr>
                <w:sz w:val="17"/>
                <w:szCs w:val="17"/>
                <w:color w:val="auto"/>
              </w:rPr>
            </w:pPr>
          </w:p>
        </w:tc>
      </w:tr>
      <w:tr>
        <w:trPr>
          <w:trHeight w:val="220"/>
        </w:trPr>
        <w:tc>
          <w:tcPr>
            <w:tcW w:w="30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Venezuela</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1,770</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253"/>
        </w:trPr>
        <w:tc>
          <w:tcPr>
            <w:tcW w:w="3020" w:type="dxa"/>
            <w:vAlign w:val="bottom"/>
            <w:tcBorders>
              <w:right w:val="single" w:sz="8" w:color="auto"/>
            </w:tcBorders>
          </w:tcPr>
          <w:p>
            <w:pPr>
              <w:ind w:left="520"/>
              <w:spacing w:after="0" w:line="253" w:lineRule="exact"/>
              <w:rPr>
                <w:sz w:val="20"/>
                <w:szCs w:val="20"/>
                <w:color w:val="auto"/>
              </w:rPr>
            </w:pPr>
            <w:r>
              <w:rPr>
                <w:rFonts w:ascii="Arial" w:cs="Arial" w:eastAsia="Arial" w:hAnsi="Arial"/>
                <w:sz w:val="18"/>
                <w:szCs w:val="18"/>
                <w:color w:val="auto"/>
              </w:rPr>
              <w:t xml:space="preserve">Brazil </w:t>
            </w:r>
            <w:r>
              <w:rPr>
                <w:rFonts w:ascii="Arial" w:cs="Arial" w:eastAsia="Arial" w:hAnsi="Arial"/>
                <w:sz w:val="29"/>
                <w:szCs w:val="29"/>
                <w:color w:val="auto"/>
                <w:vertAlign w:val="superscript"/>
              </w:rPr>
              <w:t>(4)</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11,924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13,190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-9.6%</w:t>
            </w:r>
          </w:p>
        </w:tc>
        <w:tc>
          <w:tcPr>
            <w:tcW w:w="20" w:type="dxa"/>
            <w:vAlign w:val="bottom"/>
          </w:tcPr>
          <w:p>
            <w:pPr>
              <w:spacing w:after="0"/>
              <w:rPr>
                <w:sz w:val="21"/>
                <w:szCs w:val="21"/>
                <w:color w:val="auto"/>
              </w:rPr>
            </w:pPr>
          </w:p>
        </w:tc>
      </w:tr>
      <w:tr>
        <w:trPr>
          <w:trHeight w:val="216"/>
        </w:trPr>
        <w:tc>
          <w:tcPr>
            <w:tcW w:w="30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Argentina</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1,671</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2,851</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-41.4%</w:t>
            </w:r>
          </w:p>
        </w:tc>
        <w:tc>
          <w:tcPr>
            <w:tcW w:w="20" w:type="dxa"/>
            <w:vAlign w:val="bottom"/>
          </w:tcPr>
          <w:p>
            <w:pPr>
              <w:spacing w:after="0"/>
              <w:rPr>
                <w:sz w:val="18"/>
                <w:szCs w:val="18"/>
                <w:color w:val="auto"/>
              </w:rPr>
            </w:pPr>
          </w:p>
        </w:tc>
      </w:tr>
      <w:tr>
        <w:trPr>
          <w:trHeight w:val="230"/>
        </w:trPr>
        <w:tc>
          <w:tcPr>
            <w:tcW w:w="30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Uruguay</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788</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r>
      <w:tr>
        <w:trPr>
          <w:trHeight w:val="216"/>
        </w:trPr>
        <w:tc>
          <w:tcPr>
            <w:tcW w:w="302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South America</w:t>
            </w:r>
          </w:p>
        </w:tc>
        <w:tc>
          <w:tcPr>
            <w:tcW w:w="12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18,079</w:t>
            </w:r>
          </w:p>
        </w:tc>
        <w:tc>
          <w:tcPr>
            <w:tcW w:w="12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21,226</w:t>
            </w:r>
          </w:p>
        </w:tc>
        <w:tc>
          <w:tcPr>
            <w:tcW w:w="11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-14.8%</w:t>
            </w:r>
          </w:p>
        </w:tc>
        <w:tc>
          <w:tcPr>
            <w:tcW w:w="20" w:type="dxa"/>
            <w:vAlign w:val="bottom"/>
          </w:tcPr>
          <w:p>
            <w:pPr>
              <w:spacing w:after="0"/>
              <w:rPr>
                <w:sz w:val="18"/>
                <w:szCs w:val="18"/>
                <w:color w:val="auto"/>
              </w:rPr>
            </w:pPr>
          </w:p>
        </w:tc>
      </w:tr>
      <w:tr>
        <w:trPr>
          <w:trHeight w:val="216"/>
        </w:trPr>
        <w:tc>
          <w:tcPr>
            <w:tcW w:w="3020" w:type="dxa"/>
            <w:vAlign w:val="bottom"/>
            <w:tcBorders>
              <w:bottom w:val="single" w:sz="8" w:color="auto"/>
              <w:right w:val="single" w:sz="8" w:color="BFBFBF"/>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44,148</w:t>
            </w:r>
          </w:p>
        </w:tc>
        <w:tc>
          <w:tcPr>
            <w:tcW w:w="12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44,464</w:t>
            </w:r>
          </w:p>
        </w:tc>
        <w:tc>
          <w:tcPr>
            <w:tcW w:w="116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7"/>
              </w:rPr>
              <w:t>-0.7%</w:t>
            </w:r>
          </w:p>
        </w:tc>
        <w:tc>
          <w:tcPr>
            <w:tcW w:w="20" w:type="dxa"/>
            <w:vAlign w:val="bottom"/>
            <w:tcBorders>
              <w:bottom w:val="single" w:sz="8" w:color="auto"/>
            </w:tcBorders>
          </w:tcPr>
          <w:p>
            <w:pPr>
              <w:spacing w:after="0"/>
              <w:rPr>
                <w:sz w:val="18"/>
                <w:szCs w:val="18"/>
                <w:color w:val="auto"/>
              </w:rPr>
            </w:pPr>
          </w:p>
        </w:tc>
      </w:tr>
    </w:tbl>
    <w:p>
      <w:pPr>
        <w:spacing w:after="0" w:line="174"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Volume, transactions and revenues for 3Q 2017 are re-presented without including the Philippines, as this operation is reported as discontinued.</w:t>
      </w:r>
    </w:p>
    <w:p>
      <w:pPr>
        <w:spacing w:after="0" w:line="42" w:lineRule="exact"/>
        <w:rPr>
          <w:rFonts w:ascii="Arial" w:cs="Arial" w:eastAsia="Arial" w:hAnsi="Arial"/>
          <w:sz w:val="26"/>
          <w:szCs w:val="26"/>
          <w:i w:val="1"/>
          <w:iCs w:val="1"/>
          <w:color w:val="auto"/>
          <w:vertAlign w:val="superscript"/>
        </w:rPr>
      </w:pPr>
    </w:p>
    <w:p>
      <w:pPr>
        <w:ind w:left="220" w:hanging="212"/>
        <w:spacing w:after="0" w:line="186" w:lineRule="auto"/>
        <w:tabs>
          <w:tab w:leader="none" w:pos="220" w:val="left"/>
        </w:tabs>
        <w:numPr>
          <w:ilvl w:val="0"/>
          <w:numId w:val="34"/>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Brazil includes beer revenues of Ps. 2,929 million for the third quarter of 2018 and Ps. 2,768 million for the same period of the previous year.</w:t>
      </w:r>
    </w:p>
    <w:p>
      <w:pPr>
        <w:spacing w:after="0" w:line="200" w:lineRule="exact"/>
        <w:rPr>
          <w:sz w:val="20"/>
          <w:szCs w:val="20"/>
          <w:color w:val="auto"/>
        </w:rPr>
      </w:pPr>
    </w:p>
    <w:p>
      <w:pPr>
        <w:spacing w:after="0" w:line="214"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32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YTD - Volume, Transactions &amp; 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on September 30, 2018 and 2017</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306310" cy="18954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6310" cy="18954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0"/>
        </w:trPr>
        <w:tc>
          <w:tcPr>
            <w:tcW w:w="2480" w:type="dxa"/>
            <w:vAlign w:val="bottom"/>
            <w:tcBorders>
              <w:top w:val="single" w:sz="8" w:color="auto"/>
              <w:bottom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w w:val="94"/>
              </w:rPr>
              <w:t>Expressed in million unit cases</w:t>
            </w:r>
          </w:p>
        </w:tc>
        <w:tc>
          <w:tcPr>
            <w:tcW w:w="92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rPr>
              <w:t>YTD 2018</w:t>
            </w:r>
          </w:p>
        </w:tc>
        <w:tc>
          <w:tcPr>
            <w:tcW w:w="6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spacing w:after="0"/>
              <w:rPr>
                <w:sz w:val="21"/>
                <w:szCs w:val="21"/>
                <w:color w:val="auto"/>
              </w:rPr>
            </w:pPr>
          </w:p>
        </w:tc>
        <w:tc>
          <w:tcPr>
            <w:tcW w:w="260" w:type="dxa"/>
            <w:vAlign w:val="bottom"/>
            <w:tcBorders>
              <w:top w:val="single" w:sz="8" w:color="auto"/>
              <w:right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2"/>
          </w:tcPr>
          <w:p>
            <w:pPr>
              <w:ind w:left="560"/>
              <w:spacing w:after="0" w:line="250" w:lineRule="exact"/>
              <w:rPr>
                <w:sz w:val="20"/>
                <w:szCs w:val="20"/>
                <w:color w:val="auto"/>
              </w:rPr>
            </w:pPr>
            <w:r>
              <w:rPr>
                <w:rFonts w:ascii="Arial" w:cs="Arial" w:eastAsia="Arial" w:hAnsi="Arial"/>
                <w:sz w:val="17"/>
                <w:szCs w:val="17"/>
                <w:b w:val="1"/>
                <w:bCs w:val="1"/>
                <w:color w:val="auto"/>
              </w:rPr>
              <w:t>YTD 2017</w:t>
            </w:r>
            <w:r>
              <w:rPr>
                <w:rFonts w:ascii="Arial" w:cs="Arial" w:eastAsia="Arial" w:hAnsi="Arial"/>
                <w:sz w:val="28"/>
                <w:szCs w:val="28"/>
                <w:b w:val="1"/>
                <w:bCs w:val="1"/>
                <w:color w:val="auto"/>
                <w:vertAlign w:val="superscript"/>
              </w:rPr>
              <w:t>(3)</w:t>
            </w:r>
          </w:p>
        </w:tc>
        <w:tc>
          <w:tcPr>
            <w:tcW w:w="6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right w:val="single" w:sz="8" w:color="auto"/>
            </w:tcBorders>
          </w:tcPr>
          <w:p>
            <w:pPr>
              <w:spacing w:after="0"/>
              <w:rPr>
                <w:sz w:val="21"/>
                <w:szCs w:val="21"/>
                <w:color w:val="auto"/>
              </w:rPr>
            </w:pPr>
          </w:p>
        </w:tc>
        <w:tc>
          <w:tcPr>
            <w:tcW w:w="26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YoY</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48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Sparkling</w:t>
            </w:r>
          </w:p>
        </w:tc>
        <w:tc>
          <w:tcPr>
            <w:tcW w:w="860" w:type="dxa"/>
            <w:vAlign w:val="bottom"/>
            <w:tcBorders>
              <w:right w:val="single" w:sz="8" w:color="auto"/>
            </w:tcBorders>
            <w:vMerge w:val="restart"/>
          </w:tcPr>
          <w:p>
            <w:pPr>
              <w:jc w:val="center"/>
              <w:spacing w:after="0" w:line="250" w:lineRule="exact"/>
              <w:rPr>
                <w:sz w:val="20"/>
                <w:szCs w:val="20"/>
                <w:color w:val="auto"/>
              </w:rPr>
            </w:pPr>
            <w:r>
              <w:rPr>
                <w:rFonts w:ascii="Arial" w:cs="Arial" w:eastAsia="Arial" w:hAnsi="Arial"/>
                <w:sz w:val="17"/>
                <w:szCs w:val="17"/>
                <w:color w:val="auto"/>
                <w:w w:val="90"/>
              </w:rPr>
              <w:t xml:space="preserve">Water </w:t>
            </w:r>
            <w:r>
              <w:rPr>
                <w:rFonts w:ascii="Arial" w:cs="Arial" w:eastAsia="Arial" w:hAnsi="Arial"/>
                <w:sz w:val="28"/>
                <w:szCs w:val="28"/>
                <w:color w:val="auto"/>
                <w:w w:val="90"/>
                <w:vertAlign w:val="superscript"/>
              </w:rPr>
              <w:t>(1)</w:t>
            </w:r>
          </w:p>
        </w:tc>
        <w:tc>
          <w:tcPr>
            <w:tcW w:w="780" w:type="dxa"/>
            <w:vAlign w:val="bottom"/>
            <w:tcBorders>
              <w:right w:val="single" w:sz="8" w:color="auto"/>
            </w:tcBorders>
            <w:vMerge w:val="restart"/>
          </w:tcPr>
          <w:p>
            <w:pPr>
              <w:jc w:val="center"/>
              <w:spacing w:after="0" w:line="250" w:lineRule="exact"/>
              <w:rPr>
                <w:sz w:val="20"/>
                <w:szCs w:val="20"/>
                <w:color w:val="auto"/>
              </w:rPr>
            </w:pPr>
            <w:r>
              <w:rPr>
                <w:rFonts w:ascii="Arial" w:cs="Arial" w:eastAsia="Arial" w:hAnsi="Arial"/>
                <w:sz w:val="17"/>
                <w:szCs w:val="17"/>
                <w:color w:val="auto"/>
                <w:w w:val="95"/>
              </w:rPr>
              <w:t xml:space="preserve">Bulk </w:t>
            </w:r>
            <w:r>
              <w:rPr>
                <w:rFonts w:ascii="Arial" w:cs="Arial" w:eastAsia="Arial" w:hAnsi="Arial"/>
                <w:sz w:val="28"/>
                <w:szCs w:val="28"/>
                <w:color w:val="auto"/>
                <w:w w:val="95"/>
                <w:vertAlign w:val="superscript"/>
              </w:rPr>
              <w:t>(2)</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Stills</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Total</w:t>
            </w:r>
          </w:p>
        </w:tc>
        <w:tc>
          <w:tcPr>
            <w:tcW w:w="26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Sparkling</w:t>
            </w:r>
          </w:p>
        </w:tc>
        <w:tc>
          <w:tcPr>
            <w:tcW w:w="860" w:type="dxa"/>
            <w:vAlign w:val="bottom"/>
            <w:tcBorders>
              <w:right w:val="single" w:sz="8" w:color="auto"/>
            </w:tcBorders>
            <w:vMerge w:val="restart"/>
          </w:tcPr>
          <w:p>
            <w:pPr>
              <w:jc w:val="center"/>
              <w:spacing w:after="0" w:line="250" w:lineRule="exact"/>
              <w:rPr>
                <w:sz w:val="20"/>
                <w:szCs w:val="20"/>
                <w:color w:val="auto"/>
              </w:rPr>
            </w:pPr>
            <w:r>
              <w:rPr>
                <w:rFonts w:ascii="Arial" w:cs="Arial" w:eastAsia="Arial" w:hAnsi="Arial"/>
                <w:sz w:val="17"/>
                <w:szCs w:val="17"/>
                <w:color w:val="auto"/>
                <w:w w:val="87"/>
              </w:rPr>
              <w:t xml:space="preserve">Water </w:t>
            </w:r>
            <w:r>
              <w:rPr>
                <w:rFonts w:ascii="Arial" w:cs="Arial" w:eastAsia="Arial" w:hAnsi="Arial"/>
                <w:sz w:val="28"/>
                <w:szCs w:val="28"/>
                <w:color w:val="auto"/>
                <w:w w:val="87"/>
                <w:vertAlign w:val="superscript"/>
              </w:rPr>
              <w:t>(1)</w:t>
            </w:r>
          </w:p>
        </w:tc>
        <w:tc>
          <w:tcPr>
            <w:tcW w:w="780" w:type="dxa"/>
            <w:vAlign w:val="bottom"/>
            <w:tcBorders>
              <w:right w:val="single" w:sz="8" w:color="auto"/>
            </w:tcBorders>
            <w:vMerge w:val="restart"/>
          </w:tcPr>
          <w:p>
            <w:pPr>
              <w:jc w:val="center"/>
              <w:spacing w:after="0" w:line="250" w:lineRule="exact"/>
              <w:rPr>
                <w:sz w:val="20"/>
                <w:szCs w:val="20"/>
                <w:color w:val="auto"/>
              </w:rPr>
            </w:pPr>
            <w:r>
              <w:rPr>
                <w:rFonts w:ascii="Arial" w:cs="Arial" w:eastAsia="Arial" w:hAnsi="Arial"/>
                <w:sz w:val="17"/>
                <w:szCs w:val="17"/>
                <w:color w:val="auto"/>
                <w:w w:val="92"/>
              </w:rPr>
              <w:t xml:space="preserve">Bulk </w:t>
            </w:r>
            <w:r>
              <w:rPr>
                <w:rFonts w:ascii="Arial" w:cs="Arial" w:eastAsia="Arial" w:hAnsi="Arial"/>
                <w:sz w:val="28"/>
                <w:szCs w:val="28"/>
                <w:color w:val="auto"/>
                <w:w w:val="92"/>
                <w:vertAlign w:val="superscript"/>
              </w:rPr>
              <w:t>(2)</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Stills</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Total</w:t>
            </w:r>
          </w:p>
        </w:tc>
        <w:tc>
          <w:tcPr>
            <w:tcW w:w="260" w:type="dxa"/>
            <w:vAlign w:val="bottom"/>
            <w:tcBorders>
              <w:right w:val="single" w:sz="8" w:color="auto"/>
            </w:tcBorders>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4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60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80" w:type="dxa"/>
            <w:vAlign w:val="bottom"/>
            <w:tcBorders>
              <w:right w:val="single" w:sz="8" w:color="auto"/>
            </w:tcBorders>
          </w:tcPr>
          <w:p>
            <w:pPr>
              <w:ind w:left="520"/>
              <w:spacing w:after="0" w:line="195" w:lineRule="exact"/>
              <w:rPr>
                <w:sz w:val="20"/>
                <w:szCs w:val="20"/>
                <w:color w:val="auto"/>
              </w:rPr>
            </w:pPr>
            <w:r>
              <w:rPr>
                <w:rFonts w:ascii="Arial" w:cs="Arial" w:eastAsia="Arial" w:hAnsi="Arial"/>
                <w:sz w:val="18"/>
                <w:szCs w:val="18"/>
                <w:color w:val="auto"/>
              </w:rPr>
              <w:t>Mexico</w:t>
            </w: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9"/>
              </w:rPr>
              <w:t>1,020.1</w:t>
            </w: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91"/>
              </w:rPr>
              <w:t>80.1</w:t>
            </w: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88"/>
              </w:rPr>
              <w:t>214.8</w:t>
            </w:r>
          </w:p>
        </w:tc>
        <w:tc>
          <w:tcPr>
            <w:tcW w:w="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91.2</w:t>
            </w:r>
          </w:p>
        </w:tc>
        <w:tc>
          <w:tcPr>
            <w:tcW w:w="7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1,406.2</w:t>
            </w:r>
          </w:p>
        </w:tc>
        <w:tc>
          <w:tcPr>
            <w:tcW w:w="260" w:type="dxa"/>
            <w:vAlign w:val="bottom"/>
            <w:tcBorders>
              <w:right w:val="single" w:sz="8" w:color="auto"/>
            </w:tcBorders>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9"/>
              </w:rPr>
              <w:t>1,012.6</w:t>
            </w: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5"/>
              </w:rPr>
              <w:t>75.7</w:t>
            </w: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88"/>
              </w:rPr>
              <w:t>223.7</w:t>
            </w:r>
          </w:p>
        </w:tc>
        <w:tc>
          <w:tcPr>
            <w:tcW w:w="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84.9</w:t>
            </w:r>
          </w:p>
        </w:tc>
        <w:tc>
          <w:tcPr>
            <w:tcW w:w="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1,397.0</w:t>
            </w:r>
          </w:p>
        </w:tc>
        <w:tc>
          <w:tcPr>
            <w:tcW w:w="260" w:type="dxa"/>
            <w:vAlign w:val="bottom"/>
            <w:tcBorders>
              <w:right w:val="single" w:sz="8" w:color="auto"/>
            </w:tcBorders>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w w:val="92"/>
              </w:rPr>
              <w:t>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Central America</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130.7</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8.3</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155.0</w:t>
            </w:r>
          </w:p>
        </w:tc>
        <w:tc>
          <w:tcPr>
            <w:tcW w:w="260" w:type="dxa"/>
            <w:vAlign w:val="bottom"/>
            <w:tcBorders>
              <w:right w:val="single" w:sz="8" w:color="auto"/>
            </w:tcBorders>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14.5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125.9</w:t>
            </w:r>
          </w:p>
        </w:tc>
        <w:tc>
          <w:tcPr>
            <w:tcW w:w="260" w:type="dxa"/>
            <w:vAlign w:val="bottom"/>
            <w:tcBorders>
              <w:right w:val="single" w:sz="8" w:color="auto"/>
            </w:tcBorders>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23.1%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w w:val="96"/>
              </w:rPr>
              <w:t>Mexico and Central America</w:t>
            </w: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1,150.8</w:t>
            </w:r>
          </w:p>
        </w:tc>
        <w:tc>
          <w:tcPr>
            <w:tcW w:w="8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88.4</w:t>
            </w:r>
          </w:p>
        </w:tc>
        <w:tc>
          <w:tcPr>
            <w:tcW w:w="78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215.3</w:t>
            </w:r>
          </w:p>
        </w:tc>
        <w:tc>
          <w:tcPr>
            <w:tcW w:w="6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106.7</w:t>
            </w:r>
          </w:p>
        </w:tc>
        <w:tc>
          <w:tcPr>
            <w:tcW w:w="7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1,561.2</w:t>
            </w:r>
          </w:p>
        </w:tc>
        <w:tc>
          <w:tcPr>
            <w:tcW w:w="260" w:type="dxa"/>
            <w:vAlign w:val="bottom"/>
            <w:tcBorders>
              <w:right w:val="single" w:sz="8" w:color="auto"/>
            </w:tcBorders>
          </w:tcPr>
          <w:p>
            <w:pPr>
              <w:spacing w:after="0"/>
              <w:rPr>
                <w:sz w:val="18"/>
                <w:szCs w:val="18"/>
                <w:color w:val="auto"/>
              </w:rPr>
            </w:pP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1,115.9</w:t>
            </w:r>
          </w:p>
        </w:tc>
        <w:tc>
          <w:tcPr>
            <w:tcW w:w="8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83.3</w:t>
            </w:r>
          </w:p>
        </w:tc>
        <w:tc>
          <w:tcPr>
            <w:tcW w:w="78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224.2</w:t>
            </w:r>
          </w:p>
        </w:tc>
        <w:tc>
          <w:tcPr>
            <w:tcW w:w="6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99.4</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1,522.8</w:t>
            </w:r>
          </w:p>
        </w:tc>
        <w:tc>
          <w:tcPr>
            <w:tcW w:w="260" w:type="dxa"/>
            <w:vAlign w:val="bottom"/>
            <w:tcBorders>
              <w:right w:val="single" w:sz="8" w:color="auto"/>
            </w:tcBorders>
          </w:tcPr>
          <w:p>
            <w:pPr>
              <w:spacing w:after="0"/>
              <w:rPr>
                <w:sz w:val="18"/>
                <w:szCs w:val="18"/>
                <w:color w:val="auto"/>
              </w:rPr>
            </w:pPr>
          </w:p>
        </w:tc>
        <w:tc>
          <w:tcPr>
            <w:tcW w:w="6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80" w:type="dxa"/>
            <w:vAlign w:val="bottom"/>
            <w:tcBorders>
              <w:right w:val="single" w:sz="8" w:color="auto"/>
            </w:tcBorders>
          </w:tcPr>
          <w:p>
            <w:pPr>
              <w:ind w:left="520"/>
              <w:spacing w:after="0" w:line="201" w:lineRule="exact"/>
              <w:rPr>
                <w:sz w:val="20"/>
                <w:szCs w:val="20"/>
                <w:color w:val="auto"/>
              </w:rPr>
            </w:pPr>
            <w:r>
              <w:rPr>
                <w:rFonts w:ascii="Arial" w:cs="Arial" w:eastAsia="Arial" w:hAnsi="Arial"/>
                <w:sz w:val="18"/>
                <w:szCs w:val="18"/>
                <w:color w:val="auto"/>
              </w:rPr>
              <w:t>Colombia</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8"/>
              </w:rPr>
              <w:t>151.0</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1"/>
              </w:rPr>
              <w:t>24.7</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87"/>
              </w:rPr>
              <w:t>9.6</w:t>
            </w:r>
          </w:p>
        </w:tc>
        <w:tc>
          <w:tcPr>
            <w:tcW w:w="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12.7</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197.9</w:t>
            </w:r>
          </w:p>
        </w:tc>
        <w:tc>
          <w:tcPr>
            <w:tcW w:w="260" w:type="dxa"/>
            <w:vAlign w:val="bottom"/>
            <w:tcBorders>
              <w:right w:val="single" w:sz="8" w:color="auto"/>
            </w:tcBorders>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8"/>
              </w:rPr>
              <w:t>145.2</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5"/>
              </w:rPr>
              <w:t>16.9</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1"/>
              </w:rPr>
              <w:t>14.2</w:t>
            </w:r>
          </w:p>
        </w:tc>
        <w:tc>
          <w:tcPr>
            <w:tcW w:w="6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17.4</w:t>
            </w:r>
          </w:p>
        </w:tc>
        <w:tc>
          <w:tcPr>
            <w:tcW w:w="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193.7</w:t>
            </w:r>
          </w:p>
        </w:tc>
        <w:tc>
          <w:tcPr>
            <w:tcW w:w="260" w:type="dxa"/>
            <w:vAlign w:val="bottom"/>
            <w:tcBorders>
              <w:right w:val="single" w:sz="8" w:color="auto"/>
            </w:tcBorders>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92"/>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Venezuela</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38.3</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1.7</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44.7</w:t>
            </w:r>
          </w:p>
        </w:tc>
        <w:tc>
          <w:tcPr>
            <w:tcW w:w="260" w:type="dxa"/>
            <w:vAlign w:val="bottom"/>
            <w:tcBorders>
              <w:right w:val="single" w:sz="8" w:color="auto"/>
            </w:tcBorders>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Brazil</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483.6</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32.3</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29.3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550.5</w:t>
            </w:r>
          </w:p>
        </w:tc>
        <w:tc>
          <w:tcPr>
            <w:tcW w:w="26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479.6</w:t>
            </w: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28.2</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26.0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538.4</w:t>
            </w:r>
          </w:p>
        </w:tc>
        <w:tc>
          <w:tcPr>
            <w:tcW w:w="260" w:type="dxa"/>
            <w:vAlign w:val="bottom"/>
            <w:tcBorders>
              <w:right w:val="single" w:sz="8" w:color="auto"/>
            </w:tcBorders>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Argentina</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105.9</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12.8</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9.0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131.1</w:t>
            </w:r>
          </w:p>
        </w:tc>
        <w:tc>
          <w:tcPr>
            <w:tcW w:w="26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116.8</w:t>
            </w: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15.0</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11.1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145.3</w:t>
            </w:r>
          </w:p>
        </w:tc>
        <w:tc>
          <w:tcPr>
            <w:tcW w:w="260" w:type="dxa"/>
            <w:vAlign w:val="bottom"/>
            <w:tcBorders>
              <w:right w:val="single" w:sz="8" w:color="auto"/>
            </w:tcBorders>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Uruguay</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8.7</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0.0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9.4</w:t>
            </w:r>
          </w:p>
        </w:tc>
        <w:tc>
          <w:tcPr>
            <w:tcW w:w="260" w:type="dxa"/>
            <w:vAlign w:val="bottom"/>
            <w:tcBorders>
              <w:right w:val="single" w:sz="8" w:color="auto"/>
            </w:tcBorders>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South America</w:t>
            </w: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749.2</w:t>
            </w:r>
          </w:p>
        </w:tc>
        <w:tc>
          <w:tcPr>
            <w:tcW w:w="8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70.4</w:t>
            </w:r>
          </w:p>
        </w:tc>
        <w:tc>
          <w:tcPr>
            <w:tcW w:w="78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18.2</w:t>
            </w:r>
          </w:p>
        </w:tc>
        <w:tc>
          <w:tcPr>
            <w:tcW w:w="6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51.1</w:t>
            </w:r>
          </w:p>
        </w:tc>
        <w:tc>
          <w:tcPr>
            <w:tcW w:w="7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888.9</w:t>
            </w:r>
          </w:p>
        </w:tc>
        <w:tc>
          <w:tcPr>
            <w:tcW w:w="260" w:type="dxa"/>
            <w:vAlign w:val="bottom"/>
            <w:tcBorders>
              <w:right w:val="single" w:sz="8" w:color="auto"/>
            </w:tcBorders>
          </w:tcPr>
          <w:p>
            <w:pPr>
              <w:spacing w:after="0"/>
              <w:rPr>
                <w:sz w:val="18"/>
                <w:szCs w:val="18"/>
                <w:color w:val="auto"/>
              </w:rPr>
            </w:pP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780.0</w:t>
            </w:r>
          </w:p>
        </w:tc>
        <w:tc>
          <w:tcPr>
            <w:tcW w:w="8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64.5</w:t>
            </w:r>
          </w:p>
        </w:tc>
        <w:tc>
          <w:tcPr>
            <w:tcW w:w="78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21.5</w:t>
            </w:r>
          </w:p>
        </w:tc>
        <w:tc>
          <w:tcPr>
            <w:tcW w:w="6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56.1</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922.1</w:t>
            </w:r>
          </w:p>
        </w:tc>
        <w:tc>
          <w:tcPr>
            <w:tcW w:w="260" w:type="dxa"/>
            <w:vAlign w:val="bottom"/>
            <w:tcBorders>
              <w:right w:val="single" w:sz="8" w:color="auto"/>
            </w:tcBorders>
          </w:tcPr>
          <w:p>
            <w:pPr>
              <w:spacing w:after="0"/>
              <w:rPr>
                <w:sz w:val="18"/>
                <w:szCs w:val="18"/>
                <w:color w:val="auto"/>
              </w:rPr>
            </w:pPr>
          </w:p>
        </w:tc>
        <w:tc>
          <w:tcPr>
            <w:tcW w:w="6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1,900.0</w:t>
            </w:r>
          </w:p>
        </w:tc>
        <w:tc>
          <w:tcPr>
            <w:tcW w:w="86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158.8</w:t>
            </w:r>
          </w:p>
        </w:tc>
        <w:tc>
          <w:tcPr>
            <w:tcW w:w="78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233.5</w:t>
            </w:r>
          </w:p>
        </w:tc>
        <w:tc>
          <w:tcPr>
            <w:tcW w:w="6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157.8</w:t>
            </w:r>
          </w:p>
        </w:tc>
        <w:tc>
          <w:tcPr>
            <w:tcW w:w="7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2,450.1</w:t>
            </w:r>
          </w:p>
        </w:tc>
        <w:tc>
          <w:tcPr>
            <w:tcW w:w="260" w:type="dxa"/>
            <w:vAlign w:val="bottom"/>
            <w:tcBorders>
              <w:right w:val="single" w:sz="8" w:color="auto"/>
            </w:tcBorders>
          </w:tcPr>
          <w:p>
            <w:pPr>
              <w:spacing w:after="0"/>
              <w:rPr>
                <w:sz w:val="18"/>
                <w:szCs w:val="18"/>
                <w:color w:val="auto"/>
              </w:rPr>
            </w:pPr>
          </w:p>
        </w:tc>
        <w:tc>
          <w:tcPr>
            <w:tcW w:w="92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1,895.9</w:t>
            </w:r>
          </w:p>
        </w:tc>
        <w:tc>
          <w:tcPr>
            <w:tcW w:w="86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147.8</w:t>
            </w:r>
          </w:p>
        </w:tc>
        <w:tc>
          <w:tcPr>
            <w:tcW w:w="78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245.7</w:t>
            </w:r>
          </w:p>
        </w:tc>
        <w:tc>
          <w:tcPr>
            <w:tcW w:w="6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155.5</w:t>
            </w:r>
          </w:p>
        </w:tc>
        <w:tc>
          <w:tcPr>
            <w:tcW w:w="7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2,444.9</w:t>
            </w:r>
          </w:p>
        </w:tc>
        <w:tc>
          <w:tcPr>
            <w:tcW w:w="260" w:type="dxa"/>
            <w:vAlign w:val="bottom"/>
            <w:tcBorders>
              <w:right w:val="single" w:sz="8" w:color="auto"/>
            </w:tcBorders>
          </w:tcPr>
          <w:p>
            <w:pPr>
              <w:spacing w:after="0"/>
              <w:rPr>
                <w:sz w:val="18"/>
                <w:szCs w:val="18"/>
                <w:color w:val="auto"/>
              </w:rPr>
            </w:pPr>
          </w:p>
        </w:tc>
        <w:tc>
          <w:tcPr>
            <w:tcW w:w="66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rPr>
              <w:t>0.2%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26"/>
          <w:szCs w:val="26"/>
          <w:color w:val="auto"/>
          <w:vertAlign w:val="superscript"/>
        </w:rPr>
      </w:pPr>
      <w:r>
        <w:rPr>
          <w:rFonts w:ascii="Arial" w:cs="Arial" w:eastAsia="Arial" w:hAnsi="Arial"/>
          <w:sz w:val="16"/>
          <w:szCs w:val="16"/>
          <w:color w:val="auto"/>
        </w:rPr>
        <w:t>Excludes water presentations larger than 5.0 Lt ; includes flavored water</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Bulk Water = Still bottled water in 5.0, 19.0 and 20.0 - liter packaging presentations; includes flavored water</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8694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0"/>
        </w:trPr>
        <w:tc>
          <w:tcPr>
            <w:tcW w:w="2720" w:type="dxa"/>
            <w:vAlign w:val="bottom"/>
            <w:tcBorders>
              <w:top w:val="single" w:sz="8" w:color="auto"/>
              <w:bottom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w w:val="96"/>
              </w:rPr>
              <w:t>Expressed in million transactions</w:t>
            </w:r>
          </w:p>
        </w:tc>
        <w:tc>
          <w:tcPr>
            <w:tcW w:w="92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YTD 2018</w:t>
            </w:r>
          </w:p>
        </w:tc>
        <w:tc>
          <w:tcPr>
            <w:tcW w:w="940" w:type="dxa"/>
            <w:vAlign w:val="bottom"/>
            <w:tcBorders>
              <w:top w:val="single" w:sz="8" w:color="auto"/>
              <w:bottom w:val="single" w:sz="8" w:color="auto"/>
              <w:right w:val="single" w:sz="8" w:color="auto"/>
            </w:tcBorders>
          </w:tcPr>
          <w:p>
            <w:pPr>
              <w:spacing w:after="0"/>
              <w:rPr>
                <w:sz w:val="21"/>
                <w:szCs w:val="21"/>
                <w:color w:val="auto"/>
              </w:rPr>
            </w:pPr>
          </w:p>
        </w:tc>
        <w:tc>
          <w:tcPr>
            <w:tcW w:w="360" w:type="dxa"/>
            <w:vAlign w:val="bottom"/>
            <w:tcBorders>
              <w:top w:val="single" w:sz="8" w:color="auto"/>
              <w:right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gridSpan w:val="2"/>
          </w:tcPr>
          <w:p>
            <w:pPr>
              <w:ind w:left="420"/>
              <w:spacing w:after="0" w:line="250" w:lineRule="exact"/>
              <w:rPr>
                <w:sz w:val="20"/>
                <w:szCs w:val="20"/>
                <w:color w:val="auto"/>
              </w:rPr>
            </w:pPr>
            <w:r>
              <w:rPr>
                <w:rFonts w:ascii="Arial" w:cs="Arial" w:eastAsia="Arial" w:hAnsi="Arial"/>
                <w:sz w:val="17"/>
                <w:szCs w:val="17"/>
                <w:b w:val="1"/>
                <w:bCs w:val="1"/>
                <w:color w:val="auto"/>
              </w:rPr>
              <w:t>YTD 2017</w:t>
            </w:r>
            <w:r>
              <w:rPr>
                <w:rFonts w:ascii="Arial" w:cs="Arial" w:eastAsia="Arial" w:hAnsi="Arial"/>
                <w:sz w:val="28"/>
                <w:szCs w:val="28"/>
                <w:b w:val="1"/>
                <w:bCs w:val="1"/>
                <w:color w:val="auto"/>
                <w:vertAlign w:val="superscript"/>
              </w:rPr>
              <w:t>(3)</w:t>
            </w:r>
          </w:p>
        </w:tc>
        <w:tc>
          <w:tcPr>
            <w:tcW w:w="920" w:type="dxa"/>
            <w:vAlign w:val="bottom"/>
            <w:tcBorders>
              <w:top w:val="single" w:sz="8" w:color="auto"/>
              <w:bottom w:val="single" w:sz="8" w:color="auto"/>
              <w:right w:val="single" w:sz="8" w:color="auto"/>
            </w:tcBorders>
          </w:tcPr>
          <w:p>
            <w:pPr>
              <w:spacing w:after="0"/>
              <w:rPr>
                <w:sz w:val="21"/>
                <w:szCs w:val="21"/>
                <w:color w:val="auto"/>
              </w:rPr>
            </w:pPr>
          </w:p>
        </w:tc>
        <w:tc>
          <w:tcPr>
            <w:tcW w:w="380" w:type="dxa"/>
            <w:vAlign w:val="bottom"/>
            <w:tcBorders>
              <w:top w:val="single" w:sz="8" w:color="auto"/>
              <w:right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YoY</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72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Sparkling</w:t>
            </w:r>
          </w:p>
        </w:tc>
        <w:tc>
          <w:tcPr>
            <w:tcW w:w="10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Water</w:t>
            </w:r>
          </w:p>
        </w:tc>
        <w:tc>
          <w:tcPr>
            <w:tcW w:w="7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Stills</w:t>
            </w:r>
          </w:p>
        </w:tc>
        <w:tc>
          <w:tcPr>
            <w:tcW w:w="94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Sparkling</w:t>
            </w:r>
          </w:p>
        </w:tc>
        <w:tc>
          <w:tcPr>
            <w:tcW w:w="10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Water</w:t>
            </w:r>
          </w:p>
        </w:tc>
        <w:tc>
          <w:tcPr>
            <w:tcW w:w="7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Stills</w:t>
            </w:r>
          </w:p>
        </w:tc>
        <w:tc>
          <w:tcPr>
            <w:tcW w:w="9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auto"/>
            </w:tcBorders>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72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vMerge w:val="continue"/>
          </w:tcPr>
          <w:p>
            <w:pPr>
              <w:spacing w:after="0"/>
              <w:rPr>
                <w:sz w:val="11"/>
                <w:szCs w:val="11"/>
                <w:color w:val="auto"/>
              </w:rPr>
            </w:pPr>
          </w:p>
        </w:tc>
        <w:tc>
          <w:tcPr>
            <w:tcW w:w="1060" w:type="dxa"/>
            <w:vAlign w:val="bottom"/>
            <w:tcBorders>
              <w:bottom w:val="single" w:sz="8" w:color="auto"/>
              <w:right w:val="single" w:sz="8" w:color="auto"/>
            </w:tcBorders>
            <w:vMerge w:val="continue"/>
          </w:tcPr>
          <w:p>
            <w:pPr>
              <w:spacing w:after="0"/>
              <w:rPr>
                <w:sz w:val="11"/>
                <w:szCs w:val="11"/>
                <w:color w:val="auto"/>
              </w:rPr>
            </w:pPr>
          </w:p>
        </w:tc>
        <w:tc>
          <w:tcPr>
            <w:tcW w:w="740" w:type="dxa"/>
            <w:vAlign w:val="bottom"/>
            <w:tcBorders>
              <w:bottom w:val="single" w:sz="8" w:color="auto"/>
              <w:right w:val="single" w:sz="8" w:color="auto"/>
            </w:tcBorders>
            <w:vMerge w:val="continue"/>
          </w:tcPr>
          <w:p>
            <w:pPr>
              <w:spacing w:after="0"/>
              <w:rPr>
                <w:sz w:val="11"/>
                <w:szCs w:val="11"/>
                <w:color w:val="auto"/>
              </w:rPr>
            </w:pPr>
          </w:p>
        </w:tc>
        <w:tc>
          <w:tcPr>
            <w:tcW w:w="940" w:type="dxa"/>
            <w:vAlign w:val="bottom"/>
            <w:tcBorders>
              <w:bottom w:val="single" w:sz="8" w:color="auto"/>
              <w:right w:val="single" w:sz="8" w:color="auto"/>
            </w:tcBorders>
            <w:vMerge w:val="continue"/>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vMerge w:val="continue"/>
          </w:tcPr>
          <w:p>
            <w:pPr>
              <w:spacing w:after="0"/>
              <w:rPr>
                <w:sz w:val="11"/>
                <w:szCs w:val="11"/>
                <w:color w:val="auto"/>
              </w:rPr>
            </w:pPr>
          </w:p>
        </w:tc>
        <w:tc>
          <w:tcPr>
            <w:tcW w:w="1060" w:type="dxa"/>
            <w:vAlign w:val="bottom"/>
            <w:tcBorders>
              <w:bottom w:val="single" w:sz="8" w:color="auto"/>
              <w:right w:val="single" w:sz="8" w:color="auto"/>
            </w:tcBorders>
            <w:vMerge w:val="continue"/>
          </w:tcPr>
          <w:p>
            <w:pPr>
              <w:spacing w:after="0"/>
              <w:rPr>
                <w:sz w:val="11"/>
                <w:szCs w:val="11"/>
                <w:color w:val="auto"/>
              </w:rPr>
            </w:pPr>
          </w:p>
        </w:tc>
        <w:tc>
          <w:tcPr>
            <w:tcW w:w="740" w:type="dxa"/>
            <w:vAlign w:val="bottom"/>
            <w:tcBorders>
              <w:bottom w:val="single" w:sz="8" w:color="auto"/>
              <w:right w:val="single" w:sz="8" w:color="auto"/>
            </w:tcBorders>
            <w:vMerge w:val="continue"/>
          </w:tcPr>
          <w:p>
            <w:pPr>
              <w:spacing w:after="0"/>
              <w:rPr>
                <w:sz w:val="11"/>
                <w:szCs w:val="11"/>
                <w:color w:val="auto"/>
              </w:rPr>
            </w:pPr>
          </w:p>
        </w:tc>
        <w:tc>
          <w:tcPr>
            <w:tcW w:w="920" w:type="dxa"/>
            <w:vAlign w:val="bottom"/>
            <w:tcBorders>
              <w:bottom w:val="single" w:sz="8" w:color="auto"/>
              <w:right w:val="single" w:sz="8" w:color="auto"/>
            </w:tcBorders>
            <w:vMerge w:val="continue"/>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720" w:type="dxa"/>
            <w:vAlign w:val="bottom"/>
            <w:tcBorders>
              <w:right w:val="single" w:sz="8" w:color="auto"/>
            </w:tcBorders>
          </w:tcPr>
          <w:p>
            <w:pPr>
              <w:ind w:left="520"/>
              <w:spacing w:after="0" w:line="195" w:lineRule="exact"/>
              <w:rPr>
                <w:sz w:val="20"/>
                <w:szCs w:val="20"/>
                <w:color w:val="auto"/>
              </w:rPr>
            </w:pPr>
            <w:r>
              <w:rPr>
                <w:rFonts w:ascii="Arial" w:cs="Arial" w:eastAsia="Arial" w:hAnsi="Arial"/>
                <w:sz w:val="18"/>
                <w:szCs w:val="18"/>
                <w:color w:val="auto"/>
              </w:rPr>
              <w:t>Mexico</w:t>
            </w: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9"/>
              </w:rPr>
              <w:t>6,083.7</w:t>
            </w: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w w:val="88"/>
              </w:rPr>
              <w:t>586.7</w:t>
            </w:r>
          </w:p>
        </w:tc>
        <w:tc>
          <w:tcPr>
            <w:tcW w:w="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733.7</w:t>
            </w:r>
          </w:p>
        </w:tc>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7,404.1</w:t>
            </w:r>
          </w:p>
        </w:tc>
        <w:tc>
          <w:tcPr>
            <w:tcW w:w="360" w:type="dxa"/>
            <w:vAlign w:val="bottom"/>
            <w:tcBorders>
              <w:right w:val="single" w:sz="8" w:color="auto"/>
            </w:tcBorders>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9"/>
              </w:rPr>
              <w:t>6,119.3</w:t>
            </w: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w w:val="88"/>
              </w:rPr>
              <w:t>560.8</w:t>
            </w:r>
          </w:p>
        </w:tc>
        <w:tc>
          <w:tcPr>
            <w:tcW w:w="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697.2</w:t>
            </w:r>
          </w:p>
        </w:tc>
        <w:tc>
          <w:tcPr>
            <w:tcW w:w="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7,377.2</w:t>
            </w:r>
          </w:p>
        </w:tc>
        <w:tc>
          <w:tcPr>
            <w:tcW w:w="380" w:type="dxa"/>
            <w:vAlign w:val="bottom"/>
            <w:tcBorders>
              <w:right w:val="single" w:sz="8" w:color="auto"/>
            </w:tcBorders>
          </w:tcPr>
          <w:p>
            <w:pPr>
              <w:spacing w:after="0"/>
              <w:rPr>
                <w:sz w:val="16"/>
                <w:szCs w:val="16"/>
                <w:color w:val="auto"/>
              </w:rPr>
            </w:pP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2"/>
              </w:rPr>
              <w:t>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Central America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1,056.2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50.2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189.4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1,295.9</w:t>
            </w:r>
          </w:p>
        </w:tc>
        <w:tc>
          <w:tcPr>
            <w:tcW w:w="360" w:type="dxa"/>
            <w:vAlign w:val="bottom"/>
            <w:tcBorders>
              <w:right w:val="single" w:sz="8" w:color="auto"/>
            </w:tcBorders>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856.7</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46.1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187.7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1,090.5</w:t>
            </w:r>
          </w:p>
        </w:tc>
        <w:tc>
          <w:tcPr>
            <w:tcW w:w="380" w:type="dxa"/>
            <w:vAlign w:val="bottom"/>
            <w:tcBorders>
              <w:right w:val="single" w:sz="8" w:color="auto"/>
            </w:tcBorders>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Mexico and Central America</w:t>
            </w: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7,139.9</w:t>
            </w:r>
          </w:p>
        </w:tc>
        <w:tc>
          <w:tcPr>
            <w:tcW w:w="10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636.9</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923.2</w:t>
            </w:r>
          </w:p>
        </w:tc>
        <w:tc>
          <w:tcPr>
            <w:tcW w:w="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8,700.0</w:t>
            </w:r>
          </w:p>
        </w:tc>
        <w:tc>
          <w:tcPr>
            <w:tcW w:w="360" w:type="dxa"/>
            <w:vAlign w:val="bottom"/>
            <w:tcBorders>
              <w:right w:val="single" w:sz="8" w:color="auto"/>
            </w:tcBorders>
          </w:tcPr>
          <w:p>
            <w:pPr>
              <w:spacing w:after="0"/>
              <w:rPr>
                <w:sz w:val="18"/>
                <w:szCs w:val="18"/>
                <w:color w:val="auto"/>
              </w:rPr>
            </w:pP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6,976.0</w:t>
            </w:r>
          </w:p>
        </w:tc>
        <w:tc>
          <w:tcPr>
            <w:tcW w:w="10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606.9</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884.9</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8,467.8</w:t>
            </w:r>
          </w:p>
        </w:tc>
        <w:tc>
          <w:tcPr>
            <w:tcW w:w="380" w:type="dxa"/>
            <w:vAlign w:val="bottom"/>
            <w:tcBorders>
              <w:right w:val="single" w:sz="8" w:color="auto"/>
            </w:tcBorders>
          </w:tcPr>
          <w:p>
            <w:pPr>
              <w:spacing w:after="0"/>
              <w:rPr>
                <w:sz w:val="18"/>
                <w:szCs w:val="18"/>
                <w:color w:val="auto"/>
              </w:rPr>
            </w:pPr>
          </w:p>
        </w:tc>
        <w:tc>
          <w:tcPr>
            <w:tcW w:w="64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tcBorders>
              <w:right w:val="single" w:sz="8" w:color="auto"/>
            </w:tcBorders>
          </w:tcPr>
          <w:p>
            <w:pPr>
              <w:ind w:left="520"/>
              <w:spacing w:after="0" w:line="201" w:lineRule="exact"/>
              <w:rPr>
                <w:sz w:val="20"/>
                <w:szCs w:val="20"/>
                <w:color w:val="auto"/>
              </w:rPr>
            </w:pPr>
            <w:r>
              <w:rPr>
                <w:rFonts w:ascii="Arial" w:cs="Arial" w:eastAsia="Arial" w:hAnsi="Arial"/>
                <w:sz w:val="18"/>
                <w:szCs w:val="18"/>
                <w:color w:val="auto"/>
              </w:rPr>
              <w:t>Colombia</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9"/>
              </w:rPr>
              <w:t>1,107.2</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88"/>
              </w:rPr>
              <w:t>262.9</w:t>
            </w:r>
          </w:p>
        </w:tc>
        <w:tc>
          <w:tcPr>
            <w:tcW w:w="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137.1</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1,507.3</w:t>
            </w:r>
          </w:p>
        </w:tc>
        <w:tc>
          <w:tcPr>
            <w:tcW w:w="360" w:type="dxa"/>
            <w:vAlign w:val="bottom"/>
            <w:tcBorders>
              <w:right w:val="single" w:sz="8" w:color="auto"/>
            </w:tcBorders>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9"/>
              </w:rPr>
              <w:t>1,109.6</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88"/>
              </w:rPr>
              <w:t>231.3</w:t>
            </w:r>
          </w:p>
        </w:tc>
        <w:tc>
          <w:tcPr>
            <w:tcW w:w="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171.8</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1,512.7</w:t>
            </w:r>
          </w:p>
        </w:tc>
        <w:tc>
          <w:tcPr>
            <w:tcW w:w="380" w:type="dxa"/>
            <w:vAlign w:val="bottom"/>
            <w:tcBorders>
              <w:right w:val="single" w:sz="8" w:color="auto"/>
            </w:tcBorders>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93"/>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Venezuela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261.3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14.9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318.1</w:t>
            </w:r>
          </w:p>
        </w:tc>
        <w:tc>
          <w:tcPr>
            <w:tcW w:w="380" w:type="dxa"/>
            <w:vAlign w:val="bottom"/>
            <w:tcBorders>
              <w:right w:val="single" w:sz="8" w:color="auto"/>
            </w:tcBorders>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Brazil</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2,979.5</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280.1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338.0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3,597.6</w:t>
            </w:r>
          </w:p>
        </w:tc>
        <w:tc>
          <w:tcPr>
            <w:tcW w:w="36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2,903.3</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249.2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294.2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3,446.7</w:t>
            </w:r>
          </w:p>
        </w:tc>
        <w:tc>
          <w:tcPr>
            <w:tcW w:w="380" w:type="dxa"/>
            <w:vAlign w:val="bottom"/>
            <w:tcBorders>
              <w:right w:val="single" w:sz="8" w:color="auto"/>
            </w:tcBorders>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Argentina</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554.5</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69.9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62.1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686.5</w:t>
            </w:r>
          </w:p>
        </w:tc>
        <w:tc>
          <w:tcPr>
            <w:tcW w:w="360" w:type="dxa"/>
            <w:vAlign w:val="bottom"/>
            <w:tcBorders>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579.0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76.1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72.4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727.5</w:t>
            </w:r>
          </w:p>
        </w:tc>
        <w:tc>
          <w:tcPr>
            <w:tcW w:w="380" w:type="dxa"/>
            <w:vAlign w:val="bottom"/>
            <w:tcBorders>
              <w:right w:val="single" w:sz="8" w:color="auto"/>
            </w:tcBorders>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Uruguay</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44.3</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47.6</w:t>
            </w:r>
          </w:p>
        </w:tc>
        <w:tc>
          <w:tcPr>
            <w:tcW w:w="360" w:type="dxa"/>
            <w:vAlign w:val="bottom"/>
            <w:tcBorders>
              <w:right w:val="single" w:sz="8" w:color="auto"/>
            </w:tcBorders>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South America</w:t>
            </w: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4,685.6</w:t>
            </w:r>
          </w:p>
        </w:tc>
        <w:tc>
          <w:tcPr>
            <w:tcW w:w="10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615.7</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537.7</w:t>
            </w:r>
          </w:p>
        </w:tc>
        <w:tc>
          <w:tcPr>
            <w:tcW w:w="9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5,838.9</w:t>
            </w:r>
          </w:p>
        </w:tc>
        <w:tc>
          <w:tcPr>
            <w:tcW w:w="360" w:type="dxa"/>
            <w:vAlign w:val="bottom"/>
            <w:tcBorders>
              <w:right w:val="single" w:sz="8" w:color="auto"/>
            </w:tcBorders>
          </w:tcPr>
          <w:p>
            <w:pPr>
              <w:spacing w:after="0"/>
              <w:rPr>
                <w:sz w:val="18"/>
                <w:szCs w:val="18"/>
                <w:color w:val="auto"/>
              </w:rPr>
            </w:pPr>
          </w:p>
        </w:tc>
        <w:tc>
          <w:tcPr>
            <w:tcW w:w="9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4,853.1</w:t>
            </w:r>
          </w:p>
        </w:tc>
        <w:tc>
          <w:tcPr>
            <w:tcW w:w="106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598.6</w:t>
            </w:r>
          </w:p>
        </w:tc>
        <w:tc>
          <w:tcPr>
            <w:tcW w:w="7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553.3</w:t>
            </w:r>
          </w:p>
        </w:tc>
        <w:tc>
          <w:tcPr>
            <w:tcW w:w="9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6,005.0</w:t>
            </w:r>
          </w:p>
        </w:tc>
        <w:tc>
          <w:tcPr>
            <w:tcW w:w="380" w:type="dxa"/>
            <w:vAlign w:val="bottom"/>
            <w:tcBorders>
              <w:right w:val="single" w:sz="8" w:color="auto"/>
            </w:tcBorders>
          </w:tcPr>
          <w:p>
            <w:pPr>
              <w:spacing w:after="0"/>
              <w:rPr>
                <w:sz w:val="18"/>
                <w:szCs w:val="18"/>
                <w:color w:val="auto"/>
              </w:rPr>
            </w:pPr>
          </w:p>
        </w:tc>
        <w:tc>
          <w:tcPr>
            <w:tcW w:w="64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11,825.5</w:t>
            </w:r>
          </w:p>
        </w:tc>
        <w:tc>
          <w:tcPr>
            <w:tcW w:w="106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1,252.6</w:t>
            </w:r>
          </w:p>
        </w:tc>
        <w:tc>
          <w:tcPr>
            <w:tcW w:w="7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1,460.9</w:t>
            </w:r>
          </w:p>
        </w:tc>
        <w:tc>
          <w:tcPr>
            <w:tcW w:w="9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14,538.97</w:t>
            </w:r>
          </w:p>
        </w:tc>
        <w:tc>
          <w:tcPr>
            <w:tcW w:w="360" w:type="dxa"/>
            <w:vAlign w:val="bottom"/>
            <w:tcBorders>
              <w:right w:val="single" w:sz="8" w:color="auto"/>
            </w:tcBorders>
          </w:tcPr>
          <w:p>
            <w:pPr>
              <w:spacing w:after="0"/>
              <w:rPr>
                <w:sz w:val="18"/>
                <w:szCs w:val="18"/>
                <w:color w:val="auto"/>
              </w:rPr>
            </w:pPr>
          </w:p>
        </w:tc>
        <w:tc>
          <w:tcPr>
            <w:tcW w:w="92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11,829.1</w:t>
            </w:r>
          </w:p>
        </w:tc>
        <w:tc>
          <w:tcPr>
            <w:tcW w:w="106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1,205.5</w:t>
            </w:r>
          </w:p>
        </w:tc>
        <w:tc>
          <w:tcPr>
            <w:tcW w:w="7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1,438.2</w:t>
            </w:r>
          </w:p>
        </w:tc>
        <w:tc>
          <w:tcPr>
            <w:tcW w:w="9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14,472.80</w:t>
            </w:r>
          </w:p>
        </w:tc>
        <w:tc>
          <w:tcPr>
            <w:tcW w:w="380" w:type="dxa"/>
            <w:vAlign w:val="bottom"/>
            <w:tcBorders>
              <w:right w:val="single" w:sz="8" w:color="auto"/>
            </w:tcBorders>
          </w:tcPr>
          <w:p>
            <w:pPr>
              <w:spacing w:after="0"/>
              <w:rPr>
                <w:sz w:val="18"/>
                <w:szCs w:val="18"/>
                <w:color w:val="auto"/>
              </w:rPr>
            </w:pPr>
          </w:p>
        </w:tc>
        <w:tc>
          <w:tcPr>
            <w:tcW w:w="64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7"/>
              </w:rPr>
              <w:t>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4193540" cy="18522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93540" cy="18522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12"/>
        </w:trPr>
        <w:tc>
          <w:tcPr>
            <w:tcW w:w="302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i w:val="1"/>
                <w:iCs w:val="1"/>
                <w:color w:val="auto"/>
                <w:w w:val="96"/>
              </w:rPr>
              <w:t>Expressed in million Mexican Pesos</w:t>
            </w:r>
          </w:p>
        </w:tc>
        <w:tc>
          <w:tcPr>
            <w:tcW w:w="120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YTD 2018</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YTD 2017</w:t>
            </w:r>
            <w:r>
              <w:rPr>
                <w:rFonts w:ascii="Arial" w:cs="Arial" w:eastAsia="Arial" w:hAnsi="Arial"/>
                <w:sz w:val="30"/>
                <w:szCs w:val="30"/>
                <w:b w:val="1"/>
                <w:bCs w:val="1"/>
                <w:color w:val="auto"/>
                <w:w w:val="90"/>
                <w:vertAlign w:val="superscript"/>
              </w:rPr>
              <w:t>(3)</w:t>
            </w: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w:t>
            </w:r>
          </w:p>
        </w:tc>
        <w:tc>
          <w:tcPr>
            <w:tcW w:w="20" w:type="dxa"/>
            <w:vAlign w:val="bottom"/>
            <w:tcBorders>
              <w:top w:val="single" w:sz="8" w:color="auto"/>
              <w:bottom w:val="single" w:sz="8" w:color="auto"/>
            </w:tcBorders>
          </w:tcPr>
          <w:p>
            <w:pPr>
              <w:spacing w:after="0"/>
              <w:rPr>
                <w:sz w:val="24"/>
                <w:szCs w:val="24"/>
                <w:color w:val="auto"/>
              </w:rPr>
            </w:pPr>
          </w:p>
        </w:tc>
      </w:tr>
      <w:tr>
        <w:trPr>
          <w:trHeight w:val="195"/>
        </w:trPr>
        <w:tc>
          <w:tcPr>
            <w:tcW w:w="3020" w:type="dxa"/>
            <w:vAlign w:val="bottom"/>
            <w:tcBorders>
              <w:right w:val="single" w:sz="8" w:color="auto"/>
            </w:tcBorders>
          </w:tcPr>
          <w:p>
            <w:pPr>
              <w:ind w:left="520"/>
              <w:spacing w:after="0" w:line="195" w:lineRule="exact"/>
              <w:rPr>
                <w:sz w:val="20"/>
                <w:szCs w:val="20"/>
                <w:color w:val="auto"/>
              </w:rPr>
            </w:pPr>
            <w:r>
              <w:rPr>
                <w:rFonts w:ascii="Arial" w:cs="Arial" w:eastAsia="Arial" w:hAnsi="Arial"/>
                <w:sz w:val="18"/>
                <w:szCs w:val="18"/>
                <w:color w:val="auto"/>
              </w:rPr>
              <w:t>Mexico</w:t>
            </w:r>
          </w:p>
        </w:tc>
        <w:tc>
          <w:tcPr>
            <w:tcW w:w="1200" w:type="dxa"/>
            <w:vAlign w:val="bottom"/>
          </w:tcPr>
          <w:p>
            <w:pPr>
              <w:jc w:val="center"/>
              <w:spacing w:after="0" w:line="195" w:lineRule="exact"/>
              <w:rPr>
                <w:sz w:val="20"/>
                <w:szCs w:val="20"/>
                <w:color w:val="auto"/>
              </w:rPr>
            </w:pPr>
            <w:r>
              <w:rPr>
                <w:rFonts w:ascii="Arial" w:cs="Arial" w:eastAsia="Arial" w:hAnsi="Arial"/>
                <w:sz w:val="18"/>
                <w:szCs w:val="18"/>
                <w:color w:val="auto"/>
                <w:w w:val="87"/>
              </w:rPr>
              <w:t>63,430</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59,806</w:t>
            </w:r>
          </w:p>
        </w:tc>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87"/>
              </w:rPr>
              <w:t>6.1%</w:t>
            </w:r>
          </w:p>
        </w:tc>
        <w:tc>
          <w:tcPr>
            <w:tcW w:w="20" w:type="dxa"/>
            <w:vAlign w:val="bottom"/>
          </w:tcPr>
          <w:p>
            <w:pPr>
              <w:spacing w:after="0"/>
              <w:rPr>
                <w:sz w:val="16"/>
                <w:szCs w:val="16"/>
                <w:color w:val="auto"/>
              </w:rPr>
            </w:pPr>
          </w:p>
        </w:tc>
      </w:tr>
      <w:tr>
        <w:trPr>
          <w:trHeight w:val="230"/>
        </w:trPr>
        <w:tc>
          <w:tcPr>
            <w:tcW w:w="30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Central America</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11,308</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9,453</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19.6%</w:t>
            </w:r>
          </w:p>
        </w:tc>
        <w:tc>
          <w:tcPr>
            <w:tcW w:w="20" w:type="dxa"/>
            <w:vAlign w:val="bottom"/>
          </w:tcPr>
          <w:p>
            <w:pPr>
              <w:spacing w:after="0"/>
              <w:rPr>
                <w:sz w:val="20"/>
                <w:szCs w:val="20"/>
                <w:color w:val="auto"/>
              </w:rPr>
            </w:pPr>
          </w:p>
        </w:tc>
      </w:tr>
      <w:tr>
        <w:trPr>
          <w:trHeight w:val="216"/>
        </w:trPr>
        <w:tc>
          <w:tcPr>
            <w:tcW w:w="302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Mexico and Central America</w:t>
            </w:r>
          </w:p>
        </w:tc>
        <w:tc>
          <w:tcPr>
            <w:tcW w:w="12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74,738</w:t>
            </w:r>
          </w:p>
        </w:tc>
        <w:tc>
          <w:tcPr>
            <w:tcW w:w="12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69,259</w:t>
            </w:r>
          </w:p>
        </w:tc>
        <w:tc>
          <w:tcPr>
            <w:tcW w:w="11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7.9%</w:t>
            </w:r>
          </w:p>
        </w:tc>
        <w:tc>
          <w:tcPr>
            <w:tcW w:w="20" w:type="dxa"/>
            <w:vAlign w:val="bottom"/>
          </w:tcPr>
          <w:p>
            <w:pPr>
              <w:spacing w:after="0"/>
              <w:rPr>
                <w:sz w:val="18"/>
                <w:szCs w:val="18"/>
                <w:color w:val="auto"/>
              </w:rPr>
            </w:pPr>
          </w:p>
        </w:tc>
      </w:tr>
      <w:tr>
        <w:trPr>
          <w:trHeight w:val="202"/>
        </w:trPr>
        <w:tc>
          <w:tcPr>
            <w:tcW w:w="3020" w:type="dxa"/>
            <w:vAlign w:val="bottom"/>
            <w:tcBorders>
              <w:right w:val="single" w:sz="8" w:color="auto"/>
            </w:tcBorders>
          </w:tcPr>
          <w:p>
            <w:pPr>
              <w:ind w:left="520"/>
              <w:spacing w:after="0" w:line="201" w:lineRule="exact"/>
              <w:rPr>
                <w:sz w:val="20"/>
                <w:szCs w:val="20"/>
                <w:color w:val="auto"/>
              </w:rPr>
            </w:pPr>
            <w:r>
              <w:rPr>
                <w:rFonts w:ascii="Arial" w:cs="Arial" w:eastAsia="Arial" w:hAnsi="Arial"/>
                <w:sz w:val="18"/>
                <w:szCs w:val="18"/>
                <w:color w:val="auto"/>
              </w:rPr>
              <w:t>Colombia</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87"/>
              </w:rPr>
              <w:t>10,790</w:t>
            </w:r>
          </w:p>
        </w:tc>
        <w:tc>
          <w:tcPr>
            <w:tcW w:w="12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10,514</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7"/>
              </w:rPr>
              <w:t>2.6%</w:t>
            </w:r>
          </w:p>
        </w:tc>
        <w:tc>
          <w:tcPr>
            <w:tcW w:w="20" w:type="dxa"/>
            <w:vAlign w:val="bottom"/>
          </w:tcPr>
          <w:p>
            <w:pPr>
              <w:spacing w:after="0"/>
              <w:rPr>
                <w:sz w:val="17"/>
                <w:szCs w:val="17"/>
                <w:color w:val="auto"/>
              </w:rPr>
            </w:pPr>
          </w:p>
        </w:tc>
      </w:tr>
      <w:tr>
        <w:trPr>
          <w:trHeight w:val="220"/>
        </w:trPr>
        <w:tc>
          <w:tcPr>
            <w:tcW w:w="30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Venezuela</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6,189</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253"/>
        </w:trPr>
        <w:tc>
          <w:tcPr>
            <w:tcW w:w="3020" w:type="dxa"/>
            <w:vAlign w:val="bottom"/>
            <w:tcBorders>
              <w:right w:val="single" w:sz="8" w:color="auto"/>
            </w:tcBorders>
          </w:tcPr>
          <w:p>
            <w:pPr>
              <w:ind w:left="520"/>
              <w:spacing w:after="0" w:line="253" w:lineRule="exact"/>
              <w:rPr>
                <w:sz w:val="20"/>
                <w:szCs w:val="20"/>
                <w:color w:val="auto"/>
              </w:rPr>
            </w:pPr>
            <w:r>
              <w:rPr>
                <w:rFonts w:ascii="Arial" w:cs="Arial" w:eastAsia="Arial" w:hAnsi="Arial"/>
                <w:sz w:val="18"/>
                <w:szCs w:val="18"/>
                <w:color w:val="auto"/>
              </w:rPr>
              <w:t xml:space="preserve">Brazil </w:t>
            </w:r>
            <w:r>
              <w:rPr>
                <w:rFonts w:ascii="Arial" w:cs="Arial" w:eastAsia="Arial" w:hAnsi="Arial"/>
                <w:sz w:val="29"/>
                <w:szCs w:val="29"/>
                <w:color w:val="auto"/>
                <w:vertAlign w:val="superscript"/>
              </w:rPr>
              <w:t>(4)</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39,090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41,500</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-5.8%</w:t>
            </w:r>
          </w:p>
        </w:tc>
        <w:tc>
          <w:tcPr>
            <w:tcW w:w="20" w:type="dxa"/>
            <w:vAlign w:val="bottom"/>
          </w:tcPr>
          <w:p>
            <w:pPr>
              <w:spacing w:after="0"/>
              <w:rPr>
                <w:sz w:val="21"/>
                <w:szCs w:val="21"/>
                <w:color w:val="auto"/>
              </w:rPr>
            </w:pPr>
          </w:p>
        </w:tc>
      </w:tr>
      <w:tr>
        <w:trPr>
          <w:trHeight w:val="216"/>
        </w:trPr>
        <w:tc>
          <w:tcPr>
            <w:tcW w:w="30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Argentina</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5,172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9,579</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-46.0%</w:t>
            </w:r>
          </w:p>
        </w:tc>
        <w:tc>
          <w:tcPr>
            <w:tcW w:w="20" w:type="dxa"/>
            <w:vAlign w:val="bottom"/>
          </w:tcPr>
          <w:p>
            <w:pPr>
              <w:spacing w:after="0"/>
              <w:rPr>
                <w:sz w:val="18"/>
                <w:szCs w:val="18"/>
                <w:color w:val="auto"/>
              </w:rPr>
            </w:pPr>
          </w:p>
        </w:tc>
      </w:tr>
      <w:tr>
        <w:trPr>
          <w:trHeight w:val="230"/>
        </w:trPr>
        <w:tc>
          <w:tcPr>
            <w:tcW w:w="30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Uruguay</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788</w:t>
            </w:r>
          </w:p>
        </w:tc>
        <w:tc>
          <w:tcPr>
            <w:tcW w:w="122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302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South America</w:t>
            </w:r>
          </w:p>
        </w:tc>
        <w:tc>
          <w:tcPr>
            <w:tcW w:w="120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55,839</w:t>
            </w:r>
          </w:p>
        </w:tc>
        <w:tc>
          <w:tcPr>
            <w:tcW w:w="12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67,783</w:t>
            </w:r>
          </w:p>
        </w:tc>
        <w:tc>
          <w:tcPr>
            <w:tcW w:w="11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-17.6%</w:t>
            </w:r>
          </w:p>
        </w:tc>
        <w:tc>
          <w:tcPr>
            <w:tcW w:w="20" w:type="dxa"/>
            <w:vAlign w:val="bottom"/>
          </w:tcPr>
          <w:p>
            <w:pPr>
              <w:spacing w:after="0"/>
              <w:rPr>
                <w:sz w:val="18"/>
                <w:szCs w:val="18"/>
                <w:color w:val="auto"/>
              </w:rPr>
            </w:pPr>
          </w:p>
        </w:tc>
      </w:tr>
      <w:tr>
        <w:trPr>
          <w:trHeight w:val="216"/>
        </w:trPr>
        <w:tc>
          <w:tcPr>
            <w:tcW w:w="302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130,577</w:t>
            </w:r>
          </w:p>
        </w:tc>
        <w:tc>
          <w:tcPr>
            <w:tcW w:w="12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137,041</w:t>
            </w:r>
          </w:p>
        </w:tc>
        <w:tc>
          <w:tcPr>
            <w:tcW w:w="116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rPr>
              <w:t>-4.7%</w:t>
            </w:r>
          </w:p>
        </w:tc>
        <w:tc>
          <w:tcPr>
            <w:tcW w:w="20" w:type="dxa"/>
            <w:vAlign w:val="bottom"/>
            <w:tcBorders>
              <w:bottom w:val="single" w:sz="8" w:color="auto"/>
            </w:tcBorders>
          </w:tcPr>
          <w:p>
            <w:pPr>
              <w:spacing w:after="0"/>
              <w:rPr>
                <w:sz w:val="18"/>
                <w:szCs w:val="18"/>
                <w:color w:val="auto"/>
              </w:rPr>
            </w:pPr>
          </w:p>
        </w:tc>
      </w:tr>
    </w:tbl>
    <w:p>
      <w:pPr>
        <w:spacing w:after="0" w:line="162" w:lineRule="exact"/>
        <w:rPr>
          <w:sz w:val="20"/>
          <w:szCs w:val="20"/>
          <w:color w:val="auto"/>
        </w:rPr>
      </w:pPr>
    </w:p>
    <w:p>
      <w:pPr>
        <w:ind w:left="280" w:hanging="227"/>
        <w:spacing w:after="0"/>
        <w:tabs>
          <w:tab w:leader="none" w:pos="280" w:val="left"/>
        </w:tabs>
        <w:numPr>
          <w:ilvl w:val="1"/>
          <w:numId w:val="36"/>
        </w:numPr>
        <w:rPr>
          <w:rFonts w:ascii="Arial" w:cs="Arial" w:eastAsia="Arial" w:hAnsi="Arial"/>
          <w:sz w:val="27"/>
          <w:szCs w:val="27"/>
          <w:i w:val="1"/>
          <w:iCs w:val="1"/>
          <w:color w:val="auto"/>
          <w:vertAlign w:val="superscript"/>
        </w:rPr>
      </w:pPr>
      <w:r>
        <w:rPr>
          <w:rFonts w:ascii="Arial" w:cs="Arial" w:eastAsia="Arial" w:hAnsi="Arial"/>
          <w:sz w:val="17"/>
          <w:szCs w:val="17"/>
          <w:i w:val="1"/>
          <w:iCs w:val="1"/>
          <w:color w:val="auto"/>
        </w:rPr>
        <w:t>Volume, transactions and revenues for YTD 2017 are re-presented without including the Philippines, as this operation is reported as discontinued.</w:t>
      </w:r>
    </w:p>
    <w:p>
      <w:pPr>
        <w:spacing w:after="0" w:line="42" w:lineRule="exact"/>
        <w:rPr>
          <w:rFonts w:ascii="Arial" w:cs="Arial" w:eastAsia="Arial" w:hAnsi="Arial"/>
          <w:sz w:val="27"/>
          <w:szCs w:val="27"/>
          <w:i w:val="1"/>
          <w:iCs w:val="1"/>
          <w:color w:val="auto"/>
          <w:vertAlign w:val="superscript"/>
        </w:rPr>
      </w:pPr>
    </w:p>
    <w:p>
      <w:pPr>
        <w:ind w:left="220" w:hanging="212"/>
        <w:spacing w:after="0" w:line="186" w:lineRule="auto"/>
        <w:tabs>
          <w:tab w:leader="none" w:pos="220" w:val="left"/>
        </w:tabs>
        <w:numPr>
          <w:ilvl w:val="0"/>
          <w:numId w:val="37"/>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Brazil includes beer revenues of Ps. 9,358 million for the first nine months of 2018 and Ps. 8,695 million for the same period of the previous year.</w:t>
      </w:r>
    </w:p>
    <w:p>
      <w:pPr>
        <w:spacing w:after="0" w:line="200" w:lineRule="exact"/>
        <w:rPr>
          <w:sz w:val="20"/>
          <w:szCs w:val="20"/>
          <w:color w:val="auto"/>
        </w:rPr>
      </w:pPr>
    </w:p>
    <w:p>
      <w:pPr>
        <w:spacing w:after="0" w:line="214"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33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520"/>
          </w:cols>
          <w:pgMar w:left="240" w:top="1337" w:right="1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894715</wp:posOffset>
            </wp:positionH>
            <wp:positionV relativeFrom="page">
              <wp:posOffset>157480</wp:posOffset>
            </wp:positionV>
            <wp:extent cx="5746115" cy="531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746115" cy="531495"/>
                    </a:xfrm>
                    <a:prstGeom prst="rect">
                      <a:avLst/>
                    </a:prstGeom>
                    <a:noFill/>
                  </pic:spPr>
                </pic:pic>
              </a:graphicData>
            </a:graphic>
          </wp:anchor>
        </w:drawing>
        <w:t>Macroeconomic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2018</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Inflation</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620" w:type="dxa"/>
            <w:vAlign w:val="bottom"/>
            <w:tcBorders>
              <w:bottom w:val="single" w:sz="8" w:color="auto"/>
              <w:right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LTM</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3Q 18</w:t>
            </w:r>
          </w:p>
        </w:tc>
        <w:tc>
          <w:tcPr>
            <w:tcW w:w="162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YTD</w:t>
            </w:r>
          </w:p>
        </w:tc>
      </w:tr>
      <w:tr>
        <w:trPr>
          <w:trHeight w:val="210"/>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Mexico</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5.33%</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2.27%</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2.85%</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Guatemala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4.13%</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1.35%</w:t>
            </w:r>
          </w:p>
        </w:tc>
        <w:tc>
          <w:tcPr>
            <w:tcW w:w="162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0"/>
              </w:rPr>
              <w:t>1.98%</w:t>
            </w:r>
          </w:p>
        </w:tc>
      </w:tr>
      <w:tr>
        <w:trPr>
          <w:trHeight w:val="216"/>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Nicaragua</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4.73%</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-0.60%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1.42%</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Costa Rica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2.40%</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0.43%</w:t>
            </w:r>
          </w:p>
        </w:tc>
        <w:tc>
          <w:tcPr>
            <w:tcW w:w="162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0"/>
              </w:rPr>
              <w:t>0.72%</w:t>
            </w:r>
          </w:p>
        </w:tc>
      </w:tr>
      <w:tr>
        <w:trPr>
          <w:trHeight w:val="216"/>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Panama</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0.86%</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0.28%</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1.05%</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Colombia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3.08%</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0.01%</w:t>
            </w:r>
          </w:p>
        </w:tc>
        <w:tc>
          <w:tcPr>
            <w:tcW w:w="162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0"/>
              </w:rPr>
              <w:t>2.58%</w:t>
            </w:r>
          </w:p>
        </w:tc>
      </w:tr>
      <w:tr>
        <w:trPr>
          <w:trHeight w:val="216"/>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Brazil</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3.90%</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1.01%</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2.76%</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Argentina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37.63%</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13.09%</w:t>
            </w:r>
          </w:p>
        </w:tc>
        <w:tc>
          <w:tcPr>
            <w:tcW w:w="162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29.12%</w:t>
            </w:r>
          </w:p>
        </w:tc>
      </w:tr>
      <w:tr>
        <w:trPr>
          <w:trHeight w:val="216"/>
        </w:trPr>
        <w:tc>
          <w:tcPr>
            <w:tcW w:w="1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Uruguay</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8.45%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7.92%</w:t>
            </w:r>
          </w:p>
        </w:tc>
      </w:tr>
    </w:tbl>
    <w:p>
      <w:pPr>
        <w:spacing w:after="0" w:line="174"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Source: inflation estimated by the company based on historic publications from the Central Banks of each country.</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Average Exchange Rates for each Period </w:t>
      </w:r>
      <w:r>
        <w:rPr>
          <w:rFonts w:ascii="Arial" w:cs="Arial" w:eastAsia="Arial" w:hAnsi="Arial"/>
          <w:sz w:val="30"/>
          <w:szCs w:val="30"/>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620" w:type="dxa"/>
            <w:vAlign w:val="bottom"/>
            <w:tcBorders>
              <w:right w:val="single" w:sz="8" w:color="auto"/>
            </w:tcBorders>
          </w:tcPr>
          <w:p>
            <w:pPr>
              <w:spacing w:after="0"/>
              <w:rPr>
                <w:sz w:val="19"/>
                <w:szCs w:val="19"/>
                <w:color w:val="auto"/>
              </w:rPr>
            </w:pPr>
          </w:p>
        </w:tc>
        <w:tc>
          <w:tcPr>
            <w:tcW w:w="478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Quarterly Exchange Rate (local currency per USD)</w:t>
            </w:r>
          </w:p>
        </w:tc>
        <w:tc>
          <w:tcPr>
            <w:tcW w:w="260" w:type="dxa"/>
            <w:vAlign w:val="bottom"/>
            <w:tcBorders>
              <w:right w:val="single" w:sz="8" w:color="auto"/>
            </w:tcBorders>
          </w:tcPr>
          <w:p>
            <w:pPr>
              <w:spacing w:after="0"/>
              <w:rPr>
                <w:sz w:val="19"/>
                <w:szCs w:val="19"/>
                <w:color w:val="auto"/>
              </w:rPr>
            </w:pPr>
          </w:p>
        </w:tc>
        <w:tc>
          <w:tcPr>
            <w:tcW w:w="478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Accumulated Exchange Rate (local currency per USD)</w:t>
            </w:r>
          </w:p>
        </w:tc>
      </w:tr>
      <w:tr>
        <w:trPr>
          <w:trHeight w:val="210"/>
        </w:trPr>
        <w:tc>
          <w:tcPr>
            <w:tcW w:w="16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3Q 18</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3Q 17</w:t>
            </w:r>
          </w:p>
        </w:tc>
        <w:tc>
          <w:tcPr>
            <w:tcW w:w="15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D %</w:t>
            </w:r>
          </w:p>
        </w:tc>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YTD 18</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YTD 17</w:t>
            </w:r>
          </w:p>
        </w:tc>
        <w:tc>
          <w:tcPr>
            <w:tcW w:w="156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D %</w:t>
            </w:r>
          </w:p>
        </w:tc>
      </w:tr>
      <w:tr>
        <w:trPr>
          <w:trHeight w:val="210"/>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Mexico</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18.98</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17.82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6.5%</w:t>
            </w:r>
          </w:p>
        </w:tc>
        <w:tc>
          <w:tcPr>
            <w:tcW w:w="260" w:type="dxa"/>
            <w:vAlign w:val="bottom"/>
            <w:tcBorders>
              <w:right w:val="single" w:sz="8" w:color="auto"/>
            </w:tcBorders>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19.04</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18.94</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0.5%</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Guatemala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7.55</w:t>
            </w:r>
          </w:p>
        </w:tc>
        <w:tc>
          <w:tcPr>
            <w:tcW w:w="16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5"/>
              </w:rPr>
              <w:t>7.29</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3.5%</w:t>
            </w:r>
          </w:p>
        </w:tc>
        <w:tc>
          <w:tcPr>
            <w:tcW w:w="260" w:type="dxa"/>
            <w:vAlign w:val="bottom"/>
            <w:tcBorders>
              <w:right w:val="single" w:sz="8" w:color="auto"/>
            </w:tcBorders>
          </w:tcPr>
          <w:p>
            <w:pPr>
              <w:spacing w:after="0"/>
              <w:rPr>
                <w:sz w:val="18"/>
                <w:szCs w:val="18"/>
                <w:color w:val="auto"/>
              </w:rPr>
            </w:pP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7.45</w:t>
            </w:r>
          </w:p>
        </w:tc>
        <w:tc>
          <w:tcPr>
            <w:tcW w:w="16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5"/>
              </w:rPr>
              <w:t>7.36</w:t>
            </w:r>
          </w:p>
        </w:tc>
        <w:tc>
          <w:tcPr>
            <w:tcW w:w="15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1.3%</w:t>
            </w:r>
          </w:p>
        </w:tc>
      </w:tr>
      <w:tr>
        <w:trPr>
          <w:trHeight w:val="216"/>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Nicaragua</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31.74</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30.23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5.0%</w:t>
            </w:r>
          </w:p>
        </w:tc>
        <w:tc>
          <w:tcPr>
            <w:tcW w:w="260" w:type="dxa"/>
            <w:vAlign w:val="bottom"/>
            <w:tcBorders>
              <w:right w:val="single" w:sz="8" w:color="auto"/>
            </w:tcBorders>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31.36</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29.87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5.0%</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Costa Rica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574.59</w:t>
            </w:r>
          </w:p>
        </w:tc>
        <w:tc>
          <w:tcPr>
            <w:tcW w:w="16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577.25</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3"/>
              </w:rPr>
              <w:t>-0.5%</w:t>
            </w:r>
          </w:p>
        </w:tc>
        <w:tc>
          <w:tcPr>
            <w:tcW w:w="260" w:type="dxa"/>
            <w:vAlign w:val="bottom"/>
            <w:tcBorders>
              <w:right w:val="single" w:sz="8" w:color="auto"/>
            </w:tcBorders>
          </w:tcPr>
          <w:p>
            <w:pPr>
              <w:spacing w:after="0"/>
              <w:rPr>
                <w:sz w:val="18"/>
                <w:szCs w:val="18"/>
                <w:color w:val="auto"/>
              </w:rPr>
            </w:pP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571.86</w:t>
            </w:r>
          </w:p>
        </w:tc>
        <w:tc>
          <w:tcPr>
            <w:tcW w:w="16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572.43</w:t>
            </w:r>
          </w:p>
        </w:tc>
        <w:tc>
          <w:tcPr>
            <w:tcW w:w="15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3"/>
              </w:rPr>
              <w:t>-0.1%</w:t>
            </w:r>
          </w:p>
        </w:tc>
      </w:tr>
      <w:tr>
        <w:trPr>
          <w:trHeight w:val="216"/>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Panama</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1.00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260" w:type="dxa"/>
            <w:vAlign w:val="bottom"/>
            <w:tcBorders>
              <w:right w:val="single" w:sz="8" w:color="auto"/>
            </w:tcBorders>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40" w:type="dxa"/>
            <w:vAlign w:val="bottom"/>
          </w:tcPr>
          <w:p>
            <w:pPr>
              <w:jc w:val="center"/>
              <w:spacing w:after="0"/>
              <w:rPr>
                <w:sz w:val="20"/>
                <w:szCs w:val="20"/>
                <w:color w:val="auto"/>
              </w:rPr>
            </w:pPr>
            <w:r>
              <w:rPr>
                <w:rFonts w:ascii="Arial" w:cs="Arial" w:eastAsia="Arial" w:hAnsi="Arial"/>
                <w:sz w:val="18"/>
                <w:szCs w:val="18"/>
                <w:color w:val="auto"/>
                <w:w w:val="85"/>
              </w:rPr>
              <w:t>1.00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Colombia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2,960.28</w:t>
            </w:r>
          </w:p>
        </w:tc>
        <w:tc>
          <w:tcPr>
            <w:tcW w:w="16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2,976.12</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3"/>
              </w:rPr>
              <w:t>-0.5%</w:t>
            </w:r>
          </w:p>
        </w:tc>
        <w:tc>
          <w:tcPr>
            <w:tcW w:w="260" w:type="dxa"/>
            <w:vAlign w:val="bottom"/>
            <w:tcBorders>
              <w:right w:val="single" w:sz="8" w:color="auto"/>
            </w:tcBorders>
          </w:tcPr>
          <w:p>
            <w:pPr>
              <w:spacing w:after="0"/>
              <w:rPr>
                <w:sz w:val="18"/>
                <w:szCs w:val="18"/>
                <w:color w:val="auto"/>
              </w:rPr>
            </w:pP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2,886.98</w:t>
            </w:r>
          </w:p>
        </w:tc>
        <w:tc>
          <w:tcPr>
            <w:tcW w:w="16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2,938.94</w:t>
            </w:r>
          </w:p>
        </w:tc>
        <w:tc>
          <w:tcPr>
            <w:tcW w:w="15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3"/>
              </w:rPr>
              <w:t>-1.8%</w:t>
            </w:r>
          </w:p>
        </w:tc>
      </w:tr>
      <w:tr>
        <w:trPr>
          <w:trHeight w:val="216"/>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Brazil</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3.96</w:t>
            </w: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3.16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25.1%</w:t>
            </w:r>
          </w:p>
        </w:tc>
        <w:tc>
          <w:tcPr>
            <w:tcW w:w="260" w:type="dxa"/>
            <w:vAlign w:val="bottom"/>
            <w:tcBorders>
              <w:right w:val="single" w:sz="8" w:color="auto"/>
            </w:tcBorders>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3.60</w:t>
            </w:r>
          </w:p>
        </w:tc>
        <w:tc>
          <w:tcPr>
            <w:tcW w:w="1640" w:type="dxa"/>
            <w:vAlign w:val="bottom"/>
          </w:tcPr>
          <w:p>
            <w:pPr>
              <w:jc w:val="center"/>
              <w:spacing w:after="0"/>
              <w:rPr>
                <w:sz w:val="20"/>
                <w:szCs w:val="20"/>
                <w:color w:val="auto"/>
              </w:rPr>
            </w:pPr>
            <w:r>
              <w:rPr>
                <w:rFonts w:ascii="Arial" w:cs="Arial" w:eastAsia="Arial" w:hAnsi="Arial"/>
                <w:sz w:val="18"/>
                <w:szCs w:val="18"/>
                <w:color w:val="auto"/>
                <w:w w:val="85"/>
              </w:rPr>
              <w:t>3.17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13.5%</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Argentina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32.09</w:t>
            </w:r>
          </w:p>
        </w:tc>
        <w:tc>
          <w:tcPr>
            <w:tcW w:w="16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3"/>
              </w:rPr>
              <w:t>17.28</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0"/>
              </w:rPr>
              <w:t>85.7%</w:t>
            </w:r>
          </w:p>
        </w:tc>
        <w:tc>
          <w:tcPr>
            <w:tcW w:w="260" w:type="dxa"/>
            <w:vAlign w:val="bottom"/>
            <w:tcBorders>
              <w:right w:val="single" w:sz="8" w:color="auto"/>
            </w:tcBorders>
          </w:tcPr>
          <w:p>
            <w:pPr>
              <w:spacing w:after="0"/>
              <w:rPr>
                <w:sz w:val="18"/>
                <w:szCs w:val="18"/>
                <w:color w:val="auto"/>
              </w:rPr>
            </w:pP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25.11</w:t>
            </w:r>
          </w:p>
        </w:tc>
        <w:tc>
          <w:tcPr>
            <w:tcW w:w="16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3"/>
              </w:rPr>
              <w:t>16.23</w:t>
            </w:r>
          </w:p>
        </w:tc>
        <w:tc>
          <w:tcPr>
            <w:tcW w:w="15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0"/>
              </w:rPr>
              <w:t>54.7%</w:t>
            </w:r>
          </w:p>
        </w:tc>
      </w:tr>
      <w:tr>
        <w:trPr>
          <w:trHeight w:val="216"/>
        </w:trPr>
        <w:tc>
          <w:tcPr>
            <w:tcW w:w="1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Uruguay</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31.78</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28.72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10.6%</w:t>
            </w:r>
          </w:p>
        </w:tc>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30.10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28.49</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5.7%</w:t>
            </w:r>
          </w:p>
        </w:tc>
      </w:tr>
      <w:tr>
        <w:trPr>
          <w:trHeight w:val="210"/>
        </w:trPr>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200" w:type="dxa"/>
            <w:vAlign w:val="bottom"/>
            <w:tcBorders>
              <w:left w:val="single" w:sz="8" w:color="BFBFBF"/>
              <w:bottom w:val="single" w:sz="8" w:color="auto"/>
            </w:tcBorders>
            <w:gridSpan w:val="2"/>
            <w:shd w:val="clear" w:color="auto" w:fill="BFBFBF"/>
          </w:tcPr>
          <w:p>
            <w:pPr>
              <w:ind w:left="100"/>
              <w:spacing w:after="0"/>
              <w:rPr>
                <w:sz w:val="20"/>
                <w:szCs w:val="20"/>
                <w:color w:val="auto"/>
              </w:rPr>
            </w:pPr>
            <w:r>
              <w:rPr>
                <w:rFonts w:ascii="Arial" w:cs="Arial" w:eastAsia="Arial" w:hAnsi="Arial"/>
                <w:sz w:val="18"/>
                <w:szCs w:val="18"/>
                <w:b w:val="1"/>
                <w:bCs w:val="1"/>
                <w:color w:val="auto"/>
              </w:rPr>
              <w:t>End of Period Exchange Rates</w:t>
            </w:r>
          </w:p>
        </w:tc>
        <w:tc>
          <w:tcPr>
            <w:tcW w:w="1620" w:type="dxa"/>
            <w:vAlign w:val="bottom"/>
            <w:tcBorders>
              <w:bottom w:val="single" w:sz="8" w:color="auto"/>
            </w:tcBorders>
            <w:shd w:val="clear" w:color="auto" w:fill="BFBFBF"/>
          </w:tcPr>
          <w:p>
            <w:pPr>
              <w:spacing w:after="0"/>
              <w:rPr>
                <w:sz w:val="18"/>
                <w:szCs w:val="18"/>
                <w:color w:val="auto"/>
              </w:rPr>
            </w:pPr>
          </w:p>
        </w:tc>
        <w:tc>
          <w:tcPr>
            <w:tcW w:w="1580" w:type="dxa"/>
            <w:vAlign w:val="bottom"/>
            <w:tcBorders>
              <w:bottom w:val="single" w:sz="8" w:color="auto"/>
              <w:right w:val="single" w:sz="8" w:color="BFBFBF"/>
            </w:tcBorders>
            <w:shd w:val="clear" w:color="auto" w:fill="BFBFBF"/>
          </w:tcPr>
          <w:p>
            <w:pPr>
              <w:spacing w:after="0"/>
              <w:rPr>
                <w:sz w:val="18"/>
                <w:szCs w:val="18"/>
                <w:color w:val="auto"/>
              </w:rPr>
            </w:pPr>
          </w:p>
        </w:tc>
        <w:tc>
          <w:tcPr>
            <w:tcW w:w="260" w:type="dxa"/>
            <w:vAlign w:val="bottom"/>
            <w:tcBorders>
              <w:bottom w:val="single" w:sz="8" w:color="auto"/>
              <w:right w:val="single" w:sz="8" w:color="BFBFBF"/>
            </w:tcBorders>
            <w:shd w:val="clear" w:color="auto" w:fill="BFBFBF"/>
          </w:tcPr>
          <w:p>
            <w:pPr>
              <w:spacing w:after="0"/>
              <w:rPr>
                <w:sz w:val="18"/>
                <w:szCs w:val="18"/>
                <w:color w:val="auto"/>
              </w:rPr>
            </w:pPr>
          </w:p>
        </w:tc>
        <w:tc>
          <w:tcPr>
            <w:tcW w:w="1580" w:type="dxa"/>
            <w:vAlign w:val="bottom"/>
            <w:tcBorders>
              <w:bottom w:val="single" w:sz="8" w:color="auto"/>
            </w:tcBorders>
            <w:shd w:val="clear" w:color="auto" w:fill="BFBFBF"/>
          </w:tcPr>
          <w:p>
            <w:pPr>
              <w:spacing w:after="0"/>
              <w:rPr>
                <w:sz w:val="18"/>
                <w:szCs w:val="18"/>
                <w:color w:val="auto"/>
              </w:rPr>
            </w:pPr>
          </w:p>
        </w:tc>
        <w:tc>
          <w:tcPr>
            <w:tcW w:w="1640" w:type="dxa"/>
            <w:vAlign w:val="bottom"/>
            <w:tcBorders>
              <w:bottom w:val="single" w:sz="8" w:color="auto"/>
            </w:tcBorders>
            <w:shd w:val="clear" w:color="auto" w:fill="BFBFBF"/>
          </w:tcPr>
          <w:p>
            <w:pPr>
              <w:spacing w:after="0"/>
              <w:rPr>
                <w:sz w:val="18"/>
                <w:szCs w:val="18"/>
                <w:color w:val="auto"/>
              </w:rPr>
            </w:pPr>
          </w:p>
        </w:tc>
        <w:tc>
          <w:tcPr>
            <w:tcW w:w="1560" w:type="dxa"/>
            <w:vAlign w:val="bottom"/>
            <w:tcBorders>
              <w:bottom w:val="single" w:sz="8" w:color="auto"/>
              <w:right w:val="single" w:sz="8" w:color="BFBFBF"/>
            </w:tcBorders>
            <w:shd w:val="clear" w:color="auto" w:fill="BFBFBF"/>
          </w:tcPr>
          <w:p>
            <w:pPr>
              <w:spacing w:after="0"/>
              <w:rPr>
                <w:sz w:val="18"/>
                <w:szCs w:val="18"/>
                <w:color w:val="auto"/>
              </w:rPr>
            </w:pPr>
          </w:p>
        </w:tc>
      </w:tr>
      <w:tr>
        <w:trPr>
          <w:trHeight w:val="210"/>
        </w:trPr>
        <w:tc>
          <w:tcPr>
            <w:tcW w:w="16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1620" w:type="dxa"/>
            <w:vAlign w:val="bottom"/>
            <w:tcBorders>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Quarter Exchange Rate (local currency per USD)</w:t>
            </w:r>
          </w:p>
        </w:tc>
        <w:tc>
          <w:tcPr>
            <w:tcW w:w="260" w:type="dxa"/>
            <w:vAlign w:val="bottom"/>
            <w:tcBorders>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Quarter Exchange Rate (local currency per USD)</w:t>
            </w:r>
          </w:p>
        </w:tc>
      </w:tr>
      <w:tr>
        <w:trPr>
          <w:trHeight w:val="210"/>
        </w:trPr>
        <w:tc>
          <w:tcPr>
            <w:tcW w:w="16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Sep 2018</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 2017</w:t>
            </w:r>
          </w:p>
        </w:tc>
        <w:tc>
          <w:tcPr>
            <w:tcW w:w="15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D %</w:t>
            </w:r>
          </w:p>
        </w:tc>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Jun 2018</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Jun 2017</w:t>
            </w:r>
          </w:p>
        </w:tc>
        <w:tc>
          <w:tcPr>
            <w:tcW w:w="156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D %</w:t>
            </w:r>
          </w:p>
        </w:tc>
      </w:tr>
      <w:tr>
        <w:trPr>
          <w:trHeight w:val="210"/>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Mexico</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18.81</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18.20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3.4%</w:t>
            </w:r>
          </w:p>
        </w:tc>
        <w:tc>
          <w:tcPr>
            <w:tcW w:w="260" w:type="dxa"/>
            <w:vAlign w:val="bottom"/>
            <w:tcBorders>
              <w:right w:val="single" w:sz="8" w:color="auto"/>
            </w:tcBorders>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19.86</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17.90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11.0%</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Guatemala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7.70</w:t>
            </w:r>
          </w:p>
        </w:tc>
        <w:tc>
          <w:tcPr>
            <w:tcW w:w="16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5"/>
              </w:rPr>
              <w:t>7.34</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4.9%</w:t>
            </w:r>
          </w:p>
        </w:tc>
        <w:tc>
          <w:tcPr>
            <w:tcW w:w="260" w:type="dxa"/>
            <w:vAlign w:val="bottom"/>
            <w:tcBorders>
              <w:right w:val="single" w:sz="8" w:color="auto"/>
            </w:tcBorders>
          </w:tcPr>
          <w:p>
            <w:pPr>
              <w:spacing w:after="0"/>
              <w:rPr>
                <w:sz w:val="18"/>
                <w:szCs w:val="18"/>
                <w:color w:val="auto"/>
              </w:rPr>
            </w:pP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7.49</w:t>
            </w:r>
          </w:p>
        </w:tc>
        <w:tc>
          <w:tcPr>
            <w:tcW w:w="16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5"/>
              </w:rPr>
              <w:t>7.34</w:t>
            </w:r>
          </w:p>
        </w:tc>
        <w:tc>
          <w:tcPr>
            <w:tcW w:w="15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2.2%</w:t>
            </w:r>
          </w:p>
        </w:tc>
      </w:tr>
      <w:tr>
        <w:trPr>
          <w:trHeight w:val="216"/>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Nicaragua</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31.94</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30.41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5.0%</w:t>
            </w:r>
          </w:p>
        </w:tc>
        <w:tc>
          <w:tcPr>
            <w:tcW w:w="260" w:type="dxa"/>
            <w:vAlign w:val="bottom"/>
            <w:tcBorders>
              <w:right w:val="single" w:sz="8" w:color="auto"/>
            </w:tcBorders>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31.55</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30.04</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5.0%</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Costa Rica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585.80</w:t>
            </w:r>
          </w:p>
        </w:tc>
        <w:tc>
          <w:tcPr>
            <w:tcW w:w="16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574.13</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2.0%</w:t>
            </w:r>
          </w:p>
        </w:tc>
        <w:tc>
          <w:tcPr>
            <w:tcW w:w="260" w:type="dxa"/>
            <w:vAlign w:val="bottom"/>
            <w:tcBorders>
              <w:right w:val="single" w:sz="8" w:color="auto"/>
            </w:tcBorders>
          </w:tcPr>
          <w:p>
            <w:pPr>
              <w:spacing w:after="0"/>
              <w:rPr>
                <w:sz w:val="18"/>
                <w:szCs w:val="18"/>
                <w:color w:val="auto"/>
              </w:rPr>
            </w:pP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570.08</w:t>
            </w:r>
          </w:p>
        </w:tc>
        <w:tc>
          <w:tcPr>
            <w:tcW w:w="16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579.87</w:t>
            </w:r>
          </w:p>
        </w:tc>
        <w:tc>
          <w:tcPr>
            <w:tcW w:w="15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3"/>
              </w:rPr>
              <w:t>-1.7%</w:t>
            </w:r>
          </w:p>
        </w:tc>
      </w:tr>
      <w:tr>
        <w:trPr>
          <w:trHeight w:val="216"/>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Panama</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1.00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260" w:type="dxa"/>
            <w:vAlign w:val="bottom"/>
            <w:tcBorders>
              <w:right w:val="single" w:sz="8" w:color="auto"/>
            </w:tcBorders>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40" w:type="dxa"/>
            <w:vAlign w:val="bottom"/>
          </w:tcPr>
          <w:p>
            <w:pPr>
              <w:jc w:val="center"/>
              <w:spacing w:after="0"/>
              <w:rPr>
                <w:sz w:val="20"/>
                <w:szCs w:val="20"/>
                <w:color w:val="auto"/>
              </w:rPr>
            </w:pPr>
            <w:r>
              <w:rPr>
                <w:rFonts w:ascii="Arial" w:cs="Arial" w:eastAsia="Arial" w:hAnsi="Arial"/>
                <w:sz w:val="18"/>
                <w:szCs w:val="18"/>
                <w:color w:val="auto"/>
                <w:w w:val="85"/>
              </w:rPr>
              <w:t>1.00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Colombia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2,972.18</w:t>
            </w:r>
          </w:p>
        </w:tc>
        <w:tc>
          <w:tcPr>
            <w:tcW w:w="16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2,936.67</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1.2%</w:t>
            </w:r>
          </w:p>
        </w:tc>
        <w:tc>
          <w:tcPr>
            <w:tcW w:w="260" w:type="dxa"/>
            <w:vAlign w:val="bottom"/>
            <w:tcBorders>
              <w:right w:val="single" w:sz="8" w:color="auto"/>
            </w:tcBorders>
          </w:tcPr>
          <w:p>
            <w:pPr>
              <w:spacing w:after="0"/>
              <w:rPr>
                <w:sz w:val="18"/>
                <w:szCs w:val="18"/>
                <w:color w:val="auto"/>
              </w:rPr>
            </w:pP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2,930.80</w:t>
            </w:r>
          </w:p>
        </w:tc>
        <w:tc>
          <w:tcPr>
            <w:tcW w:w="16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3,038.26</w:t>
            </w:r>
          </w:p>
        </w:tc>
        <w:tc>
          <w:tcPr>
            <w:tcW w:w="15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3"/>
              </w:rPr>
              <w:t>-3.5%</w:t>
            </w:r>
          </w:p>
        </w:tc>
      </w:tr>
      <w:tr>
        <w:trPr>
          <w:trHeight w:val="216"/>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Brazil</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3.17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26.4%</w:t>
            </w:r>
          </w:p>
        </w:tc>
        <w:tc>
          <w:tcPr>
            <w:tcW w:w="260" w:type="dxa"/>
            <w:vAlign w:val="bottom"/>
            <w:tcBorders>
              <w:right w:val="single" w:sz="8" w:color="auto"/>
            </w:tcBorders>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3.86</w:t>
            </w:r>
          </w:p>
        </w:tc>
        <w:tc>
          <w:tcPr>
            <w:tcW w:w="1640" w:type="dxa"/>
            <w:vAlign w:val="bottom"/>
          </w:tcPr>
          <w:p>
            <w:pPr>
              <w:jc w:val="center"/>
              <w:spacing w:after="0"/>
              <w:rPr>
                <w:sz w:val="20"/>
                <w:szCs w:val="20"/>
                <w:color w:val="auto"/>
              </w:rPr>
            </w:pPr>
            <w:r>
              <w:rPr>
                <w:rFonts w:ascii="Arial" w:cs="Arial" w:eastAsia="Arial" w:hAnsi="Arial"/>
                <w:sz w:val="18"/>
                <w:szCs w:val="18"/>
                <w:color w:val="auto"/>
                <w:w w:val="85"/>
              </w:rPr>
              <w:t>3.31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16.6%</w:t>
            </w:r>
          </w:p>
        </w:tc>
      </w:tr>
      <w:tr>
        <w:trPr>
          <w:trHeight w:val="216"/>
        </w:trPr>
        <w:tc>
          <w:tcPr>
            <w:tcW w:w="162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Argentina</w:t>
            </w: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41.25</w:t>
            </w:r>
          </w:p>
        </w:tc>
        <w:tc>
          <w:tcPr>
            <w:tcW w:w="16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3"/>
              </w:rPr>
              <w:t>17.31</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138.3%</w:t>
            </w:r>
          </w:p>
        </w:tc>
        <w:tc>
          <w:tcPr>
            <w:tcW w:w="260" w:type="dxa"/>
            <w:vAlign w:val="bottom"/>
            <w:tcBorders>
              <w:right w:val="single" w:sz="8" w:color="auto"/>
            </w:tcBorders>
          </w:tcPr>
          <w:p>
            <w:pPr>
              <w:spacing w:after="0"/>
              <w:rPr>
                <w:sz w:val="18"/>
                <w:szCs w:val="18"/>
                <w:color w:val="auto"/>
              </w:rPr>
            </w:pPr>
          </w:p>
        </w:tc>
        <w:tc>
          <w:tcPr>
            <w:tcW w:w="1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8"/>
              </w:rPr>
              <w:t>28.85</w:t>
            </w:r>
          </w:p>
        </w:tc>
        <w:tc>
          <w:tcPr>
            <w:tcW w:w="16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3"/>
              </w:rPr>
              <w:t>16.63</w:t>
            </w:r>
          </w:p>
        </w:tc>
        <w:tc>
          <w:tcPr>
            <w:tcW w:w="15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0"/>
              </w:rPr>
              <w:t>73.5%</w:t>
            </w:r>
          </w:p>
        </w:tc>
      </w:tr>
      <w:tr>
        <w:trPr>
          <w:trHeight w:val="216"/>
        </w:trPr>
        <w:tc>
          <w:tcPr>
            <w:tcW w:w="1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Uruguay</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33.21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28.95</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14.7%</w:t>
            </w:r>
          </w:p>
        </w:tc>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31.47</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28.48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10.5%</w:t>
            </w:r>
          </w:p>
        </w:tc>
      </w:tr>
    </w:tbl>
    <w:p>
      <w:pPr>
        <w:spacing w:after="0" w:line="174"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Average exchange rate for each period computed with the average exchange rate of each month.</w:t>
      </w:r>
    </w:p>
    <w:p>
      <w:pPr>
        <w:spacing w:after="0" w:line="198"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b w:val="1"/>
          <w:bCs w:val="1"/>
          <w:color w:val="auto"/>
        </w:rPr>
        <w:t>Press Release 3Q 2018</w:t>
      </w:r>
      <w:r>
        <w:rPr>
          <w:sz w:val="20"/>
          <w:szCs w:val="20"/>
          <w:color w:val="auto"/>
        </w:rPr>
        <w:tab/>
      </w:r>
      <w:r>
        <w:rPr>
          <w:rFonts w:ascii="Arial" w:cs="Arial" w:eastAsia="Arial" w:hAnsi="Arial"/>
          <w:sz w:val="15"/>
          <w:szCs w:val="15"/>
          <w:b w:val="1"/>
          <w:bCs w:val="1"/>
          <w:color w:val="auto"/>
        </w:rPr>
        <w:t>Page 34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337" w:right="2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the requirements of the Securities Exchange Act of 1934,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 has duly caused this report to be signed on its behalf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undersigned, thereunto duly authorized.</w:t>
      </w:r>
    </w:p>
    <w:p>
      <w:pPr>
        <w:spacing w:after="0" w:line="211"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FOMENTO ECONÓMICO MEXICANO, S.A. DE C.V.</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Gerardo Estrada Attolini</w:t>
            </w:r>
          </w:p>
        </w:tc>
      </w:tr>
      <w:tr>
        <w:trPr>
          <w:trHeight w:val="195"/>
        </w:trPr>
        <w:tc>
          <w:tcPr>
            <w:tcW w:w="460" w:type="dxa"/>
            <w:vAlign w:val="bottom"/>
          </w:tcPr>
          <w:p>
            <w:pPr>
              <w:spacing w:after="0"/>
              <w:rPr>
                <w:sz w:val="16"/>
                <w:szCs w:val="16"/>
                <w:color w:val="auto"/>
              </w:rPr>
            </w:pPr>
          </w:p>
        </w:tc>
        <w:tc>
          <w:tcPr>
            <w:tcW w:w="5240" w:type="dxa"/>
            <w:vAlign w:val="bottom"/>
          </w:tcPr>
          <w:p>
            <w:pPr>
              <w:jc w:val="center"/>
              <w:spacing w:after="0" w:line="195" w:lineRule="exact"/>
              <w:rPr>
                <w:sz w:val="20"/>
                <w:szCs w:val="20"/>
                <w:color w:val="auto"/>
              </w:rPr>
            </w:pPr>
            <w:r>
              <w:rPr>
                <w:rFonts w:ascii="Arial" w:cs="Arial" w:eastAsia="Arial" w:hAnsi="Arial"/>
                <w:sz w:val="18"/>
                <w:szCs w:val="18"/>
                <w:color w:val="auto"/>
                <w:w w:val="91"/>
              </w:rPr>
              <w:t>Gerardo Estrada Attolini</w:t>
            </w:r>
          </w:p>
        </w:tc>
      </w:tr>
      <w:tr>
        <w:trPr>
          <w:trHeight w:val="230"/>
        </w:trPr>
        <w:tc>
          <w:tcPr>
            <w:tcW w:w="4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Director of Corporate Finance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bullet"/>
      <w:start w:val="1"/>
    </w:lvl>
  </w:abstractNum>
  <w:abstractNum w:abstractNumId="2">
    <w:nsid w:val="628C895D"/>
    <w:multiLevelType w:val="hybridMultilevel"/>
    <w:lvl w:ilvl="0">
      <w:lvlJc w:val="left"/>
      <w:lvlText w:val="1"/>
      <w:numFmt w:val="bullet"/>
      <w:start w:val="1"/>
    </w:lvl>
  </w:abstractNum>
  <w:abstractNum w:abstractNumId="3">
    <w:nsid w:val="333AB105"/>
    <w:multiLevelType w:val="hybridMultilevel"/>
    <w:lvl w:ilvl="0">
      <w:lvlJc w:val="left"/>
      <w:lvlText w:val="1"/>
      <w:numFmt w:val="bullet"/>
      <w:start w:val="1"/>
    </w:lvl>
  </w:abstractNum>
  <w:abstractNum w:abstractNumId="4">
    <w:nsid w:val="721DA317"/>
    <w:multiLevelType w:val="hybridMultilevel"/>
    <w:lvl w:ilvl="0">
      <w:lvlJc w:val="left"/>
      <w:lvlText w:val="1"/>
      <w:numFmt w:val="bullet"/>
      <w:start w:val="1"/>
    </w:lvl>
  </w:abstractNum>
  <w:abstractNum w:abstractNumId="5">
    <w:nsid w:val="2443A858"/>
    <w:multiLevelType w:val="hybridMultilevel"/>
    <w:lvl w:ilvl="0">
      <w:lvlJc w:val="left"/>
      <w:lvlText w:val="2"/>
      <w:numFmt w:val="bullet"/>
      <w:start w:val="1"/>
    </w:lvl>
  </w:abstractNum>
  <w:abstractNum w:abstractNumId="6">
    <w:nsid w:val="2D1D5AE9"/>
    <w:multiLevelType w:val="hybridMultilevel"/>
    <w:lvl w:ilvl="0">
      <w:lvlJc w:val="left"/>
      <w:lvlText w:val="1"/>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upperLetter"/>
      <w:start w:val="1"/>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upperLetter"/>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upperLetter"/>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3"/>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decimal"/>
      <w:start w:val="3"/>
    </w:lvl>
  </w:abstractNum>
  <w:abstractNum w:abstractNumId="36">
    <w:nsid w:val="5C482A97"/>
    <w:multiLevelType w:val="hybridMultilevel"/>
    <w:lvl w:ilvl="0">
      <w:lvlJc w:val="left"/>
      <w:lvlText w:val="(%1)"/>
      <w:numFmt w:val="decimal"/>
      <w:start w:val="4"/>
    </w:lvl>
    <w:lvl w:ilvl="1">
      <w:lvlJc w:val="left"/>
      <w:lvlText w:val="%2"/>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2019-12-06T12:40:44Z</dcterms:created>
  <dcterms:modified xsi:type="dcterms:W3CDTF">2019-12-06T12:40:44Z</dcterms:modified>
</cp:coreProperties>
</file>