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MEXICAN ECONOMIC DEVELOPMENT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89"/>
        <w:gridCol w:w="7816"/>
      </w:tblGrid>
      <w:tr>
        <w:trPr/>
        <w:tc>
          <w:tcPr>
            <w:tcW w:w="2389" w:type="dxa"/>
            <w:tcBorders/>
            <w:vAlign w:val="center"/>
          </w:tcPr>
          <w:p>
            <w:pPr>
              <w:pStyle w:val="TableContents"/>
              <w:bidi w:val="0"/>
              <w:spacing w:before="0" w:after="283"/>
              <w:jc w:val="left"/>
              <w:rPr/>
            </w:pPr>
            <w:r>
              <w:rPr/>
              <w:t>1</w:t>
            </w:r>
          </w:p>
        </w:tc>
        <w:tc>
          <w:tcPr>
            <w:tcW w:w="78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389" w:type="dxa"/>
            <w:tcBorders/>
            <w:vAlign w:val="center"/>
          </w:tcPr>
          <w:p>
            <w:pPr>
              <w:pStyle w:val="TableContents"/>
              <w:bidi w:val="0"/>
              <w:spacing w:before="0" w:after="283"/>
              <w:jc w:val="left"/>
              <w:rPr/>
            </w:pPr>
            <w:r>
              <w:rPr/>
              <w:t>2</w:t>
            </w:r>
          </w:p>
        </w:tc>
        <w:tc>
          <w:tcPr>
            <w:tcW w:w="78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389" w:type="dxa"/>
            <w:tcBorders/>
            <w:vAlign w:val="center"/>
          </w:tcPr>
          <w:p>
            <w:pPr>
              <w:pStyle w:val="TableContents"/>
              <w:bidi w:val="0"/>
              <w:spacing w:before="0" w:after="283"/>
              <w:jc w:val="left"/>
              <w:rPr/>
            </w:pPr>
            <w:r>
              <w:rPr/>
              <w:t>3</w:t>
            </w:r>
          </w:p>
        </w:tc>
        <w:tc>
          <w:tcPr>
            <w:tcW w:w="7816" w:type="dxa"/>
            <w:tcBorders/>
            <w:vAlign w:val="center"/>
          </w:tcPr>
          <w:p>
            <w:pPr>
              <w:pStyle w:val="TableContents"/>
              <w:bidi w:val="0"/>
              <w:spacing w:before="0" w:after="283"/>
              <w:jc w:val="left"/>
              <w:rPr/>
            </w:pPr>
            <w:r>
              <w:rPr/>
              <w:t>Sec Use Only</w:t>
            </w:r>
          </w:p>
        </w:tc>
      </w:tr>
      <w:tr>
        <w:trPr/>
        <w:tc>
          <w:tcPr>
            <w:tcW w:w="2389" w:type="dxa"/>
            <w:tcBorders/>
            <w:vAlign w:val="center"/>
          </w:tcPr>
          <w:p>
            <w:pPr>
              <w:pStyle w:val="TableContents"/>
              <w:bidi w:val="0"/>
              <w:spacing w:before="0" w:after="283"/>
              <w:jc w:val="left"/>
              <w:rPr/>
            </w:pPr>
            <w:r>
              <w:rPr/>
              <w:t>4</w:t>
            </w:r>
          </w:p>
        </w:tc>
        <w:tc>
          <w:tcPr>
            <w:tcW w:w="78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132,345,739.00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138,890,298.00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6" w:type="dxa"/>
            <w:tcBorders/>
            <w:vAlign w:val="center"/>
          </w:tcPr>
          <w:p>
            <w:pPr>
              <w:pStyle w:val="TableContents"/>
              <w:bidi w:val="0"/>
              <w:spacing w:before="0" w:after="283"/>
              <w:jc w:val="left"/>
              <w:rPr>
                <w:sz w:val="4"/>
                <w:szCs w:val="4"/>
              </w:rPr>
            </w:pPr>
            <w:r>
              <w:rPr>
                <w:sz w:val="4"/>
                <w:szCs w:val="4"/>
              </w:rPr>
            </w:r>
          </w:p>
        </w:tc>
      </w:tr>
      <w:tr>
        <w:trPr/>
        <w:tc>
          <w:tcPr>
            <w:tcW w:w="2389" w:type="dxa"/>
            <w:tcBorders/>
            <w:vAlign w:val="center"/>
          </w:tcPr>
          <w:p>
            <w:pPr>
              <w:pStyle w:val="TableContents"/>
              <w:bidi w:val="0"/>
              <w:spacing w:before="0" w:after="283"/>
              <w:jc w:val="left"/>
              <w:rPr/>
            </w:pPr>
            <w:r>
              <w:rPr/>
              <w:t>9</w:t>
            </w:r>
          </w:p>
        </w:tc>
        <w:tc>
          <w:tcPr>
            <w:tcW w:w="78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138,890,298.00</w:t>
            </w:r>
          </w:p>
        </w:tc>
      </w:tr>
      <w:tr>
        <w:trPr/>
        <w:tc>
          <w:tcPr>
            <w:tcW w:w="2389" w:type="dxa"/>
            <w:tcBorders/>
            <w:vAlign w:val="center"/>
          </w:tcPr>
          <w:p>
            <w:pPr>
              <w:pStyle w:val="TableContents"/>
              <w:bidi w:val="0"/>
              <w:spacing w:before="0" w:after="283"/>
              <w:jc w:val="left"/>
              <w:rPr/>
            </w:pPr>
            <w:r>
              <w:rPr/>
              <w:t>10</w:t>
            </w:r>
          </w:p>
        </w:tc>
        <w:tc>
          <w:tcPr>
            <w:tcW w:w="78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389" w:type="dxa"/>
            <w:tcBorders/>
            <w:vAlign w:val="center"/>
          </w:tcPr>
          <w:p>
            <w:pPr>
              <w:pStyle w:val="TableContents"/>
              <w:bidi w:val="0"/>
              <w:spacing w:before="0" w:after="283"/>
              <w:jc w:val="left"/>
              <w:rPr/>
            </w:pPr>
            <w:r>
              <w:rPr/>
              <w:t>11</w:t>
            </w:r>
          </w:p>
        </w:tc>
        <w:tc>
          <w:tcPr>
            <w:tcW w:w="78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7.0 % </w:t>
            </w:r>
          </w:p>
        </w:tc>
      </w:tr>
      <w:tr>
        <w:trPr/>
        <w:tc>
          <w:tcPr>
            <w:tcW w:w="2389" w:type="dxa"/>
            <w:tcBorders/>
            <w:vAlign w:val="center"/>
          </w:tcPr>
          <w:p>
            <w:pPr>
              <w:pStyle w:val="TableContents"/>
              <w:bidi w:val="0"/>
              <w:spacing w:before="0" w:after="283"/>
              <w:jc w:val="left"/>
              <w:rPr/>
            </w:pPr>
            <w:r>
              <w:rPr/>
              <w:t>12</w:t>
            </w:r>
          </w:p>
        </w:tc>
        <w:tc>
          <w:tcPr>
            <w:tcW w:w="78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MEXICAN ECONOMIC DEVELOPMENT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GENERAL ANAYA NO 601 PTE, COLONIA BELLA VISTA, MONTERREY, N.L., MEXICO,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138,890,298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7.0%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 xml:space="preserve">132,345,739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 xml:space="preserve">138,890,298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MEXICAN ECONOMIC DEVELOPMENT INC. No one person's interest in the common stock of MEXICAN ECONOMIC DEVELOPMENT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(Luxembourg) S.A.</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(Singapore)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Asset Management North Asia Limited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Japan Co., Ltd.</w:t>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t xml:space="preserve"> </w:t>
      </w:r>
      <w:r>
        <w:rPr/>
        <w:t>BlackRock Mexico Operadora, S.A. de C.V., Sociedad Operador</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1531</Words>
  <Characters>8184</Characters>
  <CharactersWithSpaces>9662</CharactersWithSpaces>
  <Paragraphs>227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