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6-K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REPORT OF FOREIGN PRIVATE ISSUER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 13a-16 OR 15d-16 UNDER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FOMENTO ECONÓMICO MEXICANO, S.A.B. DE C.V.</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Mexican Economic Development,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Mexican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General Anaya No. 601 Pte.</w:t>
        <w:br/>
        <w:t>Colonia Bella Vista</w:t>
        <w:br/>
        <w:t xml:space="preserve">Monterrey, Nuevo León 64410 </w:t>
        <w:br/>
        <w:t>México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 cover of Form 20-F or Form 40-F: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permitted by Regulation S-T Rule 101(b)(1):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permitted by Regulation S-T Rule 101(b)(7):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by furnishing the information contained in this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the registrant is also thereby furnishing the information to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pursuant to Rule 12g3-2(b) under the Securities Exchange Act of 1934.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Yes ☐ No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connection with Rule 12g3-2(b): 82-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 has duly caused this report to be signed on its behalf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undersigned, thereunto duly authorized.</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t>
      </w:r>
    </w:p>
    <w:p>
      <w:pPr>
        <w:pStyle w:val="TextBody"/>
        <w:bidi w:val="0"/>
        <w:spacing w:lineRule="auto" w:line="288" w:before="0" w:after="0"/>
        <w:ind w:left="0" w:right="0" w:firstLine="720"/>
        <w:jc w:val="center"/>
        <w:rPr/>
      </w:pPr>
      <w:r>
        <w:rPr>
          <w:rFonts w:ascii="Times New Roman;serif" w:hAnsi="Times New Roman;serif"/>
          <w:b w:val="false"/>
          <w:color w:val="000000"/>
          <w:sz w:val="20"/>
        </w:rPr>
        <w:t>FOMENTO ECONÓMICO MEXICANO, S.A.B. DE C.V</w:t>
      </w:r>
      <w:r>
        <w:rPr>
          <w:rFonts w:ascii="Times New Roman;serif" w:hAnsi="Times New Roman;serif"/>
          <w:b w:val="false"/>
          <w:color w:val="000000"/>
          <w:sz w:val="24"/>
        </w:rPr>
        <w:t>.</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20"/>
        </w:rPr>
        <w:t xml:space="preserve">By: /s/ </w:t>
      </w:r>
      <w:r>
        <w:rPr>
          <w:rFonts w:ascii="Times New Roman;serif" w:hAnsi="Times New Roman;serif"/>
          <w:b w:val="false"/>
          <w:color w:val="000000"/>
          <w:sz w:val="20"/>
          <w:u w:val="single"/>
        </w:rPr>
        <w:t>Martin Felipe Arias Yaniz</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Martin Felipe Arias Yaniz</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of Finance and Corporate Development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571625" cy="3429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71625" cy="342900"/>
                    </a:xfrm>
                    <a:prstGeom prst="rect">
                      <a:avLst/>
                    </a:prstGeom>
                  </pic:spPr>
                </pic:pic>
              </a:graphicData>
            </a:graphic>
          </wp:inline>
        </w:drawing>
      </w:r>
      <w:r>
        <w:rPr>
          <w:color w:val="000000"/>
        </w:rPr>
        <w:t>         </w:t>
      </w:r>
      <w:r>
        <w:rPr/>
        <w:drawing>
          <wp:inline distT="0" distB="0" distL="0" distR="0">
            <wp:extent cx="2667000" cy="3143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67000" cy="3143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Open Sans;sans-serif" w:hAnsi="Open Sans;sans-serif"/>
          <w:b/>
          <w:color w:val="862633"/>
          <w:sz w:val="36"/>
        </w:rPr>
      </w:pPr>
      <w:r>
        <w:rPr>
          <w:rFonts w:ascii="Open Sans;sans-serif" w:hAnsi="Open Sans;sans-serif"/>
          <w:b/>
          <w:color w:val="862633"/>
          <w:sz w:val="36"/>
        </w:rPr>
        <w:t xml:space="preserve">FEMSA Announces Accelerated Share </w:t>
      </w:r>
    </w:p>
    <w:p>
      <w:pPr>
        <w:pStyle w:val="TextBody"/>
        <w:bidi w:val="0"/>
        <w:spacing w:lineRule="auto" w:line="268" w:before="0" w:after="0"/>
        <w:jc w:val="center"/>
        <w:rPr>
          <w:rFonts w:ascii="Open Sans;sans-serif" w:hAnsi="Open Sans;sans-serif"/>
          <w:b/>
          <w:color w:val="862633"/>
          <w:sz w:val="36"/>
        </w:rPr>
      </w:pPr>
      <w:r>
        <w:rPr>
          <w:rFonts w:ascii="Open Sans;sans-serif" w:hAnsi="Open Sans;sans-serif"/>
          <w:b/>
          <w:color w:val="862633"/>
          <w:sz w:val="36"/>
        </w:rPr>
        <w:t>Repurchase Agreement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56" w:before="0" w:after="0"/>
        <w:jc w:val="left"/>
        <w:rPr/>
      </w:pPr>
      <w:r>
        <w:rPr>
          <w:rFonts w:ascii="Open Sans;sans-serif" w:hAnsi="Open Sans;sans-serif"/>
          <w:b/>
          <w:color w:val="000000"/>
          <w:sz w:val="19"/>
        </w:rPr>
        <w:t xml:space="preserve">Monterrey, Mexico, September 14, 2026 — </w:t>
      </w:r>
      <w:r>
        <w:rPr>
          <w:rFonts w:ascii="Open Sans;sans-serif" w:hAnsi="Open Sans;sans-serif"/>
          <w:b w:val="false"/>
          <w:color w:val="000000"/>
          <w:sz w:val="18"/>
        </w:rPr>
        <w:t>Fomento Económico Mexicano, S.A.B. de C.V. (“FEMSA” or the “Company”) (NYSE: FMX; BMV: FEMSAUBD) today announced that, as part of its ongoing efforts and consistent with its capital allocation framework and commitment to enhance capital returns to shareholders, it has entered into a new derivative instrument known as an accelerated share repurchase (“ASR”) agreement with a financial institution in the United States of America to repurchase Company’s shares through the acquisition of American Depositary Shares (“ADS”). Under the terms of the ASR agreement, FEMSA has agreed to repurchase from such financial institution an aggregate amount of up to USD $280 million of its ADS</w:t>
      </w:r>
      <w:r>
        <w:rPr>
          <w:rFonts w:ascii="Open Sans;sans-serif" w:hAnsi="Open Sans;sans-serif"/>
          <w:b w:val="false"/>
          <w:color w:val="000000"/>
          <w:sz w:val="12"/>
        </w:rPr>
        <w:t>[1]</w:t>
      </w:r>
      <w:r>
        <w:rPr>
          <w:rFonts w:ascii="Open Sans;sans-serif" w:hAnsi="Open Sans;sans-serif"/>
          <w:b w:val="false"/>
          <w:color w:val="000000"/>
          <w:sz w:val="18"/>
        </w:rPr>
        <w:t>, subject to market conditions and delivered at maturity.</w:t>
      </w:r>
    </w:p>
    <w:p>
      <w:pPr>
        <w:pStyle w:val="TextBody"/>
        <w:bidi w:val="0"/>
        <w:spacing w:before="0" w:after="0"/>
        <w:jc w:val="left"/>
        <w:rPr/>
      </w:pPr>
      <w:r>
        <w:rPr/>
      </w:r>
    </w:p>
    <w:p>
      <w:pPr>
        <w:pStyle w:val="TextBody"/>
        <w:bidi w:val="0"/>
        <w:spacing w:lineRule="auto" w:line="276" w:before="0" w:after="0"/>
        <w:jc w:val="both"/>
        <w:rPr>
          <w:rFonts w:ascii="Open Sans;sans-serif" w:hAnsi="Open Sans;sans-serif"/>
          <w:b w:val="false"/>
          <w:color w:val="000000"/>
          <w:sz w:val="18"/>
        </w:rPr>
      </w:pPr>
      <w:r>
        <w:rPr>
          <w:rFonts w:ascii="Open Sans;sans-serif" w:hAnsi="Open Sans;sans-serif"/>
          <w:b w:val="false"/>
          <w:color w:val="000000"/>
          <w:sz w:val="18"/>
        </w:rPr>
        <w:t>The final number of ADSs repurchased and delivered under the ASR agreement will be based on the daily volume-weighted average ADS price during the agreement term, less a discount, and subject to the agreement’s terms and conditions. Final settlement is expected to occur before year-end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Open Sans;sans-serif" w:hAnsi="Open Sans;sans-serif"/>
          <w:b/>
          <w:color w:val="000000"/>
          <w:sz w:val="16"/>
        </w:rPr>
        <w:t>About</w:t>
      </w:r>
      <w:r>
        <w:rPr>
          <w:color w:val="000000"/>
        </w:rPr>
        <w:t xml:space="preserve"> </w:t>
      </w:r>
      <w:r>
        <w:rPr>
          <w:rFonts w:ascii="Open Sans;sans-serif" w:hAnsi="Open Sans;sans-serif"/>
          <w:b/>
          <w:color w:val="000000"/>
          <w:sz w:val="16"/>
        </w:rPr>
        <w:t>FEMSA</w:t>
      </w:r>
    </w:p>
    <w:p>
      <w:pPr>
        <w:pStyle w:val="TextBody"/>
        <w:bidi w:val="0"/>
        <w:spacing w:lineRule="auto" w:line="276" w:before="0" w:after="0"/>
        <w:jc w:val="both"/>
        <w:rPr>
          <w:rFonts w:ascii="Open Sans;sans-serif" w:hAnsi="Open Sans;sans-serif"/>
          <w:b w:val="false"/>
          <w:color w:val="000000"/>
          <w:sz w:val="16"/>
        </w:rPr>
      </w:pPr>
      <w:r>
        <w:rPr>
          <w:rFonts w:ascii="Open Sans;sans-serif" w:hAnsi="Open Sans;sans-serif"/>
          <w:b w:val="false"/>
          <w:color w:val="000000"/>
          <w:sz w:val="16"/>
        </w:rPr>
        <w:t>FEMSA is a company that creates economic and social value through companies and institutions and strives to be the best employer and neighbor to the communities in which it operates. It participates in two core sectors, retail and beverages. In retail, FEMSA is present through four divisions: i) OXXO Mexico, operating the largest small-format store chain in Mexico; ii) Americas &amp; Mobility, which includes its OXXO convenience store operations across Latin America and the United States, as well as its gas station business in Mexico and the United States; iii) FEMSA Europe, operating convenience and foodvenience formats in five European countries; and iv) FEMSA Health, which includes drugstores and related activities in four Latin American countries. In Mexico, OXXO’s operations are enhanced by, and comprise a customer-focused ecosystem with Spin, a digital platform that leverages the OXXO store network to provide Mexican consumers with access to digital financial services, including Spin by OXXO and Spin Premia, among other initiatives. In the beverage sector, FEMSA participates through Coca-Cola FEMSA, the largest franchise bottler of Coca-Cola products in the world by volume. Across its business units, FEMSA has more than 369,000 employees in 18 countries. FEMSA is a member of the Dow Jones Best-in-Class World Index &amp; Dow Jones Best-in-Class MILA Pacific Alliance Index, both from S&amp;P Global; FTSE4Good Emerging Index; MSCI EM Latin America ESG Leaders Index; S&amp;P/BMV Total México ESG, among other indexes.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FF"/>
          <w:sz w:val="12"/>
        </w:rPr>
        <w:t>[1]</w:t>
      </w:r>
      <w:r>
        <w:rPr>
          <w:color w:val="000000"/>
        </w:rPr>
        <w:t xml:space="preserve"> </w:t>
      </w:r>
      <w:r>
        <w:rPr>
          <w:rFonts w:ascii="Open Sans;sans-serif" w:hAnsi="Open Sans;sans-serif"/>
          <w:b w:val="false"/>
          <w:color w:val="000000"/>
          <w:sz w:val="12"/>
        </w:rPr>
        <w:t>ADS underlying units consist of 10 of FEMSA’s BD Units, each representing one Series B Share, two Series D-B Shares and two Series D-L Shares, without par value.</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85520"/>
                <wp:effectExtent l="0" t="0" r="0" b="0"/>
                <wp:wrapNone/>
                <wp:docPr id="5" name="Frame3"/>
                <a:graphic xmlns:a="http://schemas.openxmlformats.org/drawingml/2006/main">
                  <a:graphicData uri="http://schemas.microsoft.com/office/word/2010/wordprocessingShape">
                    <wps:wsp>
                      <wps:cNvSpPr txBox="1"/>
                      <wps:spPr>
                        <a:xfrm>
                          <a:off x="0" y="0"/>
                          <a:ext cx="6480175" cy="985520"/>
                        </a:xfrm>
                        <a:prstGeom prst="rect"/>
                        <a:solidFill>
                          <a:srgbClr val="FFFFFF"/>
                        </a:solidFill>
                      </wps:spPr>
                      <wps:txbx>
                        <w:txbxContent>
                          <w:tbl>
                            <w:tblPr>
                              <w:tblW w:w="7599" w:type="dxa"/>
                              <w:jc w:val="left"/>
                              <w:tblInd w:w="0" w:type="dxa"/>
                              <w:tblLayout w:type="fixed"/>
                              <w:tblCellMar>
                                <w:top w:w="28" w:type="dxa"/>
                                <w:left w:w="28" w:type="dxa"/>
                                <w:bottom w:w="28" w:type="dxa"/>
                                <w:right w:w="28" w:type="dxa"/>
                              </w:tblCellMar>
                            </w:tblPr>
                            <w:tblGrid>
                              <w:gridCol w:w="691"/>
                              <w:gridCol w:w="607"/>
                              <w:gridCol w:w="608"/>
                              <w:gridCol w:w="109"/>
                              <w:gridCol w:w="109"/>
                              <w:gridCol w:w="109"/>
                              <w:gridCol w:w="785"/>
                              <w:gridCol w:w="785"/>
                              <w:gridCol w:w="786"/>
                              <w:gridCol w:w="109"/>
                              <w:gridCol w:w="109"/>
                              <w:gridCol w:w="109"/>
                              <w:gridCol w:w="599"/>
                              <w:gridCol w:w="599"/>
                              <w:gridCol w:w="601"/>
                              <w:gridCol w:w="258"/>
                              <w:gridCol w:w="258"/>
                              <w:gridCol w:w="368"/>
                            </w:tblGrid>
                            <w:tr>
                              <w:trPr/>
                              <w:tc>
                                <w:tcPr>
                                  <w:tcW w:w="691" w:type="dxa"/>
                                  <w:tcBorders/>
                                  <w:vAlign w:val="center"/>
                                </w:tcPr>
                                <w:p>
                                  <w:pPr>
                                    <w:pStyle w:val="TableContents"/>
                                    <w:bidi w:val="0"/>
                                    <w:spacing w:before="0" w:after="283"/>
                                    <w:jc w:val="left"/>
                                    <w:rPr>
                                      <w:sz w:val="4"/>
                                      <w:szCs w:val="4"/>
                                    </w:rPr>
                                  </w:pPr>
                                  <w:r>
                                    <w:rPr>
                                      <w:sz w:val="4"/>
                                      <w:szCs w:val="4"/>
                                    </w:rPr>
                                  </w:r>
                                  <w:r>
                                    <w:br w:type="page"/>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Investor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818-328-6000</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investor@femsa.com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femsa.gcs-web.com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Media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555-249-6843</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comunicacion@femsa.com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 Light;sans-serif" w:hAnsi="Open Sans Light;sans-serif"/>
                                      <w:b w:val="false"/>
                                      <w:color w:val="000000"/>
                                      <w:sz w:val="16"/>
                                    </w:rPr>
                                  </w:pPr>
                                  <w:r>
                                    <w:rPr>
                                      <w:rFonts w:ascii="Open Sans Light;sans-serif" w:hAnsi="Open Sans Light;sans-serif"/>
                                      <w:b w:val="false"/>
                                      <w:color w:val="000000"/>
                                      <w:sz w:val="16"/>
                                    </w:rPr>
                                    <w:t>September 14, 2026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Open Sans Light;sans-serif" w:hAnsi="Open Sans Light;sans-serif"/>
                                      <w:b w:val="false"/>
                                      <w:color w:val="000000"/>
                                      <w:sz w:val="16"/>
                                    </w:rPr>
                                    <w:t>| 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6pt;mso-wrap-distance-left:0pt;mso-wrap-distance-right:0pt;mso-wrap-distance-top:0pt;mso-wrap-distance-bottom:0pt;margin-top:0pt;mso-position-vertical:top;mso-position-vertical-relative:text;margin-left:0pt;mso-position-horizontal:left;mso-position-horizontal-relative:text">
                <v:textbox>
                  <w:txbxContent>
                    <w:tbl>
                      <w:tblPr>
                        <w:tblW w:w="7599" w:type="dxa"/>
                        <w:jc w:val="left"/>
                        <w:tblInd w:w="0" w:type="dxa"/>
                        <w:tblLayout w:type="fixed"/>
                        <w:tblCellMar>
                          <w:top w:w="28" w:type="dxa"/>
                          <w:left w:w="28" w:type="dxa"/>
                          <w:bottom w:w="28" w:type="dxa"/>
                          <w:right w:w="28" w:type="dxa"/>
                        </w:tblCellMar>
                      </w:tblPr>
                      <w:tblGrid>
                        <w:gridCol w:w="691"/>
                        <w:gridCol w:w="607"/>
                        <w:gridCol w:w="608"/>
                        <w:gridCol w:w="109"/>
                        <w:gridCol w:w="109"/>
                        <w:gridCol w:w="109"/>
                        <w:gridCol w:w="785"/>
                        <w:gridCol w:w="785"/>
                        <w:gridCol w:w="786"/>
                        <w:gridCol w:w="109"/>
                        <w:gridCol w:w="109"/>
                        <w:gridCol w:w="109"/>
                        <w:gridCol w:w="599"/>
                        <w:gridCol w:w="599"/>
                        <w:gridCol w:w="601"/>
                        <w:gridCol w:w="258"/>
                        <w:gridCol w:w="258"/>
                        <w:gridCol w:w="368"/>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Investor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818-328-6000</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investor@femsa.com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femsa.gcs-web.com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Media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555-249-6843</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comunicacion@femsa.com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 Light;sans-serif" w:hAnsi="Open Sans Light;sans-serif"/>
                                <w:b w:val="false"/>
                                <w:color w:val="000000"/>
                                <w:sz w:val="16"/>
                              </w:rPr>
                            </w:pPr>
                            <w:r>
                              <w:rPr>
                                <w:rFonts w:ascii="Open Sans Light;sans-serif" w:hAnsi="Open Sans Light;sans-serif"/>
                                <w:b w:val="false"/>
                                <w:color w:val="000000"/>
                                <w:sz w:val="16"/>
                              </w:rPr>
                              <w:t>September 14, 2026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Open Sans Light;sans-serif" w:hAnsi="Open Sans Light;sans-serif"/>
                                <w:b w:val="false"/>
                                <w:color w:val="000000"/>
                                <w:sz w:val="16"/>
                              </w:rPr>
                              <w:t>| Page 1</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Open Sans">
    <w:altName w:val="sans-serif"/>
    <w:charset w:val="01"/>
    <w:family w:val="auto"/>
    <w:pitch w:val="default"/>
  </w:font>
  <w:font w:name="sans-serif">
    <w:altName w:val="Arial"/>
    <w:charset w:val="01"/>
    <w:family w:val="auto"/>
    <w:pitch w:val="default"/>
  </w:font>
  <w:font w:name="Open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725</Words>
  <Characters>3992</Characters>
  <CharactersWithSpaces>4724</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