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172"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ANNUAL REPORT PURSUANT TO SECTION 13</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2007</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333-08752</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Fomento Económico Mexicano, S.A.B. de C.V</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Mexican Economic Development,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Mexican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Anaya No. 601 Pte.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Colonia Bella Vista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Monterrey, NL 64410 Mexico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Juan F. Fonseca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Anaya No. 601 Pte.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Colonia Bella Vista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Monterrey, NL 64410 Mexico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(52-818) 328-6167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investor@femsa.com.mx</w:t>
      </w:r>
    </w:p>
    <w:p>
      <w:pPr>
        <w:jc w:val="center"/>
        <w:spacing w:after="0"/>
        <w:rPr>
          <w:sz w:val="20"/>
          <w:szCs w:val="20"/>
          <w:color w:val="auto"/>
        </w:rPr>
      </w:pPr>
      <w:r>
        <w:rPr>
          <w:rFonts w:ascii="Arial" w:cs="Arial" w:eastAsia="Arial" w:hAnsi="Arial"/>
          <w:sz w:val="14"/>
          <w:szCs w:val="14"/>
          <w:b w:val="1"/>
          <w:bCs w:val="1"/>
          <w:color w:val="auto"/>
        </w:rPr>
        <w:t>(Name, telephone, e-mail and/or facsimile number and</w:t>
      </w:r>
    </w:p>
    <w:p>
      <w:pPr>
        <w:jc w:val="center"/>
        <w:spacing w:after="0"/>
        <w:rPr>
          <w:sz w:val="20"/>
          <w:szCs w:val="20"/>
          <w:color w:val="auto"/>
        </w:rPr>
      </w:pPr>
      <w:r>
        <w:rPr>
          <w:rFonts w:ascii="Arial" w:cs="Arial" w:eastAsia="Arial" w:hAnsi="Arial"/>
          <w:sz w:val="14"/>
          <w:szCs w:val="14"/>
          <w:b w:val="1"/>
          <w:bCs w:val="1"/>
          <w:color w:val="auto"/>
        </w:rPr>
        <w:t>address of company contact person)</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or to be registered pursuant top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698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4"/>
              </w:rPr>
              <w:t>Title of each class:</w:t>
            </w:r>
          </w:p>
        </w:tc>
        <w:tc>
          <w:tcPr>
            <w:tcW w:w="4440" w:type="dxa"/>
            <w:vAlign w:val="bottom"/>
          </w:tcPr>
          <w:p>
            <w:pPr>
              <w:jc w:val="center"/>
              <w:ind w:right="942"/>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96"/>
        </w:trPr>
        <w:tc>
          <w:tcPr>
            <w:tcW w:w="5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7"/>
              </w:rPr>
              <w:t>American Depositary Shares, each representing 10 BD Units, each</w:t>
            </w: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40" w:type="dxa"/>
            <w:vAlign w:val="bottom"/>
            <w:tcBorders>
              <w:top w:val="single" w:sz="8" w:color="auto"/>
            </w:tcBorders>
          </w:tcPr>
          <w:p>
            <w:pPr>
              <w:spacing w:after="0"/>
              <w:rPr>
                <w:sz w:val="17"/>
                <w:szCs w:val="17"/>
                <w:color w:val="auto"/>
              </w:rPr>
            </w:pPr>
          </w:p>
        </w:tc>
      </w:tr>
      <w:tr>
        <w:trPr>
          <w:trHeight w:val="216"/>
        </w:trPr>
        <w:tc>
          <w:tcPr>
            <w:tcW w:w="69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5"/>
              </w:rPr>
              <w:t>consisting of one Series B Share, two Series D-B Shares and two Series D-</w:t>
            </w:r>
          </w:p>
        </w:tc>
        <w:tc>
          <w:tcPr>
            <w:tcW w:w="4440" w:type="dxa"/>
            <w:vAlign w:val="bottom"/>
          </w:tcPr>
          <w:p>
            <w:pPr>
              <w:spacing w:after="0"/>
              <w:rPr>
                <w:sz w:val="18"/>
                <w:szCs w:val="18"/>
                <w:color w:val="auto"/>
              </w:rPr>
            </w:pPr>
          </w:p>
        </w:tc>
      </w:tr>
      <w:tr>
        <w:trPr>
          <w:trHeight w:val="228"/>
        </w:trPr>
        <w:tc>
          <w:tcPr>
            <w:tcW w:w="69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8"/>
              </w:rPr>
              <w:t>L Shares, without par value</w:t>
            </w:r>
          </w:p>
        </w:tc>
        <w:tc>
          <w:tcPr>
            <w:tcW w:w="4440" w:type="dxa"/>
            <w:vAlign w:val="bottom"/>
          </w:tcPr>
          <w:p>
            <w:pPr>
              <w:jc w:val="center"/>
              <w:ind w:right="942"/>
              <w:spacing w:after="0"/>
              <w:rPr>
                <w:sz w:val="20"/>
                <w:szCs w:val="20"/>
                <w:color w:val="auto"/>
              </w:rPr>
            </w:pPr>
            <w:r>
              <w:rPr>
                <w:rFonts w:ascii="Arial" w:cs="Arial" w:eastAsia="Arial" w:hAnsi="Arial"/>
                <w:sz w:val="18"/>
                <w:szCs w:val="18"/>
                <w:b w:val="1"/>
                <w:bCs w:val="1"/>
                <w:color w:val="auto"/>
                <w:w w:val="87"/>
              </w:rPr>
              <w:t>New York Stock Exchange</w:t>
            </w:r>
          </w:p>
        </w:tc>
      </w:tr>
      <w:tr>
        <w:trPr>
          <w:trHeight w:val="378"/>
        </w:trPr>
        <w:tc>
          <w:tcPr>
            <w:tcW w:w="698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86"/>
              </w:rPr>
              <w:t>Securities registered or to be registered pursuant to Section 12(g) of the Act:</w:t>
            </w:r>
          </w:p>
        </w:tc>
        <w:tc>
          <w:tcPr>
            <w:tcW w:w="4440" w:type="dxa"/>
            <w:vAlign w:val="bottom"/>
          </w:tcPr>
          <w:p>
            <w:pPr>
              <w:spacing w:after="0"/>
              <w:rPr>
                <w:sz w:val="24"/>
                <w:szCs w:val="24"/>
                <w:color w:val="auto"/>
              </w:rPr>
            </w:pPr>
          </w:p>
        </w:tc>
      </w:tr>
      <w:tr>
        <w:trPr>
          <w:trHeight w:val="378"/>
        </w:trPr>
        <w:tc>
          <w:tcPr>
            <w:tcW w:w="6980" w:type="dxa"/>
            <w:vAlign w:val="bottom"/>
            <w:gridSpan w:val="3"/>
          </w:tcPr>
          <w:p>
            <w:pPr>
              <w:ind w:left="460"/>
              <w:spacing w:after="0"/>
              <w:rPr>
                <w:sz w:val="20"/>
                <w:szCs w:val="20"/>
                <w:color w:val="auto"/>
              </w:rPr>
            </w:pPr>
            <w:r>
              <w:rPr>
                <w:rFonts w:ascii="Arial" w:cs="Arial" w:eastAsia="Arial" w:hAnsi="Arial"/>
                <w:sz w:val="18"/>
                <w:szCs w:val="18"/>
                <w:color w:val="auto"/>
              </w:rPr>
              <w:t>None</w:t>
            </w:r>
          </w:p>
        </w:tc>
        <w:tc>
          <w:tcPr>
            <w:tcW w:w="4440" w:type="dxa"/>
            <w:vAlign w:val="bottom"/>
          </w:tcPr>
          <w:p>
            <w:pPr>
              <w:spacing w:after="0"/>
              <w:rPr>
                <w:sz w:val="24"/>
                <w:szCs w:val="24"/>
                <w:color w:val="auto"/>
              </w:rPr>
            </w:pPr>
          </w:p>
        </w:tc>
      </w:tr>
      <w:tr>
        <w:trPr>
          <w:trHeight w:val="378"/>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w w:val="93"/>
              </w:rPr>
              <w:t>Securities for which there is a reporting obligation pursuant to Section 15(d) of the Act:</w:t>
            </w:r>
          </w:p>
        </w:tc>
        <w:tc>
          <w:tcPr>
            <w:tcW w:w="4440" w:type="dxa"/>
            <w:vAlign w:val="bottom"/>
          </w:tcPr>
          <w:p>
            <w:pPr>
              <w:spacing w:after="0"/>
              <w:rPr>
                <w:sz w:val="24"/>
                <w:szCs w:val="24"/>
                <w:color w:val="auto"/>
              </w:rPr>
            </w:pPr>
          </w:p>
        </w:tc>
      </w:tr>
      <w:tr>
        <w:trPr>
          <w:trHeight w:val="378"/>
        </w:trPr>
        <w:tc>
          <w:tcPr>
            <w:tcW w:w="6980" w:type="dxa"/>
            <w:vAlign w:val="bottom"/>
            <w:gridSpan w:val="3"/>
          </w:tcPr>
          <w:p>
            <w:pPr>
              <w:ind w:left="460"/>
              <w:spacing w:after="0"/>
              <w:rPr>
                <w:sz w:val="20"/>
                <w:szCs w:val="20"/>
                <w:color w:val="auto"/>
              </w:rPr>
            </w:pPr>
            <w:r>
              <w:rPr>
                <w:rFonts w:ascii="Arial" w:cs="Arial" w:eastAsia="Arial" w:hAnsi="Arial"/>
                <w:sz w:val="18"/>
                <w:szCs w:val="18"/>
                <w:color w:val="auto"/>
              </w:rPr>
              <w:t>None</w:t>
            </w:r>
          </w:p>
        </w:tc>
        <w:tc>
          <w:tcPr>
            <w:tcW w:w="4440" w:type="dxa"/>
            <w:vAlign w:val="bottom"/>
          </w:tcPr>
          <w:p>
            <w:pPr>
              <w:spacing w:after="0"/>
              <w:rPr>
                <w:sz w:val="24"/>
                <w:szCs w:val="24"/>
                <w:color w:val="auto"/>
              </w:rPr>
            </w:pPr>
          </w:p>
        </w:tc>
      </w:tr>
    </w:tbl>
    <w:p>
      <w:pPr>
        <w:spacing w:after="0" w:line="150" w:lineRule="exact"/>
        <w:rPr>
          <w:sz w:val="24"/>
          <w:szCs w:val="24"/>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jc w:val="right"/>
              <w:ind w:right="332"/>
              <w:spacing w:after="0"/>
              <w:rPr>
                <w:sz w:val="20"/>
                <w:szCs w:val="20"/>
                <w:color w:val="auto"/>
              </w:rPr>
            </w:pPr>
            <w:r>
              <w:rPr>
                <w:rFonts w:ascii="Arial" w:cs="Arial" w:eastAsia="Arial" w:hAnsi="Arial"/>
                <w:sz w:val="18"/>
                <w:szCs w:val="18"/>
                <w:color w:val="auto"/>
                <w:w w:val="86"/>
              </w:rPr>
              <w:t>2,161,177,770</w:t>
            </w:r>
          </w:p>
        </w:tc>
        <w:tc>
          <w:tcPr>
            <w:tcW w:w="9800" w:type="dxa"/>
            <w:vAlign w:val="bottom"/>
          </w:tcPr>
          <w:p>
            <w:pPr>
              <w:ind w:left="400"/>
              <w:spacing w:after="0"/>
              <w:rPr>
                <w:sz w:val="20"/>
                <w:szCs w:val="20"/>
                <w:color w:val="auto"/>
              </w:rPr>
            </w:pPr>
            <w:r>
              <w:rPr>
                <w:rFonts w:ascii="Arial" w:cs="Arial" w:eastAsia="Arial" w:hAnsi="Arial"/>
                <w:sz w:val="18"/>
                <w:szCs w:val="18"/>
                <w:color w:val="auto"/>
                <w:w w:val="88"/>
              </w:rPr>
              <w:t>BD Units, each consisting of one Series B Share, two Series D-B Shares and two Series D-L Shares, without par value. The BD Units</w:t>
            </w:r>
          </w:p>
        </w:tc>
      </w:tr>
      <w:tr>
        <w:trPr>
          <w:trHeight w:val="222"/>
        </w:trPr>
        <w:tc>
          <w:tcPr>
            <w:tcW w:w="1440" w:type="dxa"/>
            <w:vAlign w:val="bottom"/>
          </w:tcPr>
          <w:p>
            <w:pPr>
              <w:spacing w:after="0"/>
              <w:rPr>
                <w:sz w:val="19"/>
                <w:szCs w:val="19"/>
                <w:color w:val="auto"/>
              </w:rPr>
            </w:pPr>
          </w:p>
        </w:tc>
        <w:tc>
          <w:tcPr>
            <w:tcW w:w="9800" w:type="dxa"/>
            <w:vAlign w:val="bottom"/>
          </w:tcPr>
          <w:p>
            <w:pPr>
              <w:ind w:left="400"/>
              <w:spacing w:after="0"/>
              <w:rPr>
                <w:sz w:val="20"/>
                <w:szCs w:val="20"/>
                <w:color w:val="auto"/>
              </w:rPr>
            </w:pPr>
            <w:r>
              <w:rPr>
                <w:rFonts w:ascii="Arial" w:cs="Arial" w:eastAsia="Arial" w:hAnsi="Arial"/>
                <w:sz w:val="18"/>
                <w:szCs w:val="18"/>
                <w:color w:val="auto"/>
                <w:w w:val="94"/>
              </w:rPr>
              <w:t>represent a total of 2,161,177,770 Series B Shares, 4,322,355,540 Series D-B Shares and 4,322,355,540 Series D-L Shares.</w:t>
            </w:r>
          </w:p>
        </w:tc>
      </w:tr>
      <w:tr>
        <w:trPr>
          <w:trHeight w:val="324"/>
        </w:trPr>
        <w:tc>
          <w:tcPr>
            <w:tcW w:w="1440" w:type="dxa"/>
            <w:vAlign w:val="bottom"/>
          </w:tcPr>
          <w:p>
            <w:pPr>
              <w:jc w:val="right"/>
              <w:ind w:right="332"/>
              <w:spacing w:after="0"/>
              <w:rPr>
                <w:sz w:val="20"/>
                <w:szCs w:val="20"/>
                <w:color w:val="auto"/>
              </w:rPr>
            </w:pPr>
            <w:r>
              <w:rPr>
                <w:rFonts w:ascii="Arial" w:cs="Arial" w:eastAsia="Arial" w:hAnsi="Arial"/>
                <w:sz w:val="18"/>
                <w:szCs w:val="18"/>
                <w:color w:val="auto"/>
                <w:w w:val="86"/>
              </w:rPr>
              <w:t>1,417,048,500</w:t>
            </w:r>
          </w:p>
        </w:tc>
        <w:tc>
          <w:tcPr>
            <w:tcW w:w="9800" w:type="dxa"/>
            <w:vAlign w:val="bottom"/>
          </w:tcPr>
          <w:p>
            <w:pPr>
              <w:ind w:left="400"/>
              <w:spacing w:after="0"/>
              <w:rPr>
                <w:sz w:val="20"/>
                <w:szCs w:val="20"/>
                <w:color w:val="auto"/>
              </w:rPr>
            </w:pPr>
            <w:r>
              <w:rPr>
                <w:rFonts w:ascii="Arial" w:cs="Arial" w:eastAsia="Arial" w:hAnsi="Arial"/>
                <w:sz w:val="18"/>
                <w:szCs w:val="18"/>
                <w:color w:val="auto"/>
                <w:w w:val="90"/>
              </w:rPr>
              <w:t>B Units, each consisting of five Series B Shares without par value. The B Units represent a total of 7,085,242,500 Series B Shares.</w:t>
            </w:r>
          </w:p>
        </w:tc>
      </w:tr>
    </w:tbl>
    <w:p>
      <w:pPr>
        <w:spacing w:after="0" w:line="1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185" w:lineRule="exact"/>
        <w:rPr>
          <w:sz w:val="24"/>
          <w:szCs w:val="24"/>
          <w:color w:val="auto"/>
        </w:rPr>
      </w:pPr>
    </w:p>
    <w:p>
      <w:pPr>
        <w:ind w:left="3160"/>
        <w:spacing w:after="0" w:line="207" w:lineRule="exact"/>
        <w:tabs>
          <w:tab w:leader="none" w:pos="70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98" w:lineRule="exact"/>
        <w:rPr>
          <w:sz w:val="24"/>
          <w:szCs w:val="24"/>
          <w:color w:val="auto"/>
        </w:rPr>
      </w:pPr>
    </w:p>
    <w:p>
      <w:pPr>
        <w:jc w:val="both"/>
        <w:ind w:right="200"/>
        <w:spacing w:after="0" w:line="275"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spacing w:after="0" w:line="134" w:lineRule="exact"/>
        <w:rPr>
          <w:sz w:val="24"/>
          <w:szCs w:val="24"/>
          <w:color w:val="auto"/>
        </w:rPr>
      </w:pPr>
    </w:p>
    <w:p>
      <w:pPr>
        <w:ind w:left="3160"/>
        <w:spacing w:after="0" w:line="207" w:lineRule="exact"/>
        <w:tabs>
          <w:tab w:leader="none" w:pos="70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98" w:lineRule="exact"/>
        <w:rPr>
          <w:sz w:val="24"/>
          <w:szCs w:val="24"/>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6" w:lineRule="exact"/>
        <w:rPr>
          <w:sz w:val="24"/>
          <w:szCs w:val="24"/>
          <w:color w:val="auto"/>
        </w:rPr>
      </w:pPr>
    </w:p>
    <w:p>
      <w:pPr>
        <w:ind w:left="3160"/>
        <w:spacing w:after="0" w:line="207" w:lineRule="exact"/>
        <w:tabs>
          <w:tab w:leader="none" w:pos="70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198" w:lineRule="exact"/>
        <w:rPr>
          <w:sz w:val="24"/>
          <w:szCs w:val="24"/>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230" w:right="239" w:bottom="0" w:gutter="0" w:footer="0" w:header="0"/>
        </w:sectPr>
      </w:pPr>
    </w:p>
    <w:bookmarkStart w:id="1" w:name="page2"/>
    <w:bookmarkEnd w:id="1"/>
    <w:p>
      <w:pPr>
        <w:ind w:left="1680"/>
        <w:spacing w:after="0" w:line="207" w:lineRule="exact"/>
        <w:tabs>
          <w:tab w:leader="none" w:pos="6160" w:val="left"/>
          <w:tab w:leader="none" w:pos="9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Indicate by check mark which basis of accounting the registrant has used to prepare the financial statements included in this filing:</w:t>
      </w:r>
    </w:p>
    <w:p>
      <w:pPr>
        <w:spacing w:after="0" w:line="208" w:lineRule="exact"/>
        <w:rPr>
          <w:sz w:val="20"/>
          <w:szCs w:val="20"/>
          <w:color w:val="auto"/>
        </w:rPr>
      </w:pPr>
    </w:p>
    <w:p>
      <w:pPr>
        <w:ind w:left="1720"/>
        <w:spacing w:after="0" w:line="207" w:lineRule="exact"/>
        <w:tabs>
          <w:tab w:leader="none" w:pos="6220" w:val="left"/>
          <w:tab w:leader="none" w:pos="910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IFRS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“Other” has been checked in response to the previous question, indicate by check mark which financial statement item the registrant has elected to follow.</w:t>
      </w:r>
    </w:p>
    <w:p>
      <w:pPr>
        <w:spacing w:after="0" w:line="134" w:lineRule="exact"/>
        <w:rPr>
          <w:sz w:val="20"/>
          <w:szCs w:val="20"/>
          <w:color w:val="auto"/>
        </w:rPr>
      </w:pPr>
    </w:p>
    <w:p>
      <w:pPr>
        <w:ind w:left="3020"/>
        <w:spacing w:after="0" w:line="207" w:lineRule="exact"/>
        <w:tabs>
          <w:tab w:leader="none" w:pos="3300" w:val="left"/>
          <w:tab w:leader="none" w:pos="70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Item 17</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Item 18</w:t>
      </w:r>
    </w:p>
    <w:p>
      <w:pPr>
        <w:spacing w:after="0" w:line="198" w:lineRule="exact"/>
        <w:rPr>
          <w:sz w:val="20"/>
          <w:szCs w:val="20"/>
          <w:color w:val="auto"/>
        </w:rPr>
      </w:pPr>
    </w:p>
    <w:p>
      <w:pPr>
        <w:jc w:val="center"/>
        <w:ind w:right="700"/>
        <w:spacing w:after="0"/>
        <w:rPr>
          <w:sz w:val="20"/>
          <w:szCs w:val="20"/>
          <w:color w:val="auto"/>
        </w:rPr>
      </w:pPr>
      <w:r>
        <w:rPr>
          <w:rFonts w:ascii="Arial" w:cs="Arial" w:eastAsia="Arial" w:hAnsi="Arial"/>
          <w:sz w:val="15"/>
          <w:szCs w:val="15"/>
          <w:b w:val="1"/>
          <w:bCs w:val="1"/>
          <w:color w:val="auto"/>
        </w:rPr>
        <w:t>If this is an annual report, indicate by check mark whether the registrant is a shell company (as defined in Rule 12b-2 of the Exchange Act).</w:t>
      </w:r>
    </w:p>
    <w:p>
      <w:pPr>
        <w:spacing w:after="0" w:line="220" w:lineRule="exact"/>
        <w:rPr>
          <w:sz w:val="20"/>
          <w:szCs w:val="20"/>
          <w:color w:val="auto"/>
        </w:rPr>
      </w:pPr>
    </w:p>
    <w:p>
      <w:pPr>
        <w:ind w:left="3000"/>
        <w:spacing w:after="0" w:line="207" w:lineRule="exact"/>
        <w:tabs>
          <w:tab w:leader="none" w:pos="70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8"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80" w:type="dxa"/>
            <w:vAlign w:val="bottom"/>
            <w:gridSpan w:val="3"/>
          </w:tcPr>
          <w:p>
            <w:pPr>
              <w:ind w:left="4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340" w:type="dxa"/>
            <w:vAlign w:val="bottom"/>
            <w:gridSpan w:val="2"/>
            <w:vMerge w:val="restart"/>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INTRODUCTION</w:t>
              </w:r>
            </w:hyperlink>
          </w:p>
        </w:tc>
        <w:tc>
          <w:tcPr>
            <w:tcW w:w="9800" w:type="dxa"/>
            <w:vAlign w:val="bottom"/>
            <w:gridSpan w:val="39"/>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340" w:type="dxa"/>
            <w:vAlign w:val="bottom"/>
            <w:tcBorders>
              <w:bottom w:val="single" w:sz="8" w:color="0000EE"/>
            </w:tcBorders>
            <w:gridSpan w:val="2"/>
            <w:vMerge w:val="continue"/>
          </w:tcPr>
          <w:p>
            <w:pPr>
              <w:spacing w:after="0"/>
              <w:rPr>
                <w:sz w:val="14"/>
                <w:szCs w:val="14"/>
                <w:color w:val="auto"/>
              </w:rPr>
            </w:pPr>
          </w:p>
        </w:tc>
        <w:tc>
          <w:tcPr>
            <w:tcW w:w="9800" w:type="dxa"/>
            <w:vAlign w:val="bottom"/>
            <w:gridSpan w:val="3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780" w:type="dxa"/>
            <w:vAlign w:val="bottom"/>
            <w:tcBorders>
              <w:bottom w:val="single" w:sz="8" w:color="0000EE"/>
            </w:tcBorders>
            <w:gridSpan w:val="6"/>
          </w:tcPr>
          <w:p>
            <w:pPr>
              <w:spacing w:after="0" w:line="196" w:lineRule="exact"/>
              <w:rPr>
                <w:rFonts w:ascii="Arial" w:cs="Arial" w:eastAsia="Arial" w:hAnsi="Arial"/>
                <w:sz w:val="18"/>
                <w:szCs w:val="18"/>
                <w:color w:val="0000EE"/>
                <w:w w:val="82"/>
              </w:rPr>
            </w:pPr>
            <w:hyperlink w:anchor="page6">
              <w:r>
                <w:rPr>
                  <w:rFonts w:ascii="Arial" w:cs="Arial" w:eastAsia="Arial" w:hAnsi="Arial"/>
                  <w:sz w:val="18"/>
                  <w:szCs w:val="18"/>
                  <w:color w:val="0000EE"/>
                  <w:w w:val="82"/>
                </w:rPr>
                <w:t>References</w:t>
              </w:r>
            </w:hyperlink>
          </w:p>
        </w:tc>
        <w:tc>
          <w:tcPr>
            <w:tcW w:w="9240" w:type="dxa"/>
            <w:vAlign w:val="bottom"/>
            <w:gridSpan w:val="3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580" w:type="dxa"/>
            <w:vAlign w:val="bottom"/>
            <w:tcBorders>
              <w:bottom w:val="single" w:sz="8" w:color="0000EE"/>
            </w:tcBorders>
            <w:gridSpan w:val="31"/>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Currency Translations and Estimates</w:t>
              </w:r>
            </w:hyperlink>
          </w:p>
        </w:tc>
        <w:tc>
          <w:tcPr>
            <w:tcW w:w="74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1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Forward-Looking Information</w:t>
              </w:r>
            </w:hyperlink>
          </w:p>
        </w:tc>
        <w:tc>
          <w:tcPr>
            <w:tcW w:w="788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ITEMS 1-2</w:t>
            </w:r>
          </w:p>
        </w:tc>
        <w:tc>
          <w:tcPr>
            <w:tcW w:w="148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NOT APPLICABLE</w:t>
              </w:r>
            </w:hyperlink>
          </w:p>
        </w:tc>
        <w:tc>
          <w:tcPr>
            <w:tcW w:w="8540" w:type="dxa"/>
            <w:vAlign w:val="bottom"/>
            <w:gridSpan w:val="2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1620" w:type="dxa"/>
            <w:vAlign w:val="bottom"/>
            <w:tcBorders>
              <w:bottom w:val="single" w:sz="8" w:color="0000EE"/>
            </w:tcBorders>
            <w:gridSpan w:val="23"/>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KEY INFORMATION</w:t>
              </w:r>
            </w:hyperlink>
          </w:p>
        </w:tc>
        <w:tc>
          <w:tcPr>
            <w:tcW w:w="8400" w:type="dxa"/>
            <w:vAlign w:val="bottom"/>
            <w:gridSpan w:val="1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640" w:type="dxa"/>
            <w:vAlign w:val="bottom"/>
            <w:tcBorders>
              <w:bottom w:val="single" w:sz="8" w:color="0000EE"/>
            </w:tcBorders>
            <w:gridSpan w:val="3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Selected Consolidated Financial Data</w:t>
              </w:r>
            </w:hyperlink>
          </w:p>
        </w:tc>
        <w:tc>
          <w:tcPr>
            <w:tcW w:w="738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7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Dividends</w:t>
              </w:r>
            </w:hyperlink>
          </w:p>
        </w:tc>
        <w:tc>
          <w:tcPr>
            <w:tcW w:w="9300" w:type="dxa"/>
            <w:vAlign w:val="bottom"/>
            <w:gridSpan w:val="3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94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Exchange Rate Information</w:t>
              </w:r>
            </w:hyperlink>
          </w:p>
        </w:tc>
        <w:tc>
          <w:tcPr>
            <w:tcW w:w="808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8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914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FEMSA Cerveza</w:t>
              </w:r>
            </w:hyperlink>
          </w:p>
        </w:tc>
        <w:tc>
          <w:tcPr>
            <w:tcW w:w="882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3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FEMSA Comercio</w:t>
              </w:r>
            </w:hyperlink>
          </w:p>
        </w:tc>
        <w:tc>
          <w:tcPr>
            <w:tcW w:w="868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800" w:type="dxa"/>
            <w:vAlign w:val="bottom"/>
            <w:tcBorders>
              <w:bottom w:val="single" w:sz="8" w:color="0000EE"/>
            </w:tcBorders>
            <w:gridSpan w:val="35"/>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INFORMATION ON THE COMPANY</w:t>
              </w:r>
            </w:hyperlink>
          </w:p>
        </w:tc>
        <w:tc>
          <w:tcPr>
            <w:tcW w:w="722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21">
              <w:r>
                <w:rPr>
                  <w:rFonts w:ascii="Arial" w:cs="Arial" w:eastAsia="Arial" w:hAnsi="Arial"/>
                  <w:sz w:val="18"/>
                  <w:szCs w:val="18"/>
                  <w:color w:val="0000EE"/>
                  <w:w w:val="86"/>
                </w:rPr>
                <w:t>The Company</w:t>
              </w:r>
            </w:hyperlink>
          </w:p>
        </w:tc>
        <w:tc>
          <w:tcPr>
            <w:tcW w:w="9020" w:type="dxa"/>
            <w:vAlign w:val="bottom"/>
            <w:gridSpan w:val="3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Overview</w:t>
              </w:r>
            </w:hyperlink>
          </w:p>
        </w:tc>
        <w:tc>
          <w:tcPr>
            <w:tcW w:w="9320" w:type="dxa"/>
            <w:vAlign w:val="bottom"/>
            <w:gridSpan w:val="3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60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Corporate Background</w:t>
              </w:r>
            </w:hyperlink>
          </w:p>
        </w:tc>
        <w:tc>
          <w:tcPr>
            <w:tcW w:w="842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Ownership Structure</w:t>
              </w:r>
            </w:hyperlink>
          </w:p>
        </w:tc>
        <w:tc>
          <w:tcPr>
            <w:tcW w:w="856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4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Significant Subsidiaries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6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Business Strategy</w:t>
              </w:r>
            </w:hyperlink>
          </w:p>
        </w:tc>
        <w:tc>
          <w:tcPr>
            <w:tcW w:w="836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3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Coca-Cola FEMSA</w:t>
              </w:r>
            </w:hyperlink>
          </w:p>
        </w:tc>
        <w:tc>
          <w:tcPr>
            <w:tcW w:w="864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FEMSA Cerveza</w:t>
              </w:r>
            </w:hyperlink>
          </w:p>
        </w:tc>
        <w:tc>
          <w:tcPr>
            <w:tcW w:w="882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3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FEMSA Comercio</w:t>
              </w:r>
            </w:hyperlink>
          </w:p>
        </w:tc>
        <w:tc>
          <w:tcPr>
            <w:tcW w:w="870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4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Business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4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Property, Plant and Equipment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w:anchor="page61">
              <w:r>
                <w:rPr>
                  <w:rFonts w:ascii="Arial" w:cs="Arial" w:eastAsia="Arial" w:hAnsi="Arial"/>
                  <w:sz w:val="18"/>
                  <w:szCs w:val="18"/>
                  <w:color w:val="0000EE"/>
                  <w:w w:val="83"/>
                </w:rPr>
                <w:t>Insurance</w:t>
              </w:r>
            </w:hyperlink>
          </w:p>
        </w:tc>
        <w:tc>
          <w:tcPr>
            <w:tcW w:w="2520" w:type="dxa"/>
            <w:vAlign w:val="bottom"/>
            <w:tcBorders>
              <w:top w:val="single" w:sz="8" w:color="0000EE"/>
            </w:tcBorders>
            <w:gridSpan w:val="33"/>
          </w:tcPr>
          <w:p>
            <w:pPr>
              <w:spacing w:after="0"/>
              <w:rPr>
                <w:sz w:val="17"/>
                <w:szCs w:val="17"/>
                <w:color w:val="auto"/>
              </w:rPr>
            </w:pPr>
          </w:p>
        </w:tc>
        <w:tc>
          <w:tcPr>
            <w:tcW w:w="68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4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Capital Expenditures and Divestitures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Regulatory Matters</w:t>
              </w:r>
            </w:hyperlink>
          </w:p>
        </w:tc>
        <w:tc>
          <w:tcPr>
            <w:tcW w:w="1300" w:type="dxa"/>
            <w:vAlign w:val="bottom"/>
            <w:tcBorders>
              <w:top w:val="single" w:sz="8" w:color="0000EE"/>
            </w:tcBorders>
            <w:gridSpan w:val="18"/>
          </w:tcPr>
          <w:p>
            <w:pPr>
              <w:spacing w:after="0"/>
              <w:rPr>
                <w:sz w:val="17"/>
                <w:szCs w:val="17"/>
                <w:color w:val="auto"/>
              </w:rPr>
            </w:pPr>
          </w:p>
        </w:tc>
        <w:tc>
          <w:tcPr>
            <w:tcW w:w="736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4A</w:t>
            </w:r>
          </w:p>
        </w:tc>
        <w:tc>
          <w:tcPr>
            <w:tcW w:w="10020" w:type="dxa"/>
            <w:vAlign w:val="bottom"/>
            <w:gridSpan w:val="4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10"/>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4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OPERATING AND FINANCIAL REVIEW AND PROSPECTS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54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Overview of Events, Trends and Uncertainties</w:t>
              </w:r>
            </w:hyperlink>
          </w:p>
        </w:tc>
        <w:tc>
          <w:tcPr>
            <w:tcW w:w="54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2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Recent Developments</w:t>
              </w:r>
            </w:hyperlink>
          </w:p>
        </w:tc>
        <w:tc>
          <w:tcPr>
            <w:tcW w:w="67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Operating Leverage</w:t>
              </w:r>
            </w:hyperlink>
          </w:p>
        </w:tc>
        <w:tc>
          <w:tcPr>
            <w:tcW w:w="140" w:type="dxa"/>
            <w:vAlign w:val="bottom"/>
            <w:tcBorders>
              <w:top w:val="single" w:sz="8" w:color="0000EE"/>
            </w:tcBorders>
            <w:gridSpan w:val="4"/>
          </w:tcPr>
          <w:p>
            <w:pPr>
              <w:spacing w:after="0"/>
              <w:rPr>
                <w:sz w:val="17"/>
                <w:szCs w:val="17"/>
                <w:color w:val="auto"/>
              </w:rPr>
            </w:pPr>
          </w:p>
        </w:tc>
        <w:tc>
          <w:tcPr>
            <w:tcW w:w="848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1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Critical Accounting Estimates</w:t>
              </w:r>
            </w:hyperlink>
          </w:p>
        </w:tc>
        <w:tc>
          <w:tcPr>
            <w:tcW w:w="790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4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New Accounting Pronouncements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Operating Results</w:t>
              </w:r>
            </w:hyperlink>
          </w:p>
        </w:tc>
        <w:tc>
          <w:tcPr>
            <w:tcW w:w="1140" w:type="dxa"/>
            <w:vAlign w:val="bottom"/>
            <w:tcBorders>
              <w:top w:val="single" w:sz="8" w:color="0000EE"/>
            </w:tcBorders>
            <w:gridSpan w:val="18"/>
          </w:tcPr>
          <w:p>
            <w:pPr>
              <w:spacing w:after="0"/>
              <w:rPr>
                <w:sz w:val="17"/>
                <w:szCs w:val="17"/>
                <w:color w:val="auto"/>
              </w:rPr>
            </w:pPr>
          </w:p>
        </w:tc>
        <w:tc>
          <w:tcPr>
            <w:tcW w:w="762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20" w:type="dxa"/>
            <w:vAlign w:val="bottom"/>
            <w:gridSpan w:val="4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Liquidity and Capital Resources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U.S. GAAP Reconciliation</w:t>
              </w:r>
            </w:hyperlink>
          </w:p>
        </w:tc>
        <w:tc>
          <w:tcPr>
            <w:tcW w:w="360" w:type="dxa"/>
            <w:vAlign w:val="bottom"/>
            <w:tcBorders>
              <w:top w:val="single" w:sz="8" w:color="0000EE"/>
            </w:tcBorders>
            <w:gridSpan w:val="4"/>
          </w:tcPr>
          <w:p>
            <w:pPr>
              <w:spacing w:after="0"/>
              <w:rPr>
                <w:sz w:val="17"/>
                <w:szCs w:val="17"/>
                <w:color w:val="auto"/>
              </w:rPr>
            </w:pPr>
          </w:p>
        </w:tc>
        <w:tc>
          <w:tcPr>
            <w:tcW w:w="77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4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DIRECTORS, SENIOR MANAGEMENT AND EMPLOYEES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50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Directors</w:t>
              </w:r>
            </w:hyperlink>
          </w:p>
        </w:tc>
        <w:tc>
          <w:tcPr>
            <w:tcW w:w="55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80" w:type="dxa"/>
            <w:vAlign w:val="bottom"/>
            <w:gridSpan w:val="16"/>
          </w:tcPr>
          <w:p>
            <w:pPr>
              <w:spacing w:after="0" w:line="20" w:lineRule="exact"/>
              <w:rPr>
                <w:sz w:val="1"/>
                <w:szCs w:val="1"/>
                <w:color w:val="auto"/>
              </w:rPr>
            </w:pPr>
          </w:p>
        </w:tc>
        <w:tc>
          <w:tcPr>
            <w:tcW w:w="8600" w:type="dxa"/>
            <w:vAlign w:val="bottom"/>
            <w:gridSpan w:val="2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2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99">
              <w:r>
                <w:rPr>
                  <w:rFonts w:ascii="Arial" w:cs="Arial" w:eastAsia="Arial" w:hAnsi="Arial"/>
                  <w:sz w:val="18"/>
                  <w:szCs w:val="18"/>
                  <w:color w:val="0000EE"/>
                  <w:w w:val="86"/>
                </w:rPr>
                <w:t>Senior Management</w:t>
              </w:r>
            </w:hyperlink>
          </w:p>
        </w:tc>
        <w:tc>
          <w:tcPr>
            <w:tcW w:w="860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260" w:type="dxa"/>
            <w:vAlign w:val="bottom"/>
            <w:gridSpan w:val="34"/>
            <w:vMerge w:val="restart"/>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Compensation of Directors and Senior Management</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260" w:type="dxa"/>
            <w:vAlign w:val="bottom"/>
            <w:gridSpan w:val="34"/>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Stock Incentive Plan</w:t>
              </w:r>
            </w:hyperlink>
          </w:p>
        </w:tc>
        <w:tc>
          <w:tcPr>
            <w:tcW w:w="2200" w:type="dxa"/>
            <w:vAlign w:val="bottom"/>
            <w:tcBorders>
              <w:top w:val="single" w:sz="8" w:color="0000EE"/>
            </w:tcBorders>
            <w:gridSpan w:val="15"/>
          </w:tcPr>
          <w:p>
            <w:pPr>
              <w:spacing w:after="0"/>
              <w:rPr>
                <w:sz w:val="17"/>
                <w:szCs w:val="17"/>
                <w:color w:val="auto"/>
              </w:rPr>
            </w:pPr>
          </w:p>
        </w:tc>
        <w:tc>
          <w:tcPr>
            <w:tcW w:w="66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EVA Stock Incentive Plan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Insurance Policies</w:t>
              </w:r>
            </w:hyperlink>
          </w:p>
        </w:tc>
        <w:tc>
          <w:tcPr>
            <w:tcW w:w="842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9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Ownership by Management</w:t>
              </w:r>
            </w:hyperlink>
          </w:p>
        </w:tc>
        <w:tc>
          <w:tcPr>
            <w:tcW w:w="83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1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Board Practices</w:t>
              </w:r>
            </w:hyperlink>
          </w:p>
        </w:tc>
        <w:tc>
          <w:tcPr>
            <w:tcW w:w="914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Employees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526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MAJOR SHAREHOLDERS AND RELATED PARTY TRANSACTIONS</w:t>
              </w:r>
            </w:hyperlink>
          </w:p>
        </w:tc>
        <w:tc>
          <w:tcPr>
            <w:tcW w:w="500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340" w:type="dxa"/>
            <w:vAlign w:val="bottom"/>
            <w:tcBorders>
              <w:bottom w:val="single" w:sz="8" w:color="0000EE"/>
            </w:tcBorders>
            <w:gridSpan w:val="12"/>
          </w:tcPr>
          <w:p>
            <w:pPr>
              <w:spacing w:after="0" w:line="196" w:lineRule="exact"/>
              <w:rPr>
                <w:rFonts w:ascii="Arial" w:cs="Arial" w:eastAsia="Arial" w:hAnsi="Arial"/>
                <w:sz w:val="18"/>
                <w:szCs w:val="18"/>
                <w:color w:val="0000EE"/>
                <w:w w:val="82"/>
              </w:rPr>
            </w:pPr>
            <w:hyperlink w:anchor="page106">
              <w:r>
                <w:rPr>
                  <w:rFonts w:ascii="Arial" w:cs="Arial" w:eastAsia="Arial" w:hAnsi="Arial"/>
                  <w:sz w:val="18"/>
                  <w:szCs w:val="18"/>
                  <w:color w:val="0000EE"/>
                  <w:w w:val="82"/>
                </w:rPr>
                <w:t>Major Shareholders</w:t>
              </w:r>
            </w:hyperlink>
          </w:p>
        </w:tc>
        <w:tc>
          <w:tcPr>
            <w:tcW w:w="892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Related-Party Transactions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Voting Trust</w:t>
              </w:r>
            </w:hyperlink>
          </w:p>
        </w:tc>
        <w:tc>
          <w:tcPr>
            <w:tcW w:w="1020" w:type="dxa"/>
            <w:vAlign w:val="bottom"/>
            <w:tcBorders>
              <w:top w:val="single" w:sz="8" w:color="0000EE"/>
            </w:tcBorders>
            <w:gridSpan w:val="14"/>
          </w:tcPr>
          <w:p>
            <w:pPr>
              <w:spacing w:after="0"/>
              <w:rPr>
                <w:sz w:val="17"/>
                <w:szCs w:val="17"/>
                <w:color w:val="auto"/>
              </w:rPr>
            </w:pPr>
          </w:p>
        </w:tc>
        <w:tc>
          <w:tcPr>
            <w:tcW w:w="836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3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107">
              <w:r>
                <w:rPr>
                  <w:rFonts w:ascii="Arial" w:cs="Arial" w:eastAsia="Arial" w:hAnsi="Arial"/>
                  <w:sz w:val="18"/>
                  <w:szCs w:val="18"/>
                  <w:color w:val="0000EE"/>
                  <w:w w:val="87"/>
                </w:rPr>
                <w:t>Interest of Management in Certain Transactions</w:t>
              </w:r>
            </w:hyperlink>
          </w:p>
        </w:tc>
        <w:tc>
          <w:tcPr>
            <w:tcW w:w="6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760" w:type="dxa"/>
            <w:vAlign w:val="bottom"/>
            <w:tcBorders>
              <w:bottom w:val="single" w:sz="8" w:color="0000EE"/>
            </w:tcBorders>
            <w:gridSpan w:val="32"/>
          </w:tcPr>
          <w:p>
            <w:pPr>
              <w:spacing w:after="0" w:line="196" w:lineRule="exact"/>
              <w:rPr>
                <w:rFonts w:ascii="Arial" w:cs="Arial" w:eastAsia="Arial" w:hAnsi="Arial"/>
                <w:sz w:val="18"/>
                <w:szCs w:val="18"/>
                <w:color w:val="0000EE"/>
                <w:w w:val="87"/>
              </w:rPr>
            </w:pPr>
            <w:hyperlink w:anchor="page108">
              <w:r>
                <w:rPr>
                  <w:rFonts w:ascii="Arial" w:cs="Arial" w:eastAsia="Arial" w:hAnsi="Arial"/>
                  <w:sz w:val="18"/>
                  <w:szCs w:val="18"/>
                  <w:color w:val="0000EE"/>
                  <w:w w:val="87"/>
                </w:rPr>
                <w:t>Business Transactions between Coca-Cola FEMSA and The Coca-Cola Company</w:t>
              </w:r>
            </w:hyperlink>
          </w:p>
        </w:tc>
        <w:tc>
          <w:tcPr>
            <w:tcW w:w="45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10260" w:type="dxa"/>
            <w:vAlign w:val="bottom"/>
            <w:gridSpan w:val="34"/>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FINANCIAL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Financial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Dividend Policy</w:t>
              </w:r>
            </w:hyperlink>
          </w:p>
        </w:tc>
        <w:tc>
          <w:tcPr>
            <w:tcW w:w="1280" w:type="dxa"/>
            <w:vAlign w:val="bottom"/>
            <w:tcBorders>
              <w:top w:val="single" w:sz="8" w:color="0000EE"/>
            </w:tcBorders>
            <w:gridSpan w:val="16"/>
          </w:tcPr>
          <w:p>
            <w:pPr>
              <w:spacing w:after="0"/>
              <w:rPr>
                <w:sz w:val="17"/>
                <w:szCs w:val="17"/>
                <w:color w:val="auto"/>
              </w:rPr>
            </w:pPr>
          </w:p>
        </w:tc>
        <w:tc>
          <w:tcPr>
            <w:tcW w:w="782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Legal Proceedings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10260" w:type="dxa"/>
            <w:vAlign w:val="bottom"/>
            <w:gridSpan w:val="34"/>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THE OFFER AND LISTING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Description of Securities</w:t>
              </w:r>
            </w:hyperlink>
          </w:p>
        </w:tc>
        <w:tc>
          <w:tcPr>
            <w:tcW w:w="320" w:type="dxa"/>
            <w:vAlign w:val="bottom"/>
            <w:tcBorders>
              <w:top w:val="single" w:sz="8" w:color="0000EE"/>
            </w:tcBorders>
            <w:gridSpan w:val="4"/>
          </w:tcPr>
          <w:p>
            <w:pPr>
              <w:spacing w:after="0"/>
              <w:rPr>
                <w:sz w:val="17"/>
                <w:szCs w:val="17"/>
                <w:color w:val="auto"/>
              </w:rPr>
            </w:pPr>
          </w:p>
        </w:tc>
        <w:tc>
          <w:tcPr>
            <w:tcW w:w="818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1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Trading Markets</w:t>
              </w:r>
            </w:hyperlink>
          </w:p>
        </w:tc>
        <w:tc>
          <w:tcPr>
            <w:tcW w:w="9080" w:type="dxa"/>
            <w:vAlign w:val="bottom"/>
            <w:gridSpan w:val="2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8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Trading on the Mexican Stock Exchange</w:t>
              </w:r>
            </w:hyperlink>
          </w:p>
        </w:tc>
        <w:tc>
          <w:tcPr>
            <w:tcW w:w="738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Price History</w:t>
              </w:r>
            </w:hyperlink>
          </w:p>
        </w:tc>
        <w:tc>
          <w:tcPr>
            <w:tcW w:w="932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236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117">
              <w:r>
                <w:rPr>
                  <w:rFonts w:ascii="Arial" w:cs="Arial" w:eastAsia="Arial" w:hAnsi="Arial"/>
                  <w:sz w:val="18"/>
                  <w:szCs w:val="18"/>
                  <w:color w:val="0000EE"/>
                  <w:w w:val="97"/>
                </w:rPr>
                <w:t>ADDITIONAL INFORMATION</w:t>
              </w:r>
            </w:hyperlink>
          </w:p>
        </w:tc>
        <w:tc>
          <w:tcPr>
            <w:tcW w:w="790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Bylaws</w:t>
              </w:r>
            </w:hyperlink>
          </w:p>
        </w:tc>
        <w:tc>
          <w:tcPr>
            <w:tcW w:w="972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112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Taxation</w:t>
              </w:r>
            </w:hyperlink>
          </w:p>
        </w:tc>
        <w:tc>
          <w:tcPr>
            <w:tcW w:w="9640" w:type="dxa"/>
            <w:vAlign w:val="bottom"/>
            <w:gridSpan w:val="3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119</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3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Material Contracts</w:t>
              </w:r>
            </w:hyperlink>
          </w:p>
        </w:tc>
        <w:tc>
          <w:tcPr>
            <w:tcW w:w="894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121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Documents on Display</w:t>
              </w:r>
            </w:hyperlink>
          </w:p>
        </w:tc>
        <w:tc>
          <w:tcPr>
            <w:tcW w:w="862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125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11</w:t>
            </w:r>
          </w:p>
        </w:tc>
        <w:tc>
          <w:tcPr>
            <w:tcW w:w="6000" w:type="dxa"/>
            <w:vAlign w:val="bottom"/>
            <w:tcBorders>
              <w:bottom w:val="single" w:sz="8" w:color="0000EE"/>
            </w:tcBorders>
            <w:gridSpan w:val="33"/>
          </w:tcPr>
          <w:p>
            <w:pPr>
              <w:spacing w:after="0"/>
              <w:rPr>
                <w:rFonts w:ascii="Arial" w:cs="Arial" w:eastAsia="Arial" w:hAnsi="Arial"/>
                <w:sz w:val="18"/>
                <w:szCs w:val="18"/>
                <w:color w:val="0000EE"/>
                <w:w w:val="95"/>
              </w:rPr>
            </w:pPr>
            <w:hyperlink w:anchor="page131">
              <w:r>
                <w:rPr>
                  <w:rFonts w:ascii="Arial" w:cs="Arial" w:eastAsia="Arial" w:hAnsi="Arial"/>
                  <w:sz w:val="18"/>
                  <w:szCs w:val="18"/>
                  <w:color w:val="0000EE"/>
                  <w:w w:val="95"/>
                </w:rPr>
                <w:t>QUANTITATIVE AND QUALITATIVE DISCLOSURES ABOUT MARKET RISK</w:t>
              </w:r>
            </w:hyperlink>
          </w:p>
        </w:tc>
        <w:tc>
          <w:tcPr>
            <w:tcW w:w="42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260" w:type="dxa"/>
            <w:vAlign w:val="bottom"/>
            <w:gridSpan w:val="34"/>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Interest Rate Risk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126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720" w:type="dxa"/>
            <w:vAlign w:val="bottom"/>
            <w:tcBorders>
              <w:bottom w:val="single" w:sz="8" w:color="0000EE"/>
            </w:tcBorders>
            <w:gridSpan w:val="25"/>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Foreign Currency Exchange Rate Risk</w:t>
              </w:r>
            </w:hyperlink>
          </w:p>
        </w:tc>
        <w:tc>
          <w:tcPr>
            <w:tcW w:w="75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128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6">
              <w:r>
                <w:rPr>
                  <w:rFonts w:ascii="Arial" w:cs="Arial" w:eastAsia="Arial" w:hAnsi="Arial"/>
                  <w:sz w:val="18"/>
                  <w:szCs w:val="18"/>
                  <w:color w:val="0000EE"/>
                  <w:w w:val="91"/>
                </w:rPr>
                <w:t>Equity Risk</w:t>
              </w:r>
            </w:hyperlink>
          </w:p>
        </w:tc>
        <w:tc>
          <w:tcPr>
            <w:tcW w:w="9420" w:type="dxa"/>
            <w:vAlign w:val="bottom"/>
            <w:gridSpan w:val="3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131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Commodity Price Risk</w:t>
              </w:r>
            </w:hyperlink>
          </w:p>
        </w:tc>
        <w:tc>
          <w:tcPr>
            <w:tcW w:w="864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6"/>
              </w:rPr>
              <w:t>131</w:t>
            </w:r>
          </w:p>
        </w:tc>
        <w:tc>
          <w:tcPr>
            <w:tcW w:w="0" w:type="dxa"/>
            <w:vAlign w:val="bottom"/>
          </w:tcPr>
          <w:p>
            <w:pPr>
              <w:spacing w:after="0"/>
              <w:rPr>
                <w:sz w:val="1"/>
                <w:szCs w:val="1"/>
                <w:color w:val="auto"/>
              </w:rPr>
            </w:pPr>
          </w:p>
        </w:tc>
      </w:tr>
      <w:tr>
        <w:trPr>
          <w:trHeight w:val="304"/>
        </w:trPr>
        <w:tc>
          <w:tcPr>
            <w:tcW w:w="11140" w:type="dxa"/>
            <w:vAlign w:val="bottom"/>
            <w:gridSpan w:val="35"/>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ITEMS 12-NOT APPLICABLE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132</w:t>
            </w:r>
          </w:p>
        </w:tc>
        <w:tc>
          <w:tcPr>
            <w:tcW w:w="0" w:type="dxa"/>
            <w:vAlign w:val="bottom"/>
          </w:tcPr>
          <w:p>
            <w:pPr>
              <w:spacing w:after="0"/>
              <w:rPr>
                <w:sz w:val="1"/>
                <w:szCs w:val="1"/>
                <w:color w:val="auto"/>
              </w:rPr>
            </w:pPr>
          </w:p>
        </w:tc>
      </w:tr>
      <w:tr>
        <w:trPr>
          <w:trHeight w:val="20"/>
        </w:trPr>
        <w:tc>
          <w:tcPr>
            <w:tcW w:w="2220" w:type="dxa"/>
            <w:vAlign w:val="bottom"/>
            <w:gridSpan w:val="1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4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137">
              <w:r>
                <w:rPr>
                  <w:rFonts w:ascii="Arial" w:cs="Arial" w:eastAsia="Arial" w:hAnsi="Arial"/>
                  <w:sz w:val="18"/>
                  <w:szCs w:val="18"/>
                  <w:color w:val="0000EE"/>
                  <w:w w:val="92"/>
                </w:rPr>
                <w:t>ITEM 15 CONTROLS AND PROCEDURES</w:t>
              </w:r>
            </w:hyperlink>
          </w:p>
        </w:tc>
        <w:tc>
          <w:tcPr>
            <w:tcW w:w="790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132</w:t>
            </w:r>
          </w:p>
        </w:tc>
        <w:tc>
          <w:tcPr>
            <w:tcW w:w="0" w:type="dxa"/>
            <w:vAlign w:val="bottom"/>
          </w:tcPr>
          <w:p>
            <w:pPr>
              <w:spacing w:after="0"/>
              <w:rPr>
                <w:sz w:val="1"/>
                <w:szCs w:val="1"/>
                <w:color w:val="auto"/>
              </w:rPr>
            </w:pPr>
          </w:p>
        </w:tc>
      </w:tr>
      <w:tr>
        <w:trPr>
          <w:trHeight w:val="304"/>
        </w:trPr>
        <w:tc>
          <w:tcPr>
            <w:tcW w:w="11140" w:type="dxa"/>
            <w:vAlign w:val="bottom"/>
            <w:gridSpan w:val="35"/>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ITEM 16A AUDIT COMMITTEE FINANCIAL EXPERT</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134</w:t>
            </w:r>
          </w:p>
        </w:tc>
        <w:tc>
          <w:tcPr>
            <w:tcW w:w="0" w:type="dxa"/>
            <w:vAlign w:val="bottom"/>
          </w:tcPr>
          <w:p>
            <w:pPr>
              <w:spacing w:after="0"/>
              <w:rPr>
                <w:sz w:val="1"/>
                <w:szCs w:val="1"/>
                <w:color w:val="auto"/>
              </w:rPr>
            </w:pPr>
          </w:p>
        </w:tc>
      </w:tr>
      <w:tr>
        <w:trPr>
          <w:trHeight w:val="304"/>
        </w:trPr>
        <w:tc>
          <w:tcPr>
            <w:tcW w:w="4140" w:type="dxa"/>
            <w:vAlign w:val="bottom"/>
            <w:tcBorders>
              <w:top w:val="single" w:sz="8" w:color="0000EE"/>
            </w:tcBorders>
            <w:gridSpan w:val="28"/>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ITEM 16B CODE OF ETHICS</w:t>
              </w:r>
            </w:hyperlink>
          </w:p>
        </w:tc>
        <w:tc>
          <w:tcPr>
            <w:tcW w:w="70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134</w:t>
            </w:r>
          </w:p>
        </w:tc>
        <w:tc>
          <w:tcPr>
            <w:tcW w:w="0" w:type="dxa"/>
            <w:vAlign w:val="bottom"/>
          </w:tcPr>
          <w:p>
            <w:pPr>
              <w:spacing w:after="0"/>
              <w:rPr>
                <w:sz w:val="1"/>
                <w:szCs w:val="1"/>
                <w:color w:val="auto"/>
              </w:rPr>
            </w:pPr>
          </w:p>
        </w:tc>
      </w:tr>
      <w:tr>
        <w:trPr>
          <w:trHeight w:val="20"/>
        </w:trPr>
        <w:tc>
          <w:tcPr>
            <w:tcW w:w="2220" w:type="dxa"/>
            <w:vAlign w:val="bottom"/>
            <w:gridSpan w:val="1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gridSpan w:val="17"/>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35"/>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ITEM 16C PRINCIPAL ACCOUNTANT FEES AND SERVICES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134</w:t>
            </w:r>
          </w:p>
        </w:tc>
        <w:tc>
          <w:tcPr>
            <w:tcW w:w="0" w:type="dxa"/>
            <w:vAlign w:val="bottom"/>
          </w:tcPr>
          <w:p>
            <w:pPr>
              <w:spacing w:after="0"/>
              <w:rPr>
                <w:sz w:val="1"/>
                <w:szCs w:val="1"/>
                <w:color w:val="auto"/>
              </w:rPr>
            </w:pPr>
          </w:p>
        </w:tc>
      </w:tr>
      <w:tr>
        <w:trPr>
          <w:trHeight w:val="304"/>
        </w:trPr>
        <w:tc>
          <w:tcPr>
            <w:tcW w:w="4680" w:type="dxa"/>
            <w:vAlign w:val="bottom"/>
            <w:tcBorders>
              <w:top w:val="single" w:sz="8" w:color="0000EE"/>
            </w:tcBorders>
            <w:gridSpan w:val="31"/>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ITEM 16D NOT APPLICABLE</w:t>
              </w:r>
            </w:hyperlink>
          </w:p>
        </w:tc>
        <w:tc>
          <w:tcPr>
            <w:tcW w:w="646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135</w:t>
            </w:r>
          </w:p>
        </w:tc>
        <w:tc>
          <w:tcPr>
            <w:tcW w:w="0" w:type="dxa"/>
            <w:vAlign w:val="bottom"/>
          </w:tcPr>
          <w:p>
            <w:pPr>
              <w:spacing w:after="0"/>
              <w:rPr>
                <w:sz w:val="1"/>
                <w:szCs w:val="1"/>
                <w:color w:val="auto"/>
              </w:rPr>
            </w:pPr>
          </w:p>
        </w:tc>
      </w:tr>
      <w:tr>
        <w:trPr>
          <w:trHeight w:val="383"/>
        </w:trPr>
        <w:tc>
          <w:tcPr>
            <w:tcW w:w="8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4"/>
          </w:tcPr>
          <w:p>
            <w:pPr>
              <w:ind w:left="98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5"/>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ITEM 16E PURCHASES OF EQUITY SECURITIES BY THE ISSUER AND AFFILIATED PURCHASERS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135</w:t>
            </w:r>
          </w:p>
        </w:tc>
      </w:tr>
      <w:tr>
        <w:trPr>
          <w:trHeight w:val="304"/>
        </w:trPr>
        <w:tc>
          <w:tcPr>
            <w:tcW w:w="7780" w:type="dxa"/>
            <w:vAlign w:val="bottom"/>
            <w:tcBorders>
              <w:top w:val="single" w:sz="8" w:color="0000EE"/>
            </w:tcBorders>
            <w:gridSpan w:val="4"/>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ITEM 17 NOT APPLICABLE</w:t>
              </w:r>
            </w:hyperlink>
          </w:p>
        </w:tc>
        <w:tc>
          <w:tcPr>
            <w:tcW w:w="3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136</w:t>
            </w:r>
          </w:p>
        </w:tc>
      </w:tr>
      <w:tr>
        <w:trPr>
          <w:trHeight w:val="20"/>
        </w:trPr>
        <w:tc>
          <w:tcPr>
            <w:tcW w:w="1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280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ITEM 18 FINANCIAL STATEMENTS</w:t>
              </w:r>
            </w:hyperlink>
          </w:p>
        </w:tc>
        <w:tc>
          <w:tcPr>
            <w:tcW w:w="83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136</w:t>
            </w:r>
          </w:p>
        </w:tc>
      </w:tr>
      <w:tr>
        <w:trPr>
          <w:trHeight w:val="304"/>
        </w:trPr>
        <w:tc>
          <w:tcPr>
            <w:tcW w:w="11140" w:type="dxa"/>
            <w:vAlign w:val="bottom"/>
            <w:gridSpan w:val="5"/>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ITEM 19 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137</w:t>
            </w:r>
          </w:p>
        </w:tc>
      </w:tr>
      <w:tr>
        <w:trPr>
          <w:trHeight w:val="383"/>
        </w:trPr>
        <w:tc>
          <w:tcPr>
            <w:tcW w:w="15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340" w:type="dxa"/>
            <w:vAlign w:val="bottom"/>
            <w:gridSpan w:val="2"/>
          </w:tcPr>
          <w:p>
            <w:pPr>
              <w:ind w:left="284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terms “FEMSA,” “our company,” “we,” “us” and “our,” are used in this annual report to refer to Fomento Económico Mexicano, S.A.B. de C.V. and, except where the context otherwise requires, its subsidiaries on a consolidated basis. We refer to our subsidiary Coca-Cola FEMSA, S.A.B. de C.V., as “Coca-Cola FEMSA,” our subsidiary FEMSA Cerveza, S.A. de C.V., as “FEMSA Cerveza,” and our subsidiary FEMSA Comercio, S.A. de C.V., as “FEMSA Comercio.”</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The term “S.A.B.” stands for </w:t>
      </w:r>
      <w:r>
        <w:rPr>
          <w:rFonts w:ascii="Arial" w:cs="Arial" w:eastAsia="Arial" w:hAnsi="Arial"/>
          <w:sz w:val="18"/>
          <w:szCs w:val="18"/>
          <w:i w:val="1"/>
          <w:iCs w:val="1"/>
          <w:color w:val="auto"/>
        </w:rPr>
        <w:t>Sociedad Anónima Bursátil</w:t>
      </w:r>
      <w:r>
        <w:rPr>
          <w:rFonts w:ascii="Arial" w:cs="Arial" w:eastAsia="Arial" w:hAnsi="Arial"/>
          <w:sz w:val="18"/>
          <w:szCs w:val="18"/>
          <w:color w:val="auto"/>
        </w:rPr>
        <w:t>, which is the term in Mexico used to denominate a publicly traded company under the Mexican Securities Law issued in 2006. In December 2006, both we and Coca-Cola FEMSA changed our name to include the denomination “S.A.B.” in accordance with the new Mexican Securities Law.</w:t>
      </w:r>
    </w:p>
    <w:p>
      <w:pPr>
        <w:spacing w:after="0" w:line="140"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References to “U.S. dollars,” “US$,” “dollars” or “$” are to the lawful currency of the United States of America. References to “Mexican pesos,” “pesos” or “Ps.” are to the lawful currency of the United Mexican States, or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translations of certain Mexican peso amounts into U.S. dollars at specified rates solely for the convenience of the reader. These translations should not be construed as representations that the Mexican peso amounts actually represent such U.S. dollar amounts or could be converted into U.S. dollars at the rate indicated. Unless otherwise indicated, such U.S. dollar amounts have been translated from Mexican pesos at an exchange rate of Ps. 10.9169 to US$ 1.00, the noon buying rate for Mexican pesos on December 31, 2007 as published by the Federal Reserve Bank of New York. On May 30, 2008, this exchange rate was Ps. 10.3290 to US$ 1.00. See “Item 3. Key Information—Exchange Rate Information” for information regarding exchange rates since January 1, 2003. In our previous public disclosures, we presented U.S. dollar amounts based on the exchange rate quoted by dealers to FEMSA for the settlement of obligations in foreign currencies at the end of the applicable period.</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To the extent estimates are contained in this annual report, we believe that such estimates, which are based on internal data, are reliable. Amounts in this annual report are rounded, and the totals may therefore not precisely equal the sum of the numbers presented.</w:t>
      </w:r>
    </w:p>
    <w:p>
      <w:pPr>
        <w:spacing w:after="0" w:line="132"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 xml:space="preserve">Per capita growth rates and population data have been computed based upon statistics prepared by the </w:t>
      </w:r>
      <w:r>
        <w:rPr>
          <w:rFonts w:ascii="Arial" w:cs="Arial" w:eastAsia="Arial" w:hAnsi="Arial"/>
          <w:sz w:val="16"/>
          <w:szCs w:val="16"/>
          <w:i w:val="1"/>
          <w:iCs w:val="1"/>
          <w:color w:val="auto"/>
        </w:rPr>
        <w:t>Instituto Nacional de Estadística, Geografía 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Informática </w:t>
      </w:r>
      <w:r>
        <w:rPr>
          <w:rFonts w:ascii="Arial" w:cs="Arial" w:eastAsia="Arial" w:hAnsi="Arial"/>
          <w:sz w:val="16"/>
          <w:szCs w:val="16"/>
          <w:color w:val="auto"/>
        </w:rPr>
        <w:t>of Mexico (the National Institute of Statistics, Geography and Information, which we refer to as the Mexican Institute of Statistics), the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Reserve Bank of New York, </w:t>
      </w:r>
      <w:r>
        <w:rPr>
          <w:rFonts w:ascii="Arial" w:cs="Arial" w:eastAsia="Arial" w:hAnsi="Arial"/>
          <w:sz w:val="16"/>
          <w:szCs w:val="16"/>
          <w:i w:val="1"/>
          <w:iCs w:val="1"/>
          <w:color w:val="auto"/>
        </w:rPr>
        <w:t>Banco de México</w:t>
      </w:r>
      <w:r>
        <w:rPr>
          <w:rFonts w:ascii="Arial" w:cs="Arial" w:eastAsia="Arial" w:hAnsi="Arial"/>
          <w:sz w:val="16"/>
          <w:szCs w:val="16"/>
          <w:color w:val="auto"/>
        </w:rPr>
        <w:t xml:space="preserve"> (the Bank of Mexico), local entities in each country and upon our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words, such as “believe,” “expect” and “anticipate” and similar expressions that identify forward-looking statements. Use of these words reflects our views about future events and financial performance. Actual results could differ materially from those projected in these forward-looking statements as a result of various factors that may be beyond our control, including but not limited to effects on our company from changes in our relationship with or among our affiliated companies, movements in the prices of raw materials, competition, significant developments in Mexico or international economic or political conditions or changes in our regulatory environment. Accordingly, we caution readers not to place undue reliance on these forward-looking statements. In any event, these statements speak only as of their respective dates, and we undertake no obligation to update or revise any of them,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1-2.  NOT APPLICABLE</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This annual report includes, under Item 18, our audited consolidated balance sheets as of December 31, 2007 and 2006 and the related consolidated statements of income, changes in stockholders’ equity and changes in financial position for the years ended</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December 31, 2007, 2006 and 2005. Our audited consolidated financial statements are prepared in accordance with Mexican Financial Reporting Standards (</w:t>
      </w:r>
      <w:r>
        <w:rPr>
          <w:rFonts w:ascii="Arial" w:cs="Arial" w:eastAsia="Arial" w:hAnsi="Arial"/>
          <w:sz w:val="18"/>
          <w:szCs w:val="18"/>
          <w:i w:val="1"/>
          <w:iCs w:val="1"/>
          <w:color w:val="auto"/>
        </w:rPr>
        <w:t>Normas de Información Financiera</w:t>
      </w:r>
      <w:r>
        <w:rPr>
          <w:rFonts w:ascii="Arial" w:cs="Arial" w:eastAsia="Arial" w:hAnsi="Arial"/>
          <w:sz w:val="18"/>
          <w:szCs w:val="18"/>
          <w:color w:val="auto"/>
        </w:rPr>
        <w:t>), which differ in certain significant respects from accounting principles generally accepted in the United States, or U.S. GAAP.</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Notes 26 and 27 to our audited consolidated financial statements provide a description of the principal differences between Mexican Financial Reporting Standards and U.S. GAAP as they relate to our company, together with a reconciliation to U.S. GAAP of net income and stockholders’ equity as well as U.S. GAAP consolidated balance sheets, statements of income, changes in stockholders’ equity and cash flows for the same periods presented for Mexican Financial Reporting Standards purposes. In the reconciliation to U.S. GAAP, we present our subsidiary Coca-Cola FEMSA, which is a consolidated subsidiary for purposes of Mexican Financial Reporting Standards, under the equity method for U.S. GAAP purposes, due to the substantive participating rights of The Coca-Cola Company as a minority shareholder in Coca-Cola FEMSA.</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effects of inflation accounting under Mexican Financial Reporting Standards have not been reversed in the reconciliation to U.S. GAAP. See note 26 to our audited consolidated financial statements.</w:t>
      </w:r>
    </w:p>
    <w:p>
      <w:pPr>
        <w:spacing w:after="0" w:line="132"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following table presents selected financial information of our company. This information should be read in conjunction with, and is qualified in its entirety by, our audited consolidated financial statements and the notes to those statements. See “Item 18. Financial Statements.” The selected financial information is presented on a consolidated basis and is not necessarily indicative of our financial position or results of operations at or for any future date or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gridSpan w:val="5"/>
          </w:tcPr>
          <w:p>
            <w:pPr>
              <w:jc w:val="center"/>
              <w:ind w:left="32"/>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4"/>
              <w:spacing w:after="0" w:line="169" w:lineRule="exact"/>
              <w:rPr>
                <w:sz w:val="20"/>
                <w:szCs w:val="20"/>
                <w:color w:val="auto"/>
              </w:rPr>
            </w:pPr>
            <w:r>
              <w:rPr>
                <w:rFonts w:ascii="Arial" w:cs="Arial" w:eastAsia="Arial" w:hAnsi="Arial"/>
                <w:sz w:val="12"/>
                <w:szCs w:val="12"/>
                <w:b w:val="1"/>
                <w:bCs w:val="1"/>
                <w:color w:val="auto"/>
                <w:w w:val="94"/>
              </w:rPr>
              <w:t>2007</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4"/>
              </w:rPr>
              <w:t>2003</w:t>
            </w:r>
            <w:r>
              <w:rPr>
                <w:rFonts w:ascii="Arial" w:cs="Arial" w:eastAsia="Arial" w:hAnsi="Arial"/>
                <w:sz w:val="19"/>
                <w:szCs w:val="19"/>
                <w:b w:val="1"/>
                <w:bCs w:val="1"/>
                <w:color w:val="auto"/>
                <w:w w:val="94"/>
                <w:vertAlign w:val="superscript"/>
              </w:rPr>
              <w:t>(2)</w:t>
            </w:r>
          </w:p>
        </w:tc>
        <w:tc>
          <w:tcPr>
            <w:tcW w:w="14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3"/>
          </w:tcPr>
          <w:p>
            <w:pPr>
              <w:jc w:val="right"/>
              <w:ind w:right="42"/>
              <w:spacing w:after="0" w:line="129" w:lineRule="exact"/>
              <w:rPr>
                <w:sz w:val="20"/>
                <w:szCs w:val="20"/>
                <w:color w:val="auto"/>
              </w:rPr>
            </w:pPr>
            <w:r>
              <w:rPr>
                <w:rFonts w:ascii="Arial" w:cs="Arial" w:eastAsia="Arial" w:hAnsi="Arial"/>
                <w:sz w:val="14"/>
                <w:szCs w:val="14"/>
                <w:b w:val="1"/>
                <w:bCs w:val="1"/>
                <w:color w:val="auto"/>
                <w:w w:val="85"/>
              </w:rPr>
              <w:t>(In millions of U.S.</w:t>
            </w:r>
          </w:p>
        </w:tc>
        <w:tc>
          <w:tcPr>
            <w:tcW w:w="4740" w:type="dxa"/>
            <w:vAlign w:val="bottom"/>
            <w:gridSpan w:val="9"/>
          </w:tcPr>
          <w:p>
            <w:pPr>
              <w:jc w:val="right"/>
              <w:ind w:right="740"/>
              <w:spacing w:after="0" w:line="129" w:lineRule="exact"/>
              <w:rPr>
                <w:sz w:val="20"/>
                <w:szCs w:val="20"/>
                <w:color w:val="auto"/>
              </w:rPr>
            </w:pPr>
            <w:r>
              <w:rPr>
                <w:rFonts w:ascii="Arial" w:cs="Arial" w:eastAsia="Arial" w:hAnsi="Arial"/>
                <w:sz w:val="14"/>
                <w:szCs w:val="14"/>
                <w:b w:val="1"/>
                <w:bCs w:val="1"/>
                <w:color w:val="auto"/>
                <w:w w:val="84"/>
              </w:rPr>
              <w:t>dollars and millions of Mexican pesos at December 31, 2007, except for</w:t>
            </w:r>
          </w:p>
        </w:tc>
      </w:tr>
      <w:tr>
        <w:trPr>
          <w:trHeight w:val="149"/>
        </w:trPr>
        <w:tc>
          <w:tcPr>
            <w:tcW w:w="4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8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per share data, the weighted average number of shares</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outstanding and percentages)</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Mexican FRS: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52"/>
              <w:spacing w:after="0"/>
              <w:rPr>
                <w:sz w:val="20"/>
                <w:szCs w:val="20"/>
                <w:color w:val="auto"/>
              </w:rPr>
            </w:pPr>
            <w:r>
              <w:rPr>
                <w:rFonts w:ascii="Arial" w:cs="Arial" w:eastAsia="Arial" w:hAnsi="Arial"/>
                <w:sz w:val="18"/>
                <w:szCs w:val="18"/>
                <w:color w:val="auto"/>
                <w:w w:val="85"/>
              </w:rPr>
              <w:t>Ps. 147,556</w:t>
            </w:r>
          </w:p>
        </w:tc>
        <w:tc>
          <w:tcPr>
            <w:tcW w:w="11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5"/>
              </w:rPr>
              <w:t>Ps. 136,120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Ps. 119,462</w:t>
            </w: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Ps. 109,500</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Ps. 92,132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1,793</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19,569</w:t>
            </w:r>
          </w:p>
        </w:tc>
        <w:tc>
          <w:tcPr>
            <w:tcW w:w="3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18,467</w:t>
            </w:r>
          </w:p>
        </w:tc>
        <w:tc>
          <w:tcPr>
            <w:tcW w:w="820" w:type="dxa"/>
            <w:vAlign w:val="bottom"/>
          </w:tcPr>
          <w:p>
            <w:pPr>
              <w:jc w:val="right"/>
              <w:spacing w:after="0"/>
              <w:rPr>
                <w:sz w:val="20"/>
                <w:szCs w:val="20"/>
                <w:color w:val="auto"/>
              </w:rPr>
            </w:pPr>
            <w:r>
              <w:rPr>
                <w:rFonts w:ascii="Arial" w:cs="Arial" w:eastAsia="Arial" w:hAnsi="Arial"/>
                <w:sz w:val="18"/>
                <w:szCs w:val="18"/>
                <w:color w:val="auto"/>
              </w:rPr>
              <w:t>17,439</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15,858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14,380</w:t>
            </w:r>
          </w:p>
        </w:tc>
      </w:tr>
      <w:tr>
        <w:trPr>
          <w:trHeight w:val="216"/>
        </w:trPr>
        <w:tc>
          <w:tcPr>
            <w:tcW w:w="46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Income taxes</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11,936</w:t>
            </w:r>
          </w:p>
        </w:tc>
        <w:tc>
          <w:tcPr>
            <w:tcW w:w="3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9,860</w:t>
            </w:r>
          </w:p>
        </w:tc>
        <w:tc>
          <w:tcPr>
            <w:tcW w:w="820" w:type="dxa"/>
            <w:vAlign w:val="bottom"/>
          </w:tcPr>
          <w:p>
            <w:pPr>
              <w:jc w:val="right"/>
              <w:spacing w:after="0"/>
              <w:rPr>
                <w:sz w:val="20"/>
                <w:szCs w:val="20"/>
                <w:color w:val="auto"/>
              </w:rPr>
            </w:pPr>
            <w:r>
              <w:rPr>
                <w:rFonts w:ascii="Arial" w:cs="Arial" w:eastAsia="Arial" w:hAnsi="Arial"/>
                <w:sz w:val="18"/>
                <w:szCs w:val="18"/>
                <w:color w:val="auto"/>
              </w:rPr>
              <w:t>9,073</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10,729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5,662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minority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3,425</w:t>
            </w:r>
          </w:p>
        </w:tc>
        <w:tc>
          <w:tcPr>
            <w:tcW w:w="3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2,733</w:t>
            </w:r>
          </w:p>
        </w:tc>
        <w:tc>
          <w:tcPr>
            <w:tcW w:w="820" w:type="dxa"/>
            <w:vAlign w:val="bottom"/>
          </w:tcPr>
          <w:p>
            <w:pPr>
              <w:jc w:val="right"/>
              <w:spacing w:after="0"/>
              <w:rPr>
                <w:sz w:val="20"/>
                <w:szCs w:val="20"/>
                <w:color w:val="auto"/>
              </w:rPr>
            </w:pPr>
            <w:r>
              <w:rPr>
                <w:rFonts w:ascii="Arial" w:cs="Arial" w:eastAsia="Arial" w:hAnsi="Arial"/>
                <w:sz w:val="18"/>
                <w:szCs w:val="18"/>
                <w:color w:val="auto"/>
              </w:rPr>
              <w:t>3,122</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3,812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1,757</w:t>
            </w:r>
          </w:p>
        </w:tc>
      </w:tr>
      <w:tr>
        <w:trPr>
          <w:trHeight w:val="216"/>
        </w:trPr>
        <w:tc>
          <w:tcPr>
            <w:tcW w:w="46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Net majority income:</w:t>
            </w:r>
            <w:r>
              <w:rPr>
                <w:rFonts w:ascii="Arial" w:cs="Arial" w:eastAsia="Arial" w:hAnsi="Arial"/>
                <w:sz w:val="22"/>
                <w:szCs w:val="22"/>
                <w:color w:val="auto"/>
                <w:vertAlign w:val="superscript"/>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Per Series B Share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3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820" w:type="dxa"/>
            <w:vAlign w:val="bottom"/>
          </w:tcPr>
          <w:p>
            <w:pPr>
              <w:jc w:val="right"/>
              <w:spacing w:after="0"/>
              <w:rPr>
                <w:sz w:val="20"/>
                <w:szCs w:val="20"/>
                <w:color w:val="auto"/>
              </w:rPr>
            </w:pPr>
            <w:r>
              <w:rPr>
                <w:rFonts w:ascii="Arial" w:cs="Arial" w:eastAsia="Arial" w:hAnsi="Arial"/>
                <w:sz w:val="18"/>
                <w:szCs w:val="18"/>
                <w:color w:val="auto"/>
              </w:rPr>
              <w:t>0.31</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0.39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 Series D Share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3"/>
              </w:rPr>
              <w:t>Weighted average number of shares outstanding (in millions):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B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9,246.4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9,246.4</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9,246.4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8,217.6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8,217.6</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Series D 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8,644.7</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8,644.7</w:t>
            </w:r>
          </w:p>
        </w:tc>
        <w:tc>
          <w:tcPr>
            <w:tcW w:w="3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8,644.7</w:t>
            </w:r>
          </w:p>
        </w:tc>
        <w:tc>
          <w:tcPr>
            <w:tcW w:w="820" w:type="dxa"/>
            <w:vAlign w:val="bottom"/>
          </w:tcPr>
          <w:p>
            <w:pPr>
              <w:jc w:val="right"/>
              <w:spacing w:after="0"/>
              <w:rPr>
                <w:sz w:val="20"/>
                <w:szCs w:val="20"/>
                <w:color w:val="auto"/>
              </w:rPr>
            </w:pPr>
            <w:r>
              <w:rPr>
                <w:rFonts w:ascii="Arial" w:cs="Arial" w:eastAsia="Arial" w:hAnsi="Arial"/>
                <w:sz w:val="18"/>
                <w:szCs w:val="18"/>
                <w:color w:val="auto"/>
              </w:rPr>
              <w:t>8,260.1</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7,683.0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7,683.0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earnings: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Series B 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46.11%</w:t>
            </w:r>
          </w:p>
        </w:tc>
        <w:tc>
          <w:tcPr>
            <w:tcW w:w="1360" w:type="dxa"/>
            <w:vAlign w:val="bottom"/>
            <w:gridSpan w:val="3"/>
          </w:tcPr>
          <w:p>
            <w:pPr>
              <w:jc w:val="right"/>
              <w:ind w:right="132"/>
              <w:spacing w:after="0"/>
              <w:rPr>
                <w:sz w:val="20"/>
                <w:szCs w:val="20"/>
                <w:color w:val="auto"/>
              </w:rPr>
            </w:pPr>
            <w:r>
              <w:rPr>
                <w:rFonts w:ascii="Arial" w:cs="Arial" w:eastAsia="Arial" w:hAnsi="Arial"/>
                <w:sz w:val="18"/>
                <w:szCs w:val="18"/>
                <w:color w:val="auto"/>
              </w:rPr>
              <w:t>46.11%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46.11%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46.11%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46.11%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46.11%</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13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53.89%</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53.89%</w:t>
            </w: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Ps.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46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252"/>
              <w:spacing w:after="0"/>
              <w:rPr>
                <w:sz w:val="20"/>
                <w:szCs w:val="20"/>
                <w:color w:val="auto"/>
              </w:rPr>
            </w:pPr>
            <w:r>
              <w:rPr>
                <w:rFonts w:ascii="Arial" w:cs="Arial" w:eastAsia="Arial" w:hAnsi="Arial"/>
                <w:sz w:val="18"/>
                <w:szCs w:val="18"/>
                <w:color w:val="auto"/>
                <w:w w:val="89"/>
              </w:rPr>
              <w:t>Ps.  83,362</w:t>
            </w:r>
          </w:p>
        </w:tc>
        <w:tc>
          <w:tcPr>
            <w:tcW w:w="11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Ps.  75,704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63,031</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Ps.  55,557</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Ps. 49,777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7,710</w:t>
            </w:r>
          </w:p>
        </w:tc>
        <w:tc>
          <w:tcPr>
            <w:tcW w:w="3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7,821</w:t>
            </w:r>
          </w:p>
        </w:tc>
        <w:tc>
          <w:tcPr>
            <w:tcW w:w="820" w:type="dxa"/>
            <w:vAlign w:val="bottom"/>
          </w:tcPr>
          <w:p>
            <w:pPr>
              <w:jc w:val="right"/>
              <w:spacing w:after="0"/>
              <w:rPr>
                <w:sz w:val="20"/>
                <w:szCs w:val="20"/>
                <w:color w:val="auto"/>
              </w:rPr>
            </w:pPr>
            <w:r>
              <w:rPr>
                <w:rFonts w:ascii="Arial" w:cs="Arial" w:eastAsia="Arial" w:hAnsi="Arial"/>
                <w:sz w:val="18"/>
                <w:szCs w:val="18"/>
                <w:color w:val="auto"/>
              </w:rPr>
              <w:t>6,911</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6,011</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5,379</w:t>
            </w:r>
          </w:p>
        </w:tc>
      </w:tr>
      <w:tr>
        <w:trPr>
          <w:trHeight w:val="216"/>
        </w:trPr>
        <w:tc>
          <w:tcPr>
            <w:tcW w:w="46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Participation in Coca-Cola FEMSA’s earnings</w:t>
            </w:r>
            <w:r>
              <w:rPr>
                <w:rFonts w:ascii="Arial" w:cs="Arial" w:eastAsia="Arial" w:hAnsi="Arial"/>
                <w:sz w:val="22"/>
                <w:szCs w:val="22"/>
                <w:color w:val="auto"/>
                <w:vertAlign w:val="superscript"/>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8"/>
                <w:szCs w:val="18"/>
                <w:color w:val="auto"/>
              </w:rPr>
              <w:t>(3)</w:t>
            </w:r>
          </w:p>
        </w:tc>
        <w:tc>
          <w:tcPr>
            <w:tcW w:w="1360" w:type="dxa"/>
            <w:vAlign w:val="bottom"/>
            <w:gridSpan w:val="3"/>
          </w:tcPr>
          <w:p>
            <w:pPr>
              <w:jc w:val="right"/>
              <w:ind w:right="212"/>
              <w:spacing w:after="0"/>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169</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7,352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3,838</w:t>
            </w:r>
          </w:p>
        </w:tc>
      </w:tr>
      <w:tr>
        <w:trPr>
          <w:trHeight w:val="363"/>
        </w:trPr>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8"/>
          </w:tcPr>
          <w:p>
            <w:pPr>
              <w:jc w:val="center"/>
              <w:ind w:left="127"/>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940" w:type="dxa"/>
            <w:vAlign w:val="bottom"/>
          </w:tcPr>
          <w:p>
            <w:pPr>
              <w:spacing w:after="0"/>
              <w:rPr>
                <w:sz w:val="14"/>
                <w:szCs w:val="14"/>
                <w:color w:val="auto"/>
              </w:rPr>
            </w:pPr>
          </w:p>
        </w:tc>
      </w:tr>
      <w:tr>
        <w:trPr>
          <w:trHeight w:val="161"/>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136"/>
              <w:spacing w:after="0"/>
              <w:rPr>
                <w:sz w:val="20"/>
                <w:szCs w:val="20"/>
                <w:color w:val="auto"/>
              </w:rPr>
            </w:pPr>
            <w:r>
              <w:rPr>
                <w:rFonts w:ascii="Arial" w:cs="Arial" w:eastAsia="Arial" w:hAnsi="Arial"/>
                <w:sz w:val="14"/>
                <w:szCs w:val="14"/>
                <w:b w:val="1"/>
                <w:bCs w:val="1"/>
                <w:color w:val="auto"/>
                <w:w w:val="87"/>
              </w:rPr>
              <w:t>Year Ended December 31,</w:t>
            </w: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9"/>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Borders>
              <w:bottom w:val="single" w:sz="8" w:color="auto"/>
            </w:tcBorders>
          </w:tcPr>
          <w:p>
            <w:pPr>
              <w:jc w:val="right"/>
              <w:ind w:right="56"/>
              <w:spacing w:after="0" w:line="169" w:lineRule="exact"/>
              <w:rPr>
                <w:sz w:val="20"/>
                <w:szCs w:val="20"/>
                <w:color w:val="auto"/>
              </w:rPr>
            </w:pPr>
            <w:r>
              <w:rPr>
                <w:rFonts w:ascii="Arial" w:cs="Arial" w:eastAsia="Arial" w:hAnsi="Arial"/>
                <w:sz w:val="12"/>
                <w:szCs w:val="12"/>
                <w:b w:val="1"/>
                <w:bCs w:val="1"/>
                <w:color w:val="auto"/>
              </w:rPr>
              <w:t>2007</w:t>
            </w:r>
            <w:r>
              <w:rPr>
                <w:rFonts w:ascii="Arial" w:cs="Arial" w:eastAsia="Arial" w:hAnsi="Arial"/>
                <w:sz w:val="19"/>
                <w:szCs w:val="19"/>
                <w:b w:val="1"/>
                <w:bCs w:val="1"/>
                <w:color w:val="auto"/>
                <w:vertAlign w:val="superscript"/>
              </w:rPr>
              <w:t>(1)</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ind w:right="194"/>
              <w:spacing w:after="0" w:line="169" w:lineRule="exact"/>
              <w:rPr>
                <w:sz w:val="20"/>
                <w:szCs w:val="20"/>
                <w:color w:val="auto"/>
              </w:rPr>
            </w:pPr>
            <w:r>
              <w:rPr>
                <w:rFonts w:ascii="Arial" w:cs="Arial" w:eastAsia="Arial" w:hAnsi="Arial"/>
                <w:sz w:val="12"/>
                <w:szCs w:val="12"/>
                <w:b w:val="1"/>
                <w:bCs w:val="1"/>
                <w:color w:val="auto"/>
              </w:rPr>
              <w:t>2003</w:t>
            </w:r>
            <w:r>
              <w:rPr>
                <w:rFonts w:ascii="Arial" w:cs="Arial" w:eastAsia="Arial" w:hAnsi="Arial"/>
                <w:sz w:val="19"/>
                <w:szCs w:val="19"/>
                <w:b w:val="1"/>
                <w:bCs w:val="1"/>
                <w:color w:val="auto"/>
                <w:vertAlign w:val="superscript"/>
              </w:rPr>
              <w:t>(2)</w:t>
            </w:r>
          </w:p>
        </w:tc>
      </w:tr>
      <w:tr>
        <w:trPr>
          <w:trHeight w:val="129"/>
        </w:trPr>
        <w:tc>
          <w:tcPr>
            <w:tcW w:w="5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720" w:type="dxa"/>
            <w:vAlign w:val="bottom"/>
            <w:gridSpan w:val="11"/>
          </w:tcPr>
          <w:p>
            <w:pPr>
              <w:jc w:val="center"/>
              <w:spacing w:after="0" w:line="129" w:lineRule="exact"/>
              <w:rPr>
                <w:sz w:val="20"/>
                <w:szCs w:val="20"/>
                <w:color w:val="auto"/>
              </w:rPr>
            </w:pPr>
            <w:r>
              <w:rPr>
                <w:rFonts w:ascii="Arial" w:cs="Arial" w:eastAsia="Arial" w:hAnsi="Arial"/>
                <w:sz w:val="14"/>
                <w:szCs w:val="14"/>
                <w:b w:val="1"/>
                <w:bCs w:val="1"/>
                <w:color w:val="auto"/>
                <w:w w:val="86"/>
              </w:rPr>
              <w:t>(In millions of U.S. dollars and millions of Mexican pesos at December 31, 2007, except for</w:t>
            </w:r>
          </w:p>
        </w:tc>
      </w:tr>
      <w:tr>
        <w:trPr>
          <w:trHeight w:val="149"/>
        </w:trPr>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gridSpan w:val="8"/>
          </w:tcPr>
          <w:p>
            <w:pPr>
              <w:jc w:val="center"/>
              <w:ind w:left="87"/>
              <w:spacing w:after="0" w:line="149" w:lineRule="exact"/>
              <w:rPr>
                <w:sz w:val="20"/>
                <w:szCs w:val="20"/>
                <w:color w:val="auto"/>
              </w:rPr>
            </w:pPr>
            <w:r>
              <w:rPr>
                <w:rFonts w:ascii="Arial" w:cs="Arial" w:eastAsia="Arial" w:hAnsi="Arial"/>
                <w:sz w:val="14"/>
                <w:szCs w:val="14"/>
                <w:b w:val="1"/>
                <w:bCs w:val="1"/>
                <w:color w:val="auto"/>
                <w:w w:val="85"/>
              </w:rPr>
              <w:t>per share data, the weighted average number of shares</w:t>
            </w:r>
          </w:p>
        </w:tc>
        <w:tc>
          <w:tcPr>
            <w:tcW w:w="940" w:type="dxa"/>
            <w:vAlign w:val="bottom"/>
          </w:tcPr>
          <w:p>
            <w:pPr>
              <w:spacing w:after="0"/>
              <w:rPr>
                <w:sz w:val="12"/>
                <w:szCs w:val="12"/>
                <w:color w:val="auto"/>
              </w:rPr>
            </w:pPr>
          </w:p>
        </w:tc>
      </w:tr>
      <w:tr>
        <w:trPr>
          <w:trHeight w:val="161"/>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left="136"/>
              <w:spacing w:after="0"/>
              <w:rPr>
                <w:sz w:val="20"/>
                <w:szCs w:val="20"/>
                <w:color w:val="auto"/>
              </w:rPr>
            </w:pPr>
            <w:r>
              <w:rPr>
                <w:rFonts w:ascii="Arial" w:cs="Arial" w:eastAsia="Arial" w:hAnsi="Arial"/>
                <w:sz w:val="14"/>
                <w:szCs w:val="14"/>
                <w:b w:val="1"/>
                <w:bCs w:val="1"/>
                <w:color w:val="auto"/>
                <w:w w:val="85"/>
              </w:rPr>
              <w:t>outstanding and percentages)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5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Net income:</w:t>
            </w:r>
            <w:r>
              <w:rPr>
                <w:rFonts w:ascii="Arial" w:cs="Arial" w:eastAsia="Arial" w:hAnsi="Arial"/>
                <w:sz w:val="22"/>
                <w:szCs w:val="22"/>
                <w:color w:val="auto"/>
                <w:vertAlign w:val="superscript"/>
              </w:rPr>
              <w:t>(4)</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Per Series B Share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94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 Series D Share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Weighted average number of shares outstanding (in millions):</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B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9,246.4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8,217.6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8,217.6</w:t>
            </w: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Series D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8,644.7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8,644.7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8,644.7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8,260.1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7,683.0</w:t>
            </w:r>
          </w:p>
        </w:tc>
        <w:tc>
          <w:tcPr>
            <w:tcW w:w="940" w:type="dxa"/>
            <w:vAlign w:val="bottom"/>
          </w:tcPr>
          <w:p>
            <w:pPr>
              <w:jc w:val="right"/>
              <w:spacing w:after="0"/>
              <w:rPr>
                <w:sz w:val="20"/>
                <w:szCs w:val="20"/>
                <w:color w:val="auto"/>
              </w:rPr>
            </w:pPr>
            <w:r>
              <w:rPr>
                <w:rFonts w:ascii="Arial" w:cs="Arial" w:eastAsia="Arial" w:hAnsi="Arial"/>
                <w:sz w:val="18"/>
                <w:szCs w:val="18"/>
                <w:color w:val="auto"/>
              </w:rPr>
              <w:t>7,683.0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Mexican FRS:</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Ps. 165,795</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Ps. 154,516</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Ps. 139,823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Ps. 138,533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Ps. 128,598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33,404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28,060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22,510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27,250</w:t>
            </w:r>
          </w:p>
        </w:tc>
        <w:tc>
          <w:tcPr>
            <w:tcW w:w="940" w:type="dxa"/>
            <w:vAlign w:val="bottom"/>
          </w:tcPr>
          <w:p>
            <w:pPr>
              <w:jc w:val="right"/>
              <w:spacing w:after="0"/>
              <w:rPr>
                <w:sz w:val="20"/>
                <w:szCs w:val="20"/>
                <w:color w:val="auto"/>
              </w:rPr>
            </w:pPr>
            <w:r>
              <w:rPr>
                <w:rFonts w:ascii="Arial" w:cs="Arial" w:eastAsia="Arial" w:hAnsi="Arial"/>
                <w:sz w:val="18"/>
                <w:szCs w:val="18"/>
                <w:color w:val="auto"/>
              </w:rPr>
              <w:t>21,285</w:t>
            </w:r>
          </w:p>
        </w:tc>
      </w:tr>
      <w:tr>
        <w:trPr>
          <w:trHeight w:val="216"/>
        </w:trPr>
        <w:tc>
          <w:tcPr>
            <w:tcW w:w="5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Long-term debt</w:t>
            </w:r>
            <w:r>
              <w:rPr>
                <w:rFonts w:ascii="Arial" w:cs="Arial" w:eastAsia="Arial" w:hAnsi="Arial"/>
                <w:sz w:val="22"/>
                <w:szCs w:val="22"/>
                <w:color w:val="auto"/>
                <w:vertAlign w:val="superscript"/>
              </w:rPr>
              <w:t>(6)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30,665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40,563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12,073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12,575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10,786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10,963</w:t>
            </w:r>
          </w:p>
        </w:tc>
        <w:tc>
          <w:tcPr>
            <w:tcW w:w="940" w:type="dxa"/>
            <w:vAlign w:val="bottom"/>
          </w:tcPr>
          <w:p>
            <w:pPr>
              <w:jc w:val="right"/>
              <w:spacing w:after="0"/>
              <w:rPr>
                <w:sz w:val="20"/>
                <w:szCs w:val="20"/>
                <w:color w:val="auto"/>
              </w:rPr>
            </w:pPr>
            <w:r>
              <w:rPr>
                <w:rFonts w:ascii="Arial" w:cs="Arial" w:eastAsia="Arial" w:hAnsi="Arial"/>
                <w:sz w:val="18"/>
                <w:szCs w:val="18"/>
                <w:color w:val="auto"/>
              </w:rPr>
              <w:t>11,840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89,653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78,208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74,398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60,027</w:t>
            </w:r>
          </w:p>
        </w:tc>
        <w:tc>
          <w:tcPr>
            <w:tcW w:w="940" w:type="dxa"/>
            <w:vAlign w:val="bottom"/>
          </w:tcPr>
          <w:p>
            <w:pPr>
              <w:jc w:val="right"/>
              <w:spacing w:after="0"/>
              <w:rPr>
                <w:sz w:val="20"/>
                <w:szCs w:val="20"/>
                <w:color w:val="auto"/>
              </w:rPr>
            </w:pPr>
            <w:r>
              <w:rPr>
                <w:rFonts w:ascii="Arial" w:cs="Arial" w:eastAsia="Arial" w:hAnsi="Arial"/>
                <w:sz w:val="18"/>
                <w:szCs w:val="18"/>
                <w:color w:val="auto"/>
              </w:rPr>
              <w:t>56,095</w:t>
            </w: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Majority interest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64,578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35,096</w:t>
            </w:r>
          </w:p>
        </w:tc>
      </w:tr>
      <w:tr>
        <w:trPr>
          <w:trHeight w:val="222"/>
        </w:trPr>
        <w:tc>
          <w:tcPr>
            <w:tcW w:w="500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2,297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25,075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21,554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21,998</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19,713</w:t>
            </w:r>
          </w:p>
        </w:tc>
        <w:tc>
          <w:tcPr>
            <w:tcW w:w="940" w:type="dxa"/>
            <w:vAlign w:val="bottom"/>
          </w:tcPr>
          <w:p>
            <w:pPr>
              <w:jc w:val="right"/>
              <w:spacing w:after="0"/>
              <w:rPr>
                <w:sz w:val="20"/>
                <w:szCs w:val="20"/>
                <w:color w:val="auto"/>
              </w:rPr>
            </w:pPr>
            <w:r>
              <w:rPr>
                <w:rFonts w:ascii="Arial" w:cs="Arial" w:eastAsia="Arial" w:hAnsi="Arial"/>
                <w:sz w:val="18"/>
                <w:szCs w:val="18"/>
                <w:color w:val="auto"/>
              </w:rPr>
              <w:t>20,999</w:t>
            </w:r>
          </w:p>
        </w:tc>
      </w:tr>
      <w:tr>
        <w:trPr>
          <w:trHeight w:val="356"/>
        </w:trPr>
        <w:tc>
          <w:tcPr>
            <w:tcW w:w="5000" w:type="dxa"/>
            <w:vAlign w:val="bottom"/>
          </w:tcPr>
          <w:p>
            <w:pPr>
              <w:spacing w:after="0"/>
              <w:rPr>
                <w:sz w:val="24"/>
                <w:szCs w:val="24"/>
                <w:color w:val="auto"/>
              </w:rPr>
            </w:pPr>
          </w:p>
        </w:tc>
        <w:tc>
          <w:tcPr>
            <w:tcW w:w="1360" w:type="dxa"/>
            <w:vAlign w:val="bottom"/>
            <w:gridSpan w:val="2"/>
          </w:tcPr>
          <w:p>
            <w:pPr>
              <w:jc w:val="right"/>
              <w:ind w:right="5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gridSpan w:val="6"/>
          </w:tcPr>
          <w:p>
            <w:pPr>
              <w:jc w:val="center"/>
              <w:ind w:left="515"/>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line="169" w:lineRule="exact"/>
              <w:rPr>
                <w:sz w:val="20"/>
                <w:szCs w:val="20"/>
                <w:color w:val="auto"/>
              </w:rPr>
            </w:pPr>
            <w:r>
              <w:rPr>
                <w:rFonts w:ascii="Arial" w:cs="Arial" w:eastAsia="Arial" w:hAnsi="Arial"/>
                <w:sz w:val="12"/>
                <w:szCs w:val="12"/>
                <w:b w:val="1"/>
                <w:bCs w:val="1"/>
                <w:color w:val="auto"/>
                <w:w w:val="89"/>
              </w:rPr>
              <w:t>2007</w:t>
            </w:r>
            <w:r>
              <w:rPr>
                <w:rFonts w:ascii="Arial" w:cs="Arial" w:eastAsia="Arial" w:hAnsi="Arial"/>
                <w:sz w:val="19"/>
                <w:szCs w:val="19"/>
                <w:b w:val="1"/>
                <w:bCs w:val="1"/>
                <w:color w:val="auto"/>
                <w:w w:val="89"/>
                <w:vertAlign w:val="superscript"/>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right"/>
              <w:ind w:right="94"/>
              <w:spacing w:after="0" w:line="169" w:lineRule="exact"/>
              <w:rPr>
                <w:sz w:val="20"/>
                <w:szCs w:val="20"/>
                <w:color w:val="auto"/>
              </w:rPr>
            </w:pPr>
            <w:r>
              <w:rPr>
                <w:rFonts w:ascii="Arial" w:cs="Arial" w:eastAsia="Arial" w:hAnsi="Arial"/>
                <w:sz w:val="12"/>
                <w:szCs w:val="12"/>
                <w:b w:val="1"/>
                <w:bCs w:val="1"/>
                <w:color w:val="auto"/>
              </w:rPr>
              <w:t>2003</w:t>
            </w:r>
            <w:r>
              <w:rPr>
                <w:rFonts w:ascii="Arial" w:cs="Arial" w:eastAsia="Arial" w:hAnsi="Arial"/>
                <w:sz w:val="19"/>
                <w:szCs w:val="19"/>
                <w:b w:val="1"/>
                <w:bCs w:val="1"/>
                <w:color w:val="auto"/>
                <w:vertAlign w:val="superscript"/>
              </w:rPr>
              <w:t>(2)</w:t>
            </w:r>
          </w:p>
        </w:tc>
        <w:tc>
          <w:tcPr>
            <w:tcW w:w="140" w:type="dxa"/>
            <w:vAlign w:val="bottom"/>
          </w:tcPr>
          <w:p>
            <w:pPr>
              <w:spacing w:after="0"/>
              <w:rPr>
                <w:sz w:val="14"/>
                <w:szCs w:val="14"/>
                <w:color w:val="auto"/>
              </w:rPr>
            </w:pPr>
          </w:p>
        </w:tc>
      </w:tr>
      <w:tr>
        <w:trPr>
          <w:trHeight w:val="129"/>
        </w:trPr>
        <w:tc>
          <w:tcPr>
            <w:tcW w:w="34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320" w:type="dxa"/>
            <w:vAlign w:val="bottom"/>
            <w:gridSpan w:val="14"/>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(in millions of U.S. dollars and millions of Mexican pesos at December 31, 2007, except for</w:t>
            </w:r>
          </w:p>
        </w:tc>
      </w:tr>
      <w:tr>
        <w:trPr>
          <w:trHeight w:val="161"/>
        </w:trPr>
        <w:tc>
          <w:tcPr>
            <w:tcW w:w="3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20" w:type="dxa"/>
            <w:vAlign w:val="bottom"/>
            <w:gridSpan w:val="13"/>
          </w:tcPr>
          <w:p>
            <w:pPr>
              <w:jc w:val="center"/>
              <w:ind w:right="740"/>
              <w:spacing w:after="0"/>
              <w:rPr>
                <w:sz w:val="20"/>
                <w:szCs w:val="20"/>
                <w:color w:val="auto"/>
              </w:rPr>
            </w:pPr>
            <w:r>
              <w:rPr>
                <w:rFonts w:ascii="Arial" w:cs="Arial" w:eastAsia="Arial" w:hAnsi="Arial"/>
                <w:sz w:val="14"/>
                <w:szCs w:val="14"/>
                <w:b w:val="1"/>
                <w:bCs w:val="1"/>
                <w:color w:val="auto"/>
                <w:w w:val="85"/>
              </w:rPr>
              <w:t>per share data, the weighted average number of shares outstanding and percentages)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rPr>
              <w:t>Ps. 124,775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Ps. 114,693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Ps. 98,869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Ps. 92,613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Ps. 80,827</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14,814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10,090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16,997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11,652</w:t>
            </w:r>
          </w:p>
        </w:tc>
      </w:tr>
      <w:tr>
        <w:trPr>
          <w:trHeight w:val="216"/>
        </w:trPr>
        <w:tc>
          <w:tcPr>
            <w:tcW w:w="3440" w:type="dxa"/>
            <w:vAlign w:val="bottom"/>
          </w:tcPr>
          <w:p>
            <w:pPr>
              <w:spacing w:after="0" w:line="217" w:lineRule="exact"/>
              <w:rPr>
                <w:sz w:val="20"/>
                <w:szCs w:val="20"/>
                <w:color w:val="auto"/>
              </w:rPr>
            </w:pPr>
            <w:r>
              <w:rPr>
                <w:rFonts w:ascii="Arial" w:cs="Arial" w:eastAsia="Arial" w:hAnsi="Arial"/>
                <w:sz w:val="18"/>
                <w:szCs w:val="18"/>
                <w:color w:val="auto"/>
              </w:rPr>
              <w:t>Long-term debt</w:t>
            </w:r>
            <w:r>
              <w:rPr>
                <w:rFonts w:ascii="Arial" w:cs="Arial" w:eastAsia="Arial" w:hAnsi="Arial"/>
                <w:sz w:val="22"/>
                <w:szCs w:val="22"/>
                <w:color w:val="auto"/>
                <w:vertAlign w:val="superscript"/>
              </w:rPr>
              <w:t>(6)</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16,569</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18,749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15,177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16,254</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8,343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Minority interest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5,968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Stockholders’ equity</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82,606</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73,925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68,554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55,836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49,334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Mexican FRS: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3440" w:type="dxa"/>
            <w:vAlign w:val="bottom"/>
            <w:shd w:val="clear" w:color="auto" w:fill="CCEEFF"/>
          </w:tcPr>
          <w:p>
            <w:pPr>
              <w:spacing w:after="0" w:line="208" w:lineRule="exact"/>
              <w:rPr>
                <w:sz w:val="20"/>
                <w:szCs w:val="20"/>
                <w:color w:val="auto"/>
              </w:rPr>
            </w:pPr>
            <w:r>
              <w:rPr>
                <w:rFonts w:ascii="Arial" w:cs="Arial" w:eastAsia="Arial" w:hAnsi="Arial"/>
                <w:sz w:val="18"/>
                <w:szCs w:val="18"/>
                <w:color w:val="auto"/>
              </w:rPr>
              <w:t>Depreciation</w:t>
            </w:r>
            <w:r>
              <w:rPr>
                <w:rFonts w:ascii="Arial" w:cs="Arial" w:eastAsia="Arial" w:hAnsi="Arial"/>
                <w:sz w:val="22"/>
                <w:szCs w:val="22"/>
                <w:color w:val="auto"/>
                <w:vertAlign w:val="superscript"/>
              </w:rPr>
              <w:t>(7)</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3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6"/>
              </w:rPr>
              <w:t>Ps.</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Ps.  4,682</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Ps.  4,280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Ps.  3,708</w:t>
            </w:r>
          </w:p>
        </w:tc>
      </w:tr>
      <w:tr>
        <w:trPr>
          <w:trHeight w:val="216"/>
        </w:trPr>
        <w:tc>
          <w:tcPr>
            <w:tcW w:w="3440" w:type="dxa"/>
            <w:vAlign w:val="bottom"/>
          </w:tcPr>
          <w:p>
            <w:pPr>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(8)</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11,257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9,422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7,508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7,948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8,085</w:t>
            </w:r>
          </w:p>
        </w:tc>
      </w:tr>
      <w:tr>
        <w:trPr>
          <w:trHeight w:val="216"/>
        </w:trPr>
        <w:tc>
          <w:tcPr>
            <w:tcW w:w="34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Operating margin</w:t>
            </w:r>
            <w:r>
              <w:rPr>
                <w:rFonts w:ascii="Arial" w:cs="Arial" w:eastAsia="Arial" w:hAnsi="Arial"/>
                <w:sz w:val="22"/>
                <w:szCs w:val="22"/>
                <w:color w:val="auto"/>
                <w:vertAlign w:val="superscript"/>
              </w:rPr>
              <w:t>(9)</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Depreciation</w:t>
            </w:r>
            <w:r>
              <w:rPr>
                <w:rFonts w:ascii="Arial" w:cs="Arial" w:eastAsia="Arial" w:hAnsi="Arial"/>
                <w:sz w:val="22"/>
                <w:szCs w:val="22"/>
                <w:color w:val="auto"/>
                <w:vertAlign w:val="superscript"/>
              </w:rPr>
              <w:t>(7)</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Ps. 2,163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Ps. 2,079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Ps. 1,990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Ps. 2,009</w:t>
            </w:r>
          </w:p>
        </w:tc>
      </w:tr>
      <w:tr>
        <w:trPr>
          <w:trHeight w:val="293"/>
        </w:trPr>
        <w:tc>
          <w:tcPr>
            <w:tcW w:w="3440" w:type="dxa"/>
            <w:vAlign w:val="bottom"/>
          </w:tcPr>
          <w:p>
            <w:pPr>
              <w:spacing w:after="0"/>
              <w:rPr>
                <w:sz w:val="20"/>
                <w:szCs w:val="20"/>
                <w:color w:val="auto"/>
              </w:rPr>
            </w:pPr>
            <w:r>
              <w:rPr>
                <w:rFonts w:ascii="Arial" w:cs="Arial" w:eastAsia="Arial" w:hAnsi="Arial"/>
                <w:sz w:val="18"/>
                <w:szCs w:val="18"/>
                <w:color w:val="auto"/>
              </w:rPr>
              <w:t>Operating margin</w:t>
            </w:r>
            <w:r>
              <w:rPr>
                <w:rFonts w:ascii="Arial" w:cs="Arial" w:eastAsia="Arial" w:hAnsi="Arial"/>
                <w:sz w:val="22"/>
                <w:szCs w:val="22"/>
                <w:color w:val="auto"/>
                <w:vertAlign w:val="superscript"/>
              </w:rPr>
              <w:t>(9)</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Translation to U.S. dollar amounts at an exchange rate of Ps. 10.9169 to US$ 1.00 solely for the convenience of the reader.</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2003 income statement data is not comparable to subsequent periods due to the acquisition of Panamco México, S.A. de C.V. in May 2003 by our subsidiary Coca-Cola FEMSA.</w:t>
      </w:r>
    </w:p>
    <w:p>
      <w:pPr>
        <w:spacing w:after="0" w:line="50" w:lineRule="exact"/>
        <w:rPr>
          <w:rFonts w:ascii="Arial" w:cs="Arial" w:eastAsia="Arial" w:hAnsi="Arial"/>
          <w:sz w:val="18"/>
          <w:szCs w:val="18"/>
          <w:color w:val="auto"/>
        </w:rPr>
      </w:pPr>
    </w:p>
    <w:p>
      <w:pPr>
        <w:ind w:left="460" w:right="80" w:hanging="452"/>
        <w:spacing w:after="0" w:line="335"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income tax and tax on assets. Beginning in 2007, we are required to present employee profit sharing within “other expenses” pursuant to Mexican Financial Reporting Standards Interpretation (“INIF”) No. 4 “</w:t>
      </w:r>
      <w:r>
        <w:rPr>
          <w:rFonts w:ascii="Arial" w:cs="Arial" w:eastAsia="Arial" w:hAnsi="Arial"/>
          <w:sz w:val="15"/>
          <w:szCs w:val="15"/>
          <w:i w:val="1"/>
          <w:iCs w:val="1"/>
          <w:color w:val="auto"/>
        </w:rPr>
        <w:t>Presentación en el Estado de Resultados de la Participación de los Trabajadores en la</w:t>
      </w:r>
      <w:r>
        <w:rPr>
          <w:rFonts w:ascii="Arial" w:cs="Arial" w:eastAsia="Arial" w:hAnsi="Arial"/>
          <w:sz w:val="15"/>
          <w:szCs w:val="15"/>
          <w:color w:val="auto"/>
        </w:rPr>
        <w:t xml:space="preserve"> </w:t>
      </w:r>
      <w:r>
        <w:rPr>
          <w:rFonts w:ascii="Arial" w:cs="Arial" w:eastAsia="Arial" w:hAnsi="Arial"/>
          <w:sz w:val="15"/>
          <w:szCs w:val="15"/>
          <w:i w:val="1"/>
          <w:iCs w:val="1"/>
          <w:color w:val="auto"/>
        </w:rPr>
        <w:t>Utilidad</w:t>
      </w:r>
      <w:r>
        <w:rPr>
          <w:rFonts w:ascii="Arial" w:cs="Arial" w:eastAsia="Arial" w:hAnsi="Arial"/>
          <w:sz w:val="15"/>
          <w:szCs w:val="15"/>
          <w:color w:val="auto"/>
        </w:rPr>
        <w:t>” (Presentation of Employee Profit Sharing in the Income Statement). Information for prior periods has been modified for comparability purposes.</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per share data has been modified retrospectively to reflect our 3:1 stock split effective May 25, 2007.</w:t>
      </w:r>
    </w:p>
    <w:p>
      <w:pPr>
        <w:spacing w:after="0" w:line="9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Coca-Cola FEMSA is not consolidated for US GAAP purposes and is recorded under the equity method, as discussed in note 26 (a) to our audited consolidated financial statements.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long-term debt minus the current portion of long-term debt.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bottle breakage.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investments in property, plant and equipment, intangible and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margin is calculated by dividing income from operations by total revenues.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historically paid dividends per BD Unit (including in the form of ADSs) approximately equal to or greater than 1% of the market price on the date of declaration, subject to changes in our results of operations and financial position, including due to extraordinary economic events and to the factors described in “Risk Factors” that affect our financial condition and liquidity. These factors may affect whether or not dividends are declared and the amount of such dividends. We do not expect to be subject to any contractual restrictions on our ability to pay dividends, although our subsidiaries may be subject to such restrictions. Because we are a holding company with no significant operations of our own, we will have distributable profits and cash to pay dividends only to the extent that we receive dividends from our subsidiaries. Accordingly, we cannot assure you that we will pay dividends or as to the amount of any dividends.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for each year the nominal amount of dividends per share that we declared in Mexican pesos and the U.S. dollar amounts that were actually paid on each of the respective payment dates for the 2003 to 2007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with Respect to</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Per Series B</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Per Series B</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Per Series D</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7"/>
              </w:rPr>
              <w:t>Per Series 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which</w:t>
            </w:r>
          </w:p>
        </w:tc>
        <w:tc>
          <w:tcPr>
            <w:tcW w:w="200" w:type="dxa"/>
            <w:vAlign w:val="bottom"/>
          </w:tcPr>
          <w:p>
            <w:pPr>
              <w:spacing w:after="0"/>
              <w:rPr>
                <w:sz w:val="11"/>
                <w:szCs w:val="11"/>
                <w:color w:val="auto"/>
              </w:rPr>
            </w:pPr>
          </w:p>
        </w:tc>
        <w:tc>
          <w:tcPr>
            <w:tcW w:w="150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Aggregate Amount</w:t>
            </w:r>
          </w:p>
        </w:tc>
        <w:tc>
          <w:tcPr>
            <w:tcW w:w="9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of Dividend</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Share</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Share</w:t>
            </w:r>
          </w:p>
        </w:tc>
        <w:tc>
          <w:tcPr>
            <w:tcW w:w="0" w:type="dxa"/>
            <w:vAlign w:val="bottom"/>
          </w:tcPr>
          <w:p>
            <w:pPr>
              <w:spacing w:after="0"/>
              <w:rPr>
                <w:sz w:val="1"/>
                <w:szCs w:val="1"/>
                <w:color w:val="auto"/>
              </w:rPr>
            </w:pPr>
          </w:p>
        </w:tc>
      </w:tr>
      <w:tr>
        <w:trPr>
          <w:trHeight w:val="176"/>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3"/>
              </w:rPr>
              <w:t>Date Dividend Paid</w:t>
            </w:r>
          </w:p>
        </w:tc>
        <w:tc>
          <w:tcPr>
            <w:tcW w:w="40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was Declared</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Declared</w:t>
            </w:r>
          </w:p>
        </w:tc>
        <w:tc>
          <w:tcPr>
            <w:tcW w:w="98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2"/>
              </w:rPr>
              <w:t>Dividend</w:t>
            </w:r>
            <w:r>
              <w:rPr>
                <w:rFonts w:ascii="Arial" w:cs="Arial" w:eastAsia="Arial" w:hAnsi="Arial"/>
                <w:sz w:val="20"/>
                <w:szCs w:val="20"/>
                <w:b w:val="1"/>
                <w:bCs w:val="1"/>
                <w:color w:val="auto"/>
                <w:w w:val="92"/>
                <w:vertAlign w:val="superscript"/>
              </w:rPr>
              <w:t>(1)</w:t>
            </w:r>
          </w:p>
        </w:tc>
        <w:tc>
          <w:tcPr>
            <w:tcW w:w="820" w:type="dxa"/>
            <w:vAlign w:val="bottom"/>
            <w:gridSpan w:val="3"/>
          </w:tcPr>
          <w:p>
            <w:pPr>
              <w:jc w:val="center"/>
              <w:ind w:right="120"/>
              <w:spacing w:after="0" w:line="176" w:lineRule="exact"/>
              <w:rPr>
                <w:sz w:val="20"/>
                <w:szCs w:val="20"/>
                <w:color w:val="auto"/>
              </w:rPr>
            </w:pPr>
            <w:r>
              <w:rPr>
                <w:rFonts w:ascii="Arial" w:cs="Arial" w:eastAsia="Arial" w:hAnsi="Arial"/>
                <w:sz w:val="13"/>
                <w:szCs w:val="13"/>
                <w:b w:val="1"/>
                <w:bCs w:val="1"/>
                <w:color w:val="auto"/>
                <w:w w:val="92"/>
              </w:rPr>
              <w:t>Dividend</w:t>
            </w:r>
            <w:r>
              <w:rPr>
                <w:rFonts w:ascii="Arial" w:cs="Arial" w:eastAsia="Arial" w:hAnsi="Arial"/>
                <w:sz w:val="20"/>
                <w:szCs w:val="20"/>
                <w:b w:val="1"/>
                <w:bCs w:val="1"/>
                <w:color w:val="auto"/>
                <w:w w:val="92"/>
                <w:vertAlign w:val="superscript"/>
              </w:rPr>
              <w:t>(1)</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2"/>
              </w:rPr>
              <w:t>Dividend</w:t>
            </w:r>
            <w:r>
              <w:rPr>
                <w:rFonts w:ascii="Arial" w:cs="Arial" w:eastAsia="Arial" w:hAnsi="Arial"/>
                <w:sz w:val="20"/>
                <w:szCs w:val="20"/>
                <w:b w:val="1"/>
                <w:bCs w:val="1"/>
                <w:color w:val="auto"/>
                <w:w w:val="92"/>
                <w:vertAlign w:val="superscript"/>
              </w:rPr>
              <w:t>(1)</w:t>
            </w:r>
          </w:p>
        </w:tc>
        <w:tc>
          <w:tcPr>
            <w:tcW w:w="740" w:type="dxa"/>
            <w:vAlign w:val="bottom"/>
            <w:gridSpan w:val="3"/>
          </w:tcPr>
          <w:p>
            <w:pPr>
              <w:jc w:val="center"/>
              <w:spacing w:after="0" w:line="176" w:lineRule="exact"/>
              <w:rPr>
                <w:sz w:val="20"/>
                <w:szCs w:val="20"/>
                <w:color w:val="auto"/>
              </w:rPr>
            </w:pPr>
            <w:r>
              <w:rPr>
                <w:rFonts w:ascii="Arial" w:cs="Arial" w:eastAsia="Arial" w:hAnsi="Arial"/>
                <w:sz w:val="13"/>
                <w:szCs w:val="13"/>
                <w:b w:val="1"/>
                <w:bCs w:val="1"/>
                <w:color w:val="auto"/>
                <w:w w:val="92"/>
              </w:rPr>
              <w:t>Dividend</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May 31, 2004</w:t>
            </w:r>
          </w:p>
        </w:tc>
        <w:tc>
          <w:tcPr>
            <w:tcW w:w="40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99"/>
              </w:rPr>
              <w:t>Ps.</w:t>
            </w: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531,379,672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Ps. 0.0298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0.0026</w:t>
            </w:r>
          </w:p>
        </w:tc>
        <w:tc>
          <w:tcPr>
            <w:tcW w:w="10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5"/>
              </w:rPr>
              <w:t>Ps. 0.0373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May 31, 2005</w:t>
            </w:r>
          </w:p>
        </w:tc>
        <w:tc>
          <w:tcPr>
            <w:tcW w:w="4920" w:type="dxa"/>
            <w:vAlign w:val="bottom"/>
            <w:gridSpan w:val="2"/>
          </w:tcPr>
          <w:p>
            <w:pPr>
              <w:jc w:val="center"/>
              <w:ind w:left="3932"/>
              <w:spacing w:after="0"/>
              <w:rPr>
                <w:sz w:val="20"/>
                <w:szCs w:val="20"/>
                <w:color w:val="auto"/>
              </w:rPr>
            </w:pPr>
            <w:r>
              <w:rPr>
                <w:rFonts w:ascii="Arial" w:cs="Arial" w:eastAsia="Arial" w:hAnsi="Arial"/>
                <w:sz w:val="18"/>
                <w:szCs w:val="18"/>
                <w:color w:val="auto"/>
                <w:w w:val="84"/>
              </w:rPr>
              <w:t>2004</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w w:val="99"/>
              </w:rPr>
              <w:t>Ps.</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659,997,941</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Ps. 0.0371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0.0034</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color w:val="auto"/>
                <w:w w:val="85"/>
              </w:rPr>
              <w:t>Ps. 0.0463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June 15, 2006</w:t>
            </w:r>
          </w:p>
        </w:tc>
        <w:tc>
          <w:tcPr>
            <w:tcW w:w="4920" w:type="dxa"/>
            <w:vAlign w:val="bottom"/>
            <w:gridSpan w:val="2"/>
            <w:shd w:val="clear" w:color="auto" w:fill="CCEEFF"/>
          </w:tcPr>
          <w:p>
            <w:pPr>
              <w:jc w:val="center"/>
              <w:ind w:left="3932"/>
              <w:spacing w:after="0"/>
              <w:rPr>
                <w:sz w:val="20"/>
                <w:szCs w:val="20"/>
                <w:color w:val="auto"/>
              </w:rPr>
            </w:pPr>
            <w:r>
              <w:rPr>
                <w:rFonts w:ascii="Arial" w:cs="Arial" w:eastAsia="Arial" w:hAnsi="Arial"/>
                <w:sz w:val="18"/>
                <w:szCs w:val="18"/>
                <w:color w:val="auto"/>
                <w:w w:val="84"/>
              </w:rPr>
              <w:t>2005</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Ps.</w:t>
            </w: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986,000,000</w:t>
            </w: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Ps. 0.0492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0.0043</w:t>
            </w:r>
          </w:p>
        </w:tc>
        <w:tc>
          <w:tcPr>
            <w:tcW w:w="10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5"/>
              </w:rPr>
              <w:t>Ps. 0.0615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May 15, 2007</w:t>
            </w:r>
          </w:p>
        </w:tc>
        <w:tc>
          <w:tcPr>
            <w:tcW w:w="4920" w:type="dxa"/>
            <w:vAlign w:val="bottom"/>
            <w:gridSpan w:val="2"/>
          </w:tcPr>
          <w:p>
            <w:pPr>
              <w:jc w:val="center"/>
              <w:ind w:left="3932"/>
              <w:spacing w:after="0"/>
              <w:rPr>
                <w:sz w:val="20"/>
                <w:szCs w:val="20"/>
                <w:color w:val="auto"/>
              </w:rPr>
            </w:pPr>
            <w:r>
              <w:rPr>
                <w:rFonts w:ascii="Arial" w:cs="Arial" w:eastAsia="Arial" w:hAnsi="Arial"/>
                <w:sz w:val="18"/>
                <w:szCs w:val="18"/>
                <w:color w:val="auto"/>
                <w:w w:val="84"/>
              </w:rPr>
              <w:t>2006</w:t>
            </w:r>
          </w:p>
        </w:tc>
        <w:tc>
          <w:tcPr>
            <w:tcW w:w="1700" w:type="dxa"/>
            <w:vAlign w:val="bottom"/>
            <w:gridSpan w:val="4"/>
          </w:tcPr>
          <w:p>
            <w:pPr>
              <w:ind w:left="200"/>
              <w:spacing w:after="0"/>
              <w:rPr>
                <w:sz w:val="20"/>
                <w:szCs w:val="20"/>
                <w:color w:val="auto"/>
              </w:rPr>
            </w:pPr>
            <w:r>
              <w:rPr>
                <w:rFonts w:ascii="Arial" w:cs="Arial" w:eastAsia="Arial" w:hAnsi="Arial"/>
                <w:sz w:val="18"/>
                <w:szCs w:val="18"/>
                <w:color w:val="auto"/>
              </w:rPr>
              <w:t>Ps. 1,485,000,000</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Ps. 0.0741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0.0069</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color w:val="auto"/>
                <w:w w:val="85"/>
              </w:rPr>
              <w:t>Ps. 0.0926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May 8, 2008</w:t>
            </w:r>
          </w:p>
        </w:tc>
        <w:tc>
          <w:tcPr>
            <w:tcW w:w="4920" w:type="dxa"/>
            <w:vAlign w:val="bottom"/>
            <w:gridSpan w:val="2"/>
            <w:shd w:val="clear" w:color="auto" w:fill="CCEEFF"/>
          </w:tcPr>
          <w:p>
            <w:pPr>
              <w:jc w:val="center"/>
              <w:ind w:left="3932"/>
              <w:spacing w:after="0"/>
              <w:rPr>
                <w:sz w:val="20"/>
                <w:szCs w:val="20"/>
                <w:color w:val="auto"/>
              </w:rPr>
            </w:pPr>
            <w:r>
              <w:rPr>
                <w:rFonts w:ascii="Arial" w:cs="Arial" w:eastAsia="Arial" w:hAnsi="Arial"/>
                <w:sz w:val="18"/>
                <w:szCs w:val="18"/>
                <w:color w:val="auto"/>
                <w:w w:val="84"/>
              </w:rPr>
              <w:t>2007</w:t>
            </w:r>
          </w:p>
        </w:tc>
        <w:tc>
          <w:tcPr>
            <w:tcW w:w="17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Ps. 1,620,000,000</w:t>
            </w: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Ps. 0.1009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0.0095</w:t>
            </w:r>
          </w:p>
        </w:tc>
        <w:tc>
          <w:tcPr>
            <w:tcW w:w="10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5"/>
              </w:rPr>
              <w:t>Ps. 0.0807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460" w:right="40" w:hanging="452"/>
        <w:spacing w:after="0" w:line="280" w:lineRule="auto"/>
        <w:tabs>
          <w:tab w:leader="none" w:pos="460" w:val="left"/>
        </w:tabs>
        <w:numPr>
          <w:ilvl w:val="0"/>
          <w:numId w:val="2"/>
        </w:numPr>
        <w:rPr>
          <w:rFonts w:ascii="Arial" w:cs="Arial" w:eastAsia="Arial" w:hAnsi="Arial"/>
          <w:sz w:val="11"/>
          <w:szCs w:val="11"/>
          <w:color w:val="auto"/>
        </w:rPr>
      </w:pPr>
      <w:r>
        <w:rPr>
          <w:rFonts w:ascii="Arial" w:cs="Arial" w:eastAsia="Arial" w:hAnsi="Arial"/>
          <w:sz w:val="16"/>
          <w:szCs w:val="16"/>
          <w:color w:val="auto"/>
        </w:rPr>
        <w:t>The per series dividend amount has been adjusted for comparability purposes to reflect the 3:1 stock split effective May 25, 2007 by dividing, (a) for 2004, 8,213,220,270 Series B Shares and 7,678,711,080 Series D Shares by the aggregate dividend amount, and (b) for 2005, 2006 and 2007, 9,246,420,270 Series B Shares and 8,644,711,080 Series D Shares, which in each case represents the number of shares outstanding at the date each dividend is declared as adjusted retroactively for prior periods as applicable to reflect the 3:1 stock split.</w:t>
      </w:r>
    </w:p>
    <w:p>
      <w:pPr>
        <w:spacing w:after="0" w:line="11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At the annual ordinary general shareholders meeting, the board of directors submits the financial statements of our company for the previous fiscal year, together with a report thereon by the board of directors.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our shareholders. Dividends may only be paid if net profits are sufficient to offset losses from prior fiscal years.</w:t>
      </w:r>
    </w:p>
    <w:p>
      <w:pPr>
        <w:spacing w:after="0" w:line="14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Our bylaws provide that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Subject to certain exceptions contained in the deposit agreement dated May 11, 2007, among FEMSA, The Bank of New York, as ADS depositary, and holders and beneficial owners from time to time of our American Depositary Shares, or ADSs, evidenced by American Depositary Receipts, any dividends distributed to holders of our ADSs will be paid to the ADS depositary in Mexican pesos and will be converted by the ADS depositary into U.S. dollars. As a result, restrictions on conversion of Mexican pesos into foreign currencies and exchange rate fluctuations may affect the ability of holders of our ADSs to receive U.S. dollars and the U.S. dollar amount actually received by holders of our ADSs.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following tables set forth, for the periods indicated, the high, low, average and period end noon buying rates of the Federal Reserve Bank of New York, expressed in Mexican pesos per one U.S. dollar. The rates have not been restated in constant currency units and therefore represent nominal historical figures.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Exchange Rate</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2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Low</w:t>
            </w:r>
          </w:p>
        </w:tc>
        <w:tc>
          <w:tcPr>
            <w:tcW w:w="860" w:type="dxa"/>
            <w:vAlign w:val="bottom"/>
            <w:gridSpan w:val="2"/>
          </w:tcPr>
          <w:p>
            <w:pPr>
              <w:jc w:val="right"/>
              <w:ind w:right="220"/>
              <w:spacing w:after="0" w:line="169" w:lineRule="exact"/>
              <w:rPr>
                <w:sz w:val="20"/>
                <w:szCs w:val="20"/>
                <w:color w:val="auto"/>
              </w:rPr>
            </w:pPr>
            <w:r>
              <w:rPr>
                <w:rFonts w:ascii="Arial" w:cs="Arial" w:eastAsia="Arial" w:hAnsi="Arial"/>
                <w:sz w:val="12"/>
                <w:szCs w:val="12"/>
                <w:b w:val="1"/>
                <w:bCs w:val="1"/>
                <w:color w:val="auto"/>
                <w:w w:val="93"/>
              </w:rPr>
              <w:t xml:space="preserve">Average </w:t>
            </w:r>
            <w:r>
              <w:rPr>
                <w:rFonts w:ascii="Arial" w:cs="Arial" w:eastAsia="Arial" w:hAnsi="Arial"/>
                <w:sz w:val="19"/>
                <w:szCs w:val="19"/>
                <w:b w:val="1"/>
                <w:bCs w:val="1"/>
                <w:color w:val="auto"/>
                <w:w w:val="93"/>
                <w:vertAlign w:val="superscript"/>
              </w:rPr>
              <w:t>(1)</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Period 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2003</w:t>
            </w:r>
          </w:p>
        </w:tc>
        <w:tc>
          <w:tcPr>
            <w:tcW w:w="82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11.41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2004</w:t>
            </w:r>
          </w:p>
        </w:tc>
        <w:tc>
          <w:tcPr>
            <w:tcW w:w="82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11.64</w:t>
            </w:r>
          </w:p>
        </w:tc>
        <w:tc>
          <w:tcPr>
            <w:tcW w:w="6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10.81</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11.29</w:t>
            </w:r>
          </w:p>
        </w:tc>
        <w:tc>
          <w:tcPr>
            <w:tcW w:w="660" w:type="dxa"/>
            <w:vAlign w:val="bottom"/>
          </w:tcPr>
          <w:p>
            <w:pPr>
              <w:jc w:val="right"/>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2005</w:t>
            </w:r>
          </w:p>
        </w:tc>
        <w:tc>
          <w:tcPr>
            <w:tcW w:w="82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11.41</w:t>
            </w: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10.41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2006</w:t>
            </w:r>
          </w:p>
        </w:tc>
        <w:tc>
          <w:tcPr>
            <w:tcW w:w="82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11.46</w:t>
            </w:r>
          </w:p>
        </w:tc>
        <w:tc>
          <w:tcPr>
            <w:tcW w:w="6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10.43</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660" w:type="dxa"/>
            <w:vAlign w:val="bottom"/>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2007</w:t>
            </w:r>
          </w:p>
        </w:tc>
        <w:tc>
          <w:tcPr>
            <w:tcW w:w="82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11.27</w:t>
            </w: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10.67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month-end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1"/>
              </w:rPr>
              <w:t>Exchange Rate</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2"/>
                <w:szCs w:val="12"/>
                <w:color w:val="auto"/>
              </w:rPr>
            </w:pPr>
          </w:p>
        </w:tc>
        <w:tc>
          <w:tcPr>
            <w:tcW w:w="9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Low</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Period End</w:t>
            </w:r>
          </w:p>
        </w:tc>
        <w:tc>
          <w:tcPr>
            <w:tcW w:w="20" w:type="dxa"/>
            <w:vAlign w:val="bottom"/>
          </w:tcPr>
          <w:p>
            <w:pPr>
              <w:spacing w:after="0"/>
              <w:rPr>
                <w:sz w:val="12"/>
                <w:szCs w:val="12"/>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Ps. 10.95</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Ps. 10.46</w:t>
            </w:r>
          </w:p>
        </w:tc>
        <w:tc>
          <w:tcPr>
            <w:tcW w:w="700" w:type="dxa"/>
            <w:vAlign w:val="bottom"/>
          </w:tcPr>
          <w:p>
            <w:pPr>
              <w:jc w:val="right"/>
              <w:spacing w:after="0"/>
              <w:rPr>
                <w:sz w:val="20"/>
                <w:szCs w:val="20"/>
                <w:color w:val="auto"/>
              </w:rPr>
            </w:pPr>
            <w:r>
              <w:rPr>
                <w:rFonts w:ascii="Arial" w:cs="Arial" w:eastAsia="Arial" w:hAnsi="Arial"/>
                <w:sz w:val="18"/>
                <w:szCs w:val="18"/>
                <w:color w:val="auto"/>
                <w:w w:val="89"/>
              </w:rPr>
              <w:t>Ps. 10.90</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8"/>
                <w:szCs w:val="18"/>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2007: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Ps. 11.18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Ps. 10.77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Ps. 11.04</w:t>
            </w:r>
          </w:p>
        </w:tc>
        <w:tc>
          <w:tcPr>
            <w:tcW w:w="20" w:type="dxa"/>
            <w:vAlign w:val="bottom"/>
          </w:tcPr>
          <w:p>
            <w:pPr>
              <w:spacing w:after="0"/>
              <w:rPr>
                <w:sz w:val="18"/>
                <w:szCs w:val="18"/>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8"/>
                <w:szCs w:val="18"/>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2008: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18"/>
                <w:szCs w:val="18"/>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February</w:t>
            </w:r>
          </w:p>
        </w:tc>
        <w:tc>
          <w:tcPr>
            <w:tcW w:w="680" w:type="dxa"/>
            <w:vAlign w:val="bottom"/>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10.73</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8"/>
                <w:szCs w:val="18"/>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April</w:t>
            </w:r>
          </w:p>
        </w:tc>
        <w:tc>
          <w:tcPr>
            <w:tcW w:w="680" w:type="dxa"/>
            <w:vAlign w:val="bottom"/>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8"/>
                <w:szCs w:val="18"/>
                <w:color w:val="auto"/>
              </w:rPr>
            </w:pPr>
          </w:p>
        </w:tc>
      </w:tr>
      <w:tr>
        <w:trPr>
          <w:trHeight w:val="293"/>
        </w:trPr>
        <w:tc>
          <w:tcPr>
            <w:tcW w:w="890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from June 1 to June 15,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Coca-Cola FEMSA’s business depends on its relationship with The Coca-Cola Company, and changes in this relationship may adversely affect its results of operations and financial position.</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Approximately 95% of Coca-Cola FEMSA’s sales volume in 2007 was derived from sales of Coca-Cola trademark beverages. In each of its territories, Coca-Cola FEMSA produces, markets and distributes Coca-Cola trademark beverages through standard bottler agreements. Through its rights under the bottler agreements and as a large shareholder, The Coca-Cola Company has the ability to exercise substantial influence over the conduct of Coca-Cola FEMSA’s business.</w:t>
      </w:r>
    </w:p>
    <w:p>
      <w:pPr>
        <w:spacing w:after="0" w:line="14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Under Coca-Cola FEMSA’s bottler agreements, The Coca-Cola Company may unilaterally set the price for its concentrate. In 2005, The Coca-Cola Company decided to gradually increase concentrate prices for sparkling beverages over a three-year period in Mexico beginning in 2007 and in Brazil in 2006. Coca-Cola FEMSA prepares a three-year general business plan that is submitted to its board of directors for approval. The Coca-Cola Company may require that Coca-Cola FEMSA demonstrate its financial ability to meet its plans and may terminate Coca-Cola FEMSA’s rights to produce, market and distribute soft drinks in territories with respect to which such approval is withheld. The Coca-Cola Company also makes significant contributions to Coca-Cola FEMSA’s marketing expenses although it is not required to contribute a particular amount. In addition, Coca-Cola FEMSA is prohibited from bottling any soft drink product or distributing other beverages without The Coca-Cola Company’s authorization or consent. The Coca-Cola Company has the exclusive right to import and export Coca-Cola trademark beverages to and from Coca-Cola FEMSA’s territories; however, Coca-Cola FEMSA holds the exclusive right to sell Coca-Cola trademark beverages within its territories. Coca-Cola FEMSA may not transfer control of the bottler rights of any of its territories without the consent of The Coca-Cola Company.</w:t>
      </w:r>
    </w:p>
    <w:p>
      <w:pPr>
        <w:spacing w:after="0" w:line="123"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Coca-Cola FEMSA depends on The Coca-Cola Company to renew its bottler agreements. Coca-Cola FEMSA’s bottler agreements for Mexico expire in 2013 and 2015 and are renewable in each case for ten-year terms. Coca-Cola FEMSA’s bottler agreement for Argentina expires in 2014. Coca-Cola FEMSA’s bottler agreements for Guatemala, Nicaragua, Panama (other beverages), Costa Rica, Venezuela and Colombia expired in September 2008. Coca-Cola FEMSA’s bottler agreement for Brazil expired in December 2004. Coca-Cola FEMSA’s bottler agreement for Coca-Cola trademark beverages for Panama has an indefinite term but may be terminated with six months prior written notice by either party. Coca-Cola FEMSA is currently in the process of negotiating renewals of these agreements on similar terms and conditions as in other countries. Coca-Cola FEMSA and The Coca-Cola Company are operating under the terms of the existing agreements. There can be no assurances that The Coca-Cola Company will decide to renew any of these agreements. In addition, in the event a material breach of these agreements occurs, the agreements may be terminated. Termination would prevent Coca-Cola FEMSA from selling Coca-Cola trademark beverages in the affected territory and would have an adverse effect on Coca-Cola FEMSA’s business, financial condition, prospects, results of operations and cash flows.</w:t>
      </w:r>
    </w:p>
    <w:p>
      <w:pPr>
        <w:spacing w:after="0" w:line="189"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The Coca-Cola Company has substantial influence on the conduct of Coca-Cola FEMSA’s business, which may result in Coca-Cola FEMSA taking actions contrary to the interest of its remaining shareholders.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Coca-Cola Company has significant influence on the conduct of Coca-Cola FEMSA’s business. The Coca-Cola Company indirectly owns 31.6% of Coca-Cola FEMSA’s outstanding capital stock, representing 37.0% of its capital stock with full voting rights. The Coca-Cola Company is entitled to appoint four of Coca-Cola FEMSA’s 18 directors and certain of its executive officers and, except under limited circumstances, has the power to veto all actions requiring approval by Coca-Cola FEMSA’s board of directors. We are entitled to appoint 11 of Coca-Cola FEMSA’s 18 directors and certain of its executive officers. The Coca-Cola Company, thus may have the power to determine the outcome of certain actions requiring approval by its board of directors and may have the power to determine the outcome of certain actions requiring approval of Coca-Cola FEMSA’s shareholders. See “Item 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Additional Information—Material Contracts—Coca-Cola FEMSA.” The interests of The Coca-Cola Company may be different from the interests of Coca-Cola FEMSA’s remaining shareholders, which may result in Coca-Cola FEMSA taking actions contrary to the interest of its remaining shareholders.</w:t>
      </w:r>
    </w:p>
    <w:p>
      <w:pPr>
        <w:spacing w:after="0" w:line="16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b w:val="1"/>
          <w:bCs w:val="1"/>
          <w:i w:val="1"/>
          <w:iCs w:val="1"/>
          <w:color w:val="auto"/>
        </w:rPr>
        <w:t>Coca-Cola FEMSA has significant transactions with affiliates, particularly The Coca-Cola Company, which may create potential conflicts of interest and could result in less favorable terms to Coca-Cola FEMSA.</w:t>
      </w:r>
    </w:p>
    <w:p>
      <w:pPr>
        <w:spacing w:after="0" w:line="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Coca-Cola FEMSA engages in transactions with subsidiaries of The Coca-Cola Company, including cooperative marketing arrangements and a number of bottler agreements. In November 2007, Coca-Cola FEMSA purchased jointly with The Coca-Cola Company the outstanding shares of Jugos del Valle, S.A.B de C.V., which we refer to as Jugos del Valle, a Mexican juice and beverage producer with operations in Mexico, Brazil and the United States. In addition, Coca-Cola FEMSA has entered into cooperative marketing arrangements with The Coca-Cola Company. The transactions may create potential conflicts of interest, which could result in terms less favorable to Coca-Cola FEMSA than could be obtained from an unaffiliated third party.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could adversely affect Coca-Cola FEMSA’s financial performance.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beverage industry throughout Latin America is highly competitive. Coca-Cola FEMSA faces competition from other bottlers of sparkling beverages such as Pepsi products, and from producers of low cost beverages, or “B brands.” Coca-Cola FEMSA also competes against beverages other than soft drinks such as water, fruit juice and sport drinks. Although competitive conditions are different in each of Coca-Cola FEMSA’s territories, Coca-Cola FEMSA competes principally in terms of price, packaging, consumer sale promotions, customer service and non-price retail incentives. There can be no assurances that Coca-Cola FEMSA will be able to avoid lower pricing as a result of competitive pressure. Lower pricing, changes made in response to competition and changes in consumer preferences may have an adverse effect on Coca-Cola FEMSA’s financial performance.</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Coca-Cola FEMSA’s principal competitor in Mexico is The Pepsi Bottling Group, or PBG. PBG is the largest bottler of Pepsi products worldwide and competes with Coca-Cola trademark beverages. Coca-Cola FEMSA has also experienced stronger competition in Mexico from lower priced soft drinks in larger, multiple serving packaging. In Argentina and Brazil, Coca-Cola FEMSA competes with Companhia de Bebidas das Américas, commonly referred to as AmBev, the largest brewer in Latin America and a subsidiary of InBev S.A., which sells Pepsi products, in addition to a portfolio that includes local brands with flavors such as guaraná and proprietary beers. In each of its territories, Coca-Cola FEMSA competes with Pepsi bottlers and with various other bottlers and distributors of nationally and regionally advertised soft drinks.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consumer preference could reduce demand for some of Coca-Cola FEMSA’s products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non-alcoholic beverage industry is rapidly evolving as a result of, among other things, changes in consumer preferences. Specifically, consumers are becoming increasingly more aware of and concerned about environmental and health issues. Concerns over the environmental impact of plastic may reduce the consumption of Coca-Cola FEMSA’s products sold in plastic bottles or result in additional taxes that would adversely affect consumer demand. In addition, researchers, health advocates and dietary guidelines are encouraging consumers to reduce their consumption of certain types of beverages sweetened with sugar and high fructose corn syrup, which could reduce demand for certain of Coca-Cola FEMSA’s products. A reduction in consumer demand would adversely affect Coca-Cola FEMSA’s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shortage or a failure to maintain existing concessions could adversely affect Coca-Cola FEMSA’s business.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Water is an essential component of soft drinks. Coca-Cola FEMSA obtains water from various sources in its territories, including springs, wells, rivers and municipal water companies. In Mexico, Coca-Cola FEMSA purchases water from municipal water companies and pumps water from its own wells pursuant to concessions granted by the Mexican government. Coca-Cola FEMSA obtains the vast majority of the water used in its soft drink production in Mexico pursuant to these concessions, which the Mexican government granted based on studies of the existing and projected groundwater supply. Coca-Cola FEMSA’s existing water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concessions in Mexico may be terminated by governmental authorities under certain circumstances and their renewal depends on receiving necessary authorizations from municipal and/or federal water authorities. See “Item 4—Information on the Company—Regulatory Matters—Water Supply Law.” In Coca-Cola FEMSA’s other territories, its existing water supply may not be sufficient to meet its future production needs and the available water supply may be adversely affected by shortages or changes in governmental regulations.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Coca-Cola FEMSA cannot assure you that water will be available in sufficient quantities to meet its future production needs or will prove sufficient to meet its water supply needs.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Increases in the prices of raw materials would increase Coca-Cola FEMSA’s cost of sales and may adversely affect its results of operations.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Coca-Cola FEMSA’s most significant raw materials are concentrate, which it acquires from companies designated by The Coca-Cola Company, packaging materials and sweeteners. Prices for concentrate are determined by The Coca-Cola Company pursuant to Coca-Cola FEMSA’s bottler agreements as a percentage of the weighted average retail price in local currency, net of applicable taxes. In 2005, The Coca-Cola Company decided to gradually increase concentrate prices for sparkling beverages over a three-year period in Mexico which began in 2007 and in Brazil in 2006. The prices for Coca-Cola FEMSA’s remaining raw materials are driven by market prices and local availability as well as the imposition of import duties and import restrictions and fluctuations in exchange rates. Coca-Cola FEMSA is also required to meet all of its supply needs from suppliers approved by The Coca-Cola Company, which may limit the number of suppliers available to it. Coca-Cola FEMSA’s sales prices are denominated in the local currency in which it operates, while the prices of certain materials used in the bottling of its products, mainly resin and ingots to make plastic bottles, finished plastic bottles and aluminum cans, are paid in or determined with reference to the U.S. dollar, and therefore may increase if the U.S. dollar appreciates against the currency of any country in which Coca-Cola FEMSA operates, particularly against the Mexican peso. See “Item 4—Information on the Company—Coca-Cola FEMSA—Raw Materials.”</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After concentrate, packaging materials and sweeteners constitute the largest portion of Coca-Cola FEMSA’s raw material costs. Coca-Cola FEMSA’s most significant packaging raw material costs arise from the purchase of resin and plastic ingots to make plastic bottles and from the purchase of finished plastic bottles, the prices of which are tied to crude oil prices and global resin supply. Average U.S. dollar prices that Coca-Cola FEMSA paid for resin remained relatively flat in 2007, although prices may increase in future periods. Sugar prices in all of the countries in which Coca-Cola FEMSA operates other than Brazil are subject to local regulations and other barriers to market entry that cause it to pay in excess of international market prices for sugar. In 2007, sweetener prices slightly increased in all of the countries in which Coca-Cola FEMSA operates other than Mexico and Argentina. In Venezuela, Coca-Cola FEMSA has experienced sugar shortages that have adversely affected its operations. These shortages were due to insufficient domestic production to meet demand and current restrictions on sugar imports.</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Coca-Cola FEMSA cannot assure you that its raw material prices will not further increase in the future. Increases in the prices of raw materials would increase Coca-Cola FEMSA’s cost of sales and adversely affect its results of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Taxes on soft drinks could adversely affect Coca-Cola FEMSA’s business.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Coca-Cola FEMSA’s products are subject to excise and value-added taxes in many of the countries in which it operates. The imposition of new taxes or increases in taxes on its products may have a material adverse effect on Coca-Cola FEMSA’s business, financial condition, prospects and results of operations. In 2003, Mexico implemented a 20% excise tax on sparkling beverages produced with non-sugar sweetener. This tax was eliminated beginning in 2007. Certain countries in Central America, Argentina and Brazil impose taxes on sparkling beverages. See “Item 4—Information on the Company—Coca-Cola FEMSA— Taxation of Soft Drinks.” We cannot assure you that any governmental authority in any country where Coca-Cola FEMSA operates will not impose or increase taxes on its products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may adversely affect Coca-Cola FEMSA’s business.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is subject to regulation in each of the territories in which it operates. The principal areas in which Coca-Cola FEMSA is subject to regulation are environment, labor, taxation, health and antitrust. The adoption of new laws or regulations in the countries in which Coca-Cola FEMSA operates may increase its operating costs or impose restrictions on its operations which, in turn, may adversely affect its financial condition, business and results of operations. In particular, environmental standards are becoming more stringent in several of the countries in which Coca-Cola FEMSA operates, and Coca-Cola FEMSA is in the process of complying with these new standards. Further changes in current regulations may result in an increase in compliance costs, which may have an adverse effect on Coca-Cola FEMSA’s future results of operations or financial condition.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Voluntary price restraints or statutory price controls have been imposed historically in several of the countries in which Coca-Cola FEMSA operates. The imposition of these restrictions in the future may have an adverse effect on Coca-Cola FEMSA’s results of operations and financial position. Although Mexican bottlers have been free to set prices for sparkling beverages without governmental intervention since January 1996, such prices had been subject to statutory price controls and to voluntary price restraints, which effectively limited Coca-Cola FEMSA’s ability to increase prices in the Mexican market without governmental consent. We cannot assure that governmental authorities in any country where Coca-Cola FEMSA operates will not impose statutory price controls or voluntary price restraints in the future.</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Coca-Cola FEMSA’s operations have from time to time been subject to investigations and proceedings by antitrust authorities and litigation relating to alleged anticompetitive practices. We cannot assure you that these investigations and proceedings will not have an adverse effect on Coca-Cola FEMSA’s results of operations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Unfavorable economic conditions in Mexico, Brazil or the United States may adversely affect FEMSA Cerveza’s business.</w:t>
      </w:r>
    </w:p>
    <w:p>
      <w:pPr>
        <w:spacing w:after="0" w:line="90"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Demand for the products of FEMSA Cerveza may be affected by economic conditions in Mexico, Brazil or the United States. In particular, demand in northern Mexico, where there are a large number of border towns, may be disproportionately affected by the performance of the United States’ economy. In addition, FEMSA Cerveza’s exports to the United States may be affected by reduced demand from the United States or from a reduction in prices by its competitors. Any depreciation of the Mexican peso may negatively affect its results of operations because a significant portion of its costs and expenses are denominated in, or determined by reference to, the U.S. dollar.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Uncertainty in commodity prices of raw materials used by FEMSA Cerveza may result in increased costs and adversely affect its results of operations.</w:t>
      </w:r>
    </w:p>
    <w:p>
      <w:pPr>
        <w:spacing w:after="0" w:line="1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FEMSA Cerveza purchases a number of commodities for the production of its products (principally aluminum, barley, malt and hops) from Mexican producers and in the international market. The prices of such commodities can fluctuate and are determined by global supply and demand and other factors, including changes in exchange rates, over which FEMSA Cerveza has no control. Market prices for aluminum increased by approximately 3% in 2007. Because aluminum prices are denominated in U.S. dollars, an appreciation of the U.S. dollar against the Mexican peso would increase the cost to FEMSA Cerveza as a percentage of net sales, as its sales are generally in Mexican pesos. Barley market prices increased more than 35% in 2007. FEMSA Cerveza’s expects barley prices to increase, on average over 35% in 2008, due to grain price increases in the international markets. There can be no assurance that FEMSA Cerveza will be able to recover increases in the cost of raw materials. See “Item 4. Information on the Company—FEMSA Cerveza—Raw Materials.” An increase in raw materials costs would adversely affect its results of operations and cash flows.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United States depend on distribution arrangements with Heineken USA.</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Heineken USA Inc., or Heineken USA, is the exclusive importer, marketer and distributor of FEMSA Cerveza’s beer brands in the United States. In April 2007, FEMSA Cerveza and Heineken USA entered into a new ten-year agreement, which began in January 2008, pursuant to which Heineken USA will continue to be the exclusive importer, marketer and distributor of FEMSA Cerveza’s beer brands in the United States. Accordingly, FEMSA Cerveza’s exports to the United States depend to a significant extent on Heineken USA’s performance under these agreements. See “Item 5. Operating and Financial Review and Prospectus—Recent Developments.” We cannot assure that Heineken USA will be able to maintain or increase sales of FEMSA Cerveza’s beer brands in the United States, nor that when the new agreement expires in December of 2017, FEMSA Cerveza will be able to renew the agreement or enter into a substitute arrangement on comparable terms.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Mexican market depend on its ability to compete with Grupo Modelo.</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FEMSA Cerveza faces competition in the Mexican beer market from Grupo Modelo, S.A.B. de C.V., or Grupo Modelo. FEMSA Cerveza’s ability to compete successfully in the Mexican beer market will have a significant impact on its Mexican sales. See “Item 4. Information on the Company—FEMSA Cerveza—The Mexican Beer Market.”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Brazilian market depend on its ability to compete with Ambev and local brewers.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FEMSA Cerveza faces competition in the Brazilian beer market from Companhia de Bebidas das Americas, or AmBev, Grupo Schincariol and Cervejarias Petropolis. FEMSA Cerveza’s ability to compete successfully in the Brazilian beer market will have a significant impact on its Brazilian sales. See “Item 4. Information on the Company—FEMSA Cerveza—The Brazilian Beer Market.”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imports in the Mexican beer market is increasing and may adversely affect FEMSA Cerveza’s business.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Imports represented 2.3% of the Mexican beer market in terms of sales volume in 2007. Under the North American Free Trade Agreement, or NAFTA, the tariffs applicable to beers imported from the United States and Canada were eliminated in January 2001. Increased import competition, however, could result from potential new entrants to the Mexican beer market or from a change in consumer preferences in Mexico and could lead to greater competition in general, which may adversely affect FEMSA Cerveza’s business, financial position and results of operations. See “Item 4. Information on the Company—FEMSA Cerveza—The Mexican Beer Market.”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in our main markets could adversely affect FEMSA Cerveza’s business.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FEMSA Cerveza’s business is subject to a variety of different government regulations in our key markets of Mexico, Brazil and the United States, and thus may be affected by changes in law, regulation or regulatory policy. Particularly in Mexico, actions of federal and local authorities, specifically changes in governmental policy with respect to excise and value-added tax laws or cold beer regulation and governmental actions relating to the beer industry practice of financing and bringing support to the point of sale through agreements or arrangements with retailers to sell and promote a beer producer’s products, may have a material adverse effect on FEMSA Cerveza’s business, financial position and results of operations.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Federal regulation of beer consumption in Mexico is primarily effected through a 25% excise tax, which includes an alternative minimum Mexican peso amount of Ps. 3.00 per liter for non-returnable presentations and Ps. 1.74 per liter for returnable presentations, and a 15% value-added tax. Currently, we do not anticipate an increase in these taxes, but federal regulation relating to excise taxes may change in the future, resulting in an increase or decrease in the tax. Local regulations are primarily effected through the issuance of licenses authorizing retailers to sell alcoholic beverages. Other regulations affecting beer consumption in Mexico vary according to local jurisdictions and include limitations on the hours during which restaurants, bars and other retail outlets are allowed to sell beer. See “Item 4. Information on the Company—FEMSA Cerveza—The Mexican Beer Market.”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 may not be able to improve performance in its Brazilian operations.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FEMSA Cerveza owns 83% of Brazilian brewer Cervejarias Kaiser Brasil S.A., or Kaiser. Prior to the acquisition of Kaiser, Kaiser’s profitability and market position had declined as a result of operational changes by the prior owner and increased competition in the Brazilian beer market. Kaiser’s operating margins are therefore lower than those of FEMSA Cerveza’s Mexican operations. FEMSA Cerveza continues to be in the process of implementing a number of initiatives to seek to improve Kaiser’s performance, although FEMSA Cerveza has not previously conducted operations in the Brazilian beer market, where market conditions differ significantly from Mexico. FEMSA Cerveza’s initiatives may not be successful in improving Kaiser’s performance, which would adversely affect FEMSA Cerveza’s sales growth and operating margins.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supply shortage could adversely affect FEMSA Cerveza’s business.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FEMSA Cerveza purchases water from Mexican government entities and obtains pump water from its own wells pursuant to concessions granted by the Mexican government.</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FEMSA Cerveza believes that its water concessions will satisfy its current and future water requirements. We cannot assure, however, that isolated periods of adverse weather will not affect FEMSA Cerveza’s supply of water to meet its future production needs in any given period, or that its concessions will not be terminated or will be renewed by the Mexican government. Any of these events or actions may adversely affect FEMSA Cerveza’s business, financial position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other retailers in Mexico could adversely affect FEMSA Comercio’s business.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Mexican retail sector is highly competitive. FEMSA participates in the retail sector primarily through FEMSA Comercio. FEMSA Comercio’s OXXO convenience stores face competition on a regional basis from 7-Eleven, Super Extra which is owned and managed by Grupo Modelo, our main competitor in the Mexican beer market, Super City, AM/PM and Circle K stores. OXXO convenience stores also face competition from numerous small chains of retailers across Mexico. In the future, OXXO stores may face additional competition from other retailers that do not currently participate in the convenience store sector or from new market entrants. Increased competition may limit the number of new locations available to FEMSA Comercio and require FEMSA Comercio to modify its product offering or pricing. In addition, consumers may prefer alternative products or store formats offered by competitors. As a result, FEMSA Comercio’s results of operations and financial position may be adversely affected by competition in the future.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OXXO convenience stores may be adversely affected by changes in economic conditions in Mexico.</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Convenience stores often sell certain products at a premium. The convenience store market is thus highly sensitive to economic conditions, since an economic slowdown is often accompanied by a decline in consumer purchasing power, which in turn results in a decline in the overall consumption of FEMSA Comercio’s main product categories. During periods of economic slowdown, OXXO stores may experience a decline in traffic per store and purchases per customer, and this may result in a decline in FEMSA Comercio’s results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Comercio may not be able to maintain its historic growth rate.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FEMSA Comercio increased the number of OXXO stores at an average annual rate of 19% from 2003 to 2007. The growth in the number of OXXO stores has driven growth in total revenue and operating income at FEMSA Comercio over the same period. As the overall number of stores increases, percentage growth in the number of OXXO stores is likely to decrease. In addition, as convenience store penetration in Mexico grows, the number of viable new store locations may decrease, and new store locations may be less favorable in terms of same store sales, average ticket and store traffic. As a result, FEMSA Comercio’s future results of operations and financial condition may not be consistent with prior periods and may be characterized by lower growth rates in terms of total revenue and operating income.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Principal Shareholders and Capital Structure</w:t>
      </w:r>
    </w:p>
    <w:p>
      <w:pPr>
        <w:spacing w:after="0" w:line="9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b w:val="1"/>
          <w:bCs w:val="1"/>
          <w:i w:val="1"/>
          <w:iCs w:val="1"/>
          <w:color w:val="auto"/>
        </w:rPr>
        <w:t>A majority of our voting shares are held by a voting trust, which effectively controls the management of our company, and whose interests may differ from those of other shareholders.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of May 30, 2008, a voting trust, the participants of which are members of five families, owned 38.65% of our capital stock and 74.78% of our capital stock with full voting rights, consisting of the Series B Shares. Consequently, the voting trust has the power to elect a majority of the members of our board of directors and to play a significant or controlling role in the outcome of substantially all matters to be decided by our board of directors or our shareholders. The interests of the voting trust may differ from those of our other shareholders. See “Item 7. Major Shareholders and Related Party Transactions” and “Item 10. Additional Information—Bylaws—Voting Rights and Certain Minority Rights.”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Series D-B and D-L Shares have limited voting rights.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Holders of Series D-B and D-L Shares have limited voting rights and are only entitled to vote on specific matters, such as certain changes in the form of our corporate organization, dissolutions, liquidations, a merger with a company with a distinct corporate purpose, a merger in which we are not the surviving entity, change of our jurisdiction of incorporation, the cancellation of the registration of the Series D-B and D-L Shares and any other matters that expressly require approval from such holders under the new Mexican Securities Market Law, which we refer to as the Mexican Securities Law. As a result of these limited voting rights, Series D-B and D-L these holders will not be able to influence our business or operations. See “Item 7. Major Shareholders and Related Party Transactions—Major Shareholders” and “Item 10. Additional Information—Bylaws—Voting Rights and Certain Minority Rights.”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ADSs may not be able to vote at our shareholder meetings.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shares are traded on the New York Stock Exchange in the form of ADSs. We cannot assure you that holders of our shares in the form of ADSs will receive notice of shareholders’ meetings from our ADS depositary in sufficient time to enable such holders to return voting instructions to the ADS depositary in a timely manner. In the event that instructions are not received with respect to any shares underlying ADSs, the ADS depositary will, subject to certain limitations, grant a proxy to a person designated by us in respect of these shares. In the event that this proxy is not granted, the ADS depositary will vote these shares in the same manner as the majority of the shares of each class for which voting instructions are received.</w:t>
      </w:r>
    </w:p>
    <w:p>
      <w:pPr>
        <w:spacing w:after="0" w:line="197"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b w:val="1"/>
          <w:bCs w:val="1"/>
          <w:i w:val="1"/>
          <w:iCs w:val="1"/>
          <w:color w:val="auto"/>
        </w:rPr>
        <w:t>Holders of BD Units in the United States and holders of ADSs may not be able to participate in any future preemptive rights offering and as a result may be subject to dilution of their equity interests.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Mexican law, if we issue new shares for cash as a part of a capital increase, other than in connection with a public offering of newly issued shares or treasury stock, we are generally required to grant our shareholders the right to purchase a sufficient number of shares to maintain their existing ownership percentage. Rights to purchase shares in these circumstances are known as preemptive rights. We may not legally allow holders of our shares or ADSs who are located in the United States to exercise any preemptive rights in any future capital increases unless (1) we file a registration statement with the SEC with respect to that future issuance of shares or (2) the offering qualifies for an exemption from the registration requirements of the U.S. Securities Act of 1933. At the time of any future capital increase, we will evaluate the costs and potential liabilities associated with filing a registration statement with the SEC, as well as the benefits of preemptive rights to holders of our shares in the form of ADSs in the United States and any other factors that we consider important in determining whether to file a registration statement.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decide not to file a registration statement with the SEC to allow holders of our shares or ADSs who are located in the United States to participate in a preemptive rights offering. In addition, under current Mexican law, the sale by the ADS depositary of preemptive rights and the distribution of the proceeds from such sales to the holders of our shares in the form of ADSs is not possible. As a result, the equity interest of holders of our shares in the form of ADSs would be diluted proportionately. See “Item 10. Additional Information—Preemptive Rights.”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protections afforded to minority shareholders in Mexico are different from those afforded to minority shareholders in the United States.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Mexican law, the protections afforded to minority shareholders are different from, and may be less than, those afforded to minority shareholders in the United States. Mexican laws do not provide a remedy to shareholders relating to violations of fiduciary duties, there is no procedure for class actions as such actions are conducted in the United States and there are different procedural requirements for bringing shareholder lawsuits against directors for the benefit of companies. Therefore, it may be more difficult for minority shareholders to enforce their rights against us, our directors or our controlling shareholders than it would be for minority shareholders of a United States company.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experience difficulties in enforcing civil liabilities against us or our directors, officers and controlling persons.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FEMSA is organized under the laws of Mexico, and most of our directors, officers and controlling persons reside outside the United States. In addition, all or a substantial portion of our assets and their respective assets are located outside the United States. As a result, it may be difficult for investors to effect service of process within the United States on such persons or to enforce judgments against them, including any action based on civil liabilities under the U.S. federal securities laws. There is doubt as to the enforceability against such persons in Mexico, whether in original actions or in actions to enforce judgments of U.S. courts, of liabilities based solely on the U.S. federal securities 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Developments in other countries may adversely affect the market for our securities.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market value of securities of Mexican companies is, to varying degrees, influenced by economic and securities market conditions in other emerging market countries. Although economic conditions are different in each country, investors’ reaction to developments in one country can have effects on the securities of issuers in other countries, including Mexico. We cannot assure you that events elsewhere, especially in emerging markets, will not adversely affect the market value of our securities.</w:t>
      </w:r>
    </w:p>
    <w:p>
      <w:pPr>
        <w:spacing w:after="0" w:line="224"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b w:val="1"/>
          <w:bCs w:val="1"/>
          <w:i w:val="1"/>
          <w:iCs w:val="1"/>
          <w:color w:val="auto"/>
        </w:rPr>
        <w:t>The failure or inability of our subsidiaries to pay dividends or other distributions to us may adversely affect us and our ability to pay dividends to holders of ADSs.</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FEMSA is a holding company. Accordingly, FEMSA’s cash flows are principally derived from dividends, interest and other distributions made to FEMSA by its subsidiaries. Currently, FEMSA’s subsidiaries do not have contractual obligations that require them to pay dividends to FEMSA. In addition, debt and other contractual obligations of our subsidiaries may in the future impose restrictions on our subsidiaries’ ability to make dividend or other payments to FEMSA, which in turn may adversely affect FEMSA’s ability to pay dividends to shareholders and meet its debt and other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Mexico and the Other Countries in Which We Operate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economic conditions in Mexico may adversely affect our financial position and results of operations.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a Mexican corporation, and our Mexican operations are our single most important geographic segment. For the year ended December 31, 2007, 72% of our consolidated total revenues were attributable to Mexico. In the past, Mexico has experienced both prolonged periods of weak economic conditions and deteriorations in economic conditions that have had a negative impact on our company. We cannot assure you that such conditions will not return or that such conditions will not have a material adverse effect on our results of operations and financial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business may be significantly affected by the general condition of the Mexican economy, or by the rate of inflation in Mexico, interest rates in Mexico and exchange rates for, or exchange controls affecting, the Mexican peso. Decreases in the growth rate of the Mexican economy, periods of negative growth and/or increases in inflation or interest rates may result in lower demand for our products, lower real pricing of our products or a shift to lower margin products. Because a large percentage of our costs and expenses are fixed, we may not be able to reduce costs and expenses upon the occurrence of any of these events, and our profit margins may suffer as a result. In addition, an increase in interest rates in Mexico would increase the cost to us of variable rate debt, which constituted 20% of our total debt as of December 31, 2007 (including the effect of interest rate swaps), and have an adverse effect on our financial position and results of operations.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of the Mexican peso relative to the U.S. dollar could adversely affect our financial position and results of operations.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depreciation of the Mexican peso relative to the U.S. dollar would increase the cost to us of a portion of the raw materials we acquire, the price of which is paid in or determined with reference to U.S. dollars, and of our debt obligations denominated in U.S. dollars and thereby may negatively affect our financial position and results of operations. A severe devaluation or depreciation of the Mexican peso may also result in disruption of the international foreign exchange markets and may limit our ability to transfer or to convert Mexican pesos into U.S. dollars and other currencies for the purpose of making timely payments of interest and principal on our U.S. dollar-denominated debt or obligations in other currencies. While the Mexican government does not currently restrict, and since 1982 has not restricted, the right or ability of Mexican or foreign persons or entities to convert Mexican pesos into U.S. dollars or to transfer other currencies out of Mexico, the Mexican government could institute restrictive exchange rate policies in the future, as it has done in the past. Currency fluctuations may have an adverse effect on our financial position, results of operations and cash flows in future periods.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Political events in Mexico could adversely affect our operations.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Mexican political events may significantly affect our operations. Presidential elections in Mexico occur every six years, and the most recent election occurred in July 2006. Elections in both houses of the Mexican Congress also occurred in July 2006, and although the </w:t>
      </w:r>
      <w:r>
        <w:rPr>
          <w:rFonts w:ascii="Arial" w:cs="Arial" w:eastAsia="Arial" w:hAnsi="Arial"/>
          <w:sz w:val="16"/>
          <w:szCs w:val="16"/>
          <w:i w:val="1"/>
          <w:iCs w:val="1"/>
          <w:color w:val="auto"/>
        </w:rPr>
        <w:t>Partido Acción Nacional</w:t>
      </w:r>
      <w:r>
        <w:rPr>
          <w:rFonts w:ascii="Arial" w:cs="Arial" w:eastAsia="Arial" w:hAnsi="Arial"/>
          <w:sz w:val="16"/>
          <w:szCs w:val="16"/>
          <w:color w:val="auto"/>
        </w:rPr>
        <w:t xml:space="preserve"> won a plurality of the seats in the Mexican Congress in the election, no party succeeded in securing a majority in either chamber of the Mexican Congress. The absence of a clear majority by a single party is likely to continue at least until the next congressional election in 2009. This situation may result in government gridlock and political uncertainty. We cannot provide any assurances that political developments in Mexico, over which we have no control, will not have an adverse effect on our business, financial condition or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Economic and political conditions in other Latin American countries in which we operate may adversely affect our business.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conducting operations in Mexico, our subsidiary Coca-Cola FEMSA conducts operations in Guatemala, Nicaragua, Costa Rica, Panama, Colombia, Venezuela, Brazil and Argentina and, beginning in 2006, our subsidiary FEMSA Cerveza also conducts operations in Brazil. These countries expose us to different or greater country risk than Mexico. Consumer demand preferences, real prices and the costs of raw materials are heavily influenced by macroeconomic and political conditions in the other countries in which we operate. These conditions vary by country and may not be correlated to conditions in our Mexican operations. In particular, Brazil and Colombia have benefited from high growth rates and relative economic stability in recent periods, although these countries have a history of economic volatility and political instability. In Venezuela, Coca-Cola FEMSA faces exchange risk as well as work stoppages and potential scarcity of raw materials. Coca-Cola FEMSA has also experienced short-term disruptions in its business in Venezuela over the past few years. Deterioration in economic and political conditions in many of these countries would have an adverse effect on our financial position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Total revenues increased in certain of our non-Mexican beverage operations at a higher rate relative to their respective Mexican operations in 2007. This higher rate of total revenue growth could result in a greater contribution to the respective results of operations for these territories, but may also expose us to greater risk in these territories as a result. Devaluation of the local currencies in countries other than Mexico against the U.S. dollar may increase our operating costs in these countries, and depreciation of the local currencies against the Mexican peso may negatively affect the results of operations for these countries as reported in our consolidated financial statements. In recent years, the Mexican peso has been relatively stable against the U.S. dollar, while currencies of other countries, specifically the Brazilian reais and the Colombian peso, have appreciated relative to the U.S. dollar and the Mexican peso. Future currency devaluation or the imposition of exchange controls in any of these countries, including Mexico, would have an adverse effect on our financial position and results of operations.</w:t>
      </w:r>
    </w:p>
    <w:p>
      <w:pPr>
        <w:spacing w:after="0" w:line="2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We are a Mexican company headquartered in Monterrey, Mexico, and our origin dates back to 1890. Our company was incorporated on May 30, 1936 and has a duration of 99 years. Our legal name is Fomento Económico Mexicano, S.A.B. de C.V., and in commercial contexts we frequently refer to ourselves as FEMSA. On December 5, 2006, as required by the new Mexican Securities Law, we changed our name to reflect that we are a </w:t>
      </w:r>
      <w:r>
        <w:rPr>
          <w:rFonts w:ascii="Arial" w:cs="Arial" w:eastAsia="Arial" w:hAnsi="Arial"/>
          <w:sz w:val="16"/>
          <w:szCs w:val="16"/>
          <w:i w:val="1"/>
          <w:iCs w:val="1"/>
          <w:color w:val="auto"/>
        </w:rPr>
        <w:t>sociedad anónima bursátil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variable </w:t>
      </w:r>
      <w:r>
        <w:rPr>
          <w:rFonts w:ascii="Arial" w:cs="Arial" w:eastAsia="Arial" w:hAnsi="Arial"/>
          <w:sz w:val="16"/>
          <w:szCs w:val="16"/>
          <w:color w:val="auto"/>
        </w:rPr>
        <w:t>(a variable capital listed stock corporation), whereas previously companies’ names in Mexico, including ours, did not indicate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was a listed company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Our principal executive offices are located at General Anaya No. 601 Pte., Colonia Bella Vista, Monterrey, Nuevo León 64410, Mexico. Our telephone number at this location is (52-81) 8328-6000. Our website is www.femsa.com. We are organized as a </w:t>
      </w:r>
      <w:r>
        <w:rPr>
          <w:rFonts w:ascii="Arial" w:cs="Arial" w:eastAsia="Arial" w:hAnsi="Arial"/>
          <w:sz w:val="16"/>
          <w:szCs w:val="16"/>
          <w:i w:val="1"/>
          <w:iCs w:val="1"/>
          <w:color w:val="auto"/>
        </w:rPr>
        <w:t>sociedad anónima bursátil de capital variable</w:t>
      </w:r>
      <w:r>
        <w:rPr>
          <w:rFonts w:ascii="Arial" w:cs="Arial" w:eastAsia="Arial" w:hAnsi="Arial"/>
          <w:sz w:val="16"/>
          <w:szCs w:val="16"/>
          <w:color w:val="auto"/>
        </w:rPr>
        <w:t xml:space="preserve"> under the laws of Mexico.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 our operations through the following principal holding companies, each of which we refer to as a principal sub-holding company:</w:t>
      </w:r>
    </w:p>
    <w:p>
      <w:pPr>
        <w:spacing w:after="0" w:line="113"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Coca-Cola FEMSA, which engages in the production, distribution and marketing of soft drinks;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FEMSA Cerveza, which engages in the production, distribution and marketing of beer;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FEMSA Comercio, which operates convenience stores.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FEMSA traces its origins to the establishment of Mexico’s first brewery, Cervecería Cuauhtémoc, S.A. de C.V., which we refer to as Cuauhtémoc, that was founded in 1890 by four Monterrey businessmen: Francisco G. Sada, José A. Muguerza, Isaac Garza and José M. Schneider. Descendants of certain of the founders of Cuauhtémoc control our company.</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1891, the first year of production, Cuauhtémoc produced 2,000 hectoliters of beer. Cuauhtémoc continued to expand through additions to existing plant capacity and through acquisitions of other Mexican breweries, and has continued to increase its production capacity, reaching approximately 34.596 million hectoliters in 2007.</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strategic integration of our company dates back to 1936 when our packaging operations were established to supply crown caps to the brewery. During this period, these operations were part of what was known as the Monterrey Group, which also included interests in banking, steel and other packaging operations.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1974, the Monterrey Group was split between two branches of the descendants of the founding families of Cuauhtémoc. The steel and other packaging operations formed the basis for the creation of Corporación Siderúrgica, S.A. (later Alfa, S.A.B. de C.V.), controlled by the Garza Sada family, and the beverage and banking operations were consolidated under the FEMSA corporate umbrella, controlled by the Garza Lagüera family. FEMSA’s shares were first listed on the Mexican Stock Exchange on September 19, 1978. Between 1977 and 1981, FEMSA diversified its operations through acquisitions in the soft drinks and mineral water industries, the establishment of the first convenience stores under the trade name OXXO and other investments in the hotel, construction, auto parts, food and fishing industries, which were considered non-core businesses and were subsequently divested.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August 1982, the Mexican government suspended payment on its international debt obligations and nationalized the Mexican banking system. In 1985, certain controlling shareholders of FEMSA acquired a controlling interest in Cervecería Moctezuma, S.A., which was then Mexico’s third-largest brewery and which we refer to as Moctezuma, and related companies in the packaging industry. FEMSA subsequently undertook an extensive corporate and financial restructuring that was completed in December 1988, and pursuant to which FEMSA’s assets were combined under a single corporate entity, which became Grupo Industrial Emprex, S.A. de C.V., which we refer to as Emprex.</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1991, certain majority shareholders of FEMSA acquired a controlling interest in Bancomer, S.A., which we refer to as Bancomer. The investment in Bancomer was undertaken as part of the Mexican government’s reprivatization of the banking system, which had been nationalized in 1982. The Bancomer acquisition was financed in part by a subscription by Emprex’s shareholders, including FEMSA, of shares in Grupo Financiero Bancomer, S.A. de C.V. (currently Grupo Financiero BBVA Bancomer, S.A. de C.V.), which we refer to as BBVA Bancomer, the Mexican financial services holding company that was formed to hold a controlling interest in Bancomer. In February 1992, FEMSA offered Emprex’s shareholders the opportunity to exchange the BBVA Bancomer shares to which they were entitled for Emprex shares owned by FEMSA. In August 1996, the shares of BBVA Bancomer that were received by FEMSA in the exchange with Emprex’s shareholders were distributed as a dividend to FEMSA’s shareholders.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completion of these transactions, we began a series of strategic transactions to strengthen the competitive positions of our operating subsidiaries. These transactions included the sale of a 30% strategic interest in Coca-Cola FEMSA to a wholly-owned subsidiary of The Coca-Cola Company and a subsequent public offering of Coca-Cola FEMSA shares, both of which occurred in 1993, and the sale of a 22% strategic interest in FEMSA Cerveza to Labatt Brewing Company Limited, which we refer to as Labatt, in 1994. Labatt, which was later acquired by InBev S.A., or InBev (known at the time of the acquisition of Labatt as Interbrew), subsequently increased its interest in FEMSA Cerveza to 30%.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1998, we completed a reorganization that:</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simplified our capital structure by converting our outstanding capital stock at the time of the reorganization into BD Units and B Units, and</w:t>
      </w:r>
    </w:p>
    <w:p>
      <w:pPr>
        <w:spacing w:after="0" w:line="113"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united the shareholders of FEMSA and the former shareholders of Emprex at the same corporate level through an exchange offer that was consummated on May 11, 1998.</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part of the reorganization, FEMSA listed ADSs on the New York Stock Exchange representing BD Units, and listed the BD Units and its B Units on the Mexican Stock Exchange.</w:t>
      </w:r>
    </w:p>
    <w:p>
      <w:pPr>
        <w:spacing w:after="0" w:line="132"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In May 2003, our subsidiary Coca-Cola FEMSA expanded its operations throughout Latin America by acquiring 100% of Panamco México, S.A. de C.V, which we refer to as Panamco, then the largest soft drink bottler in Latin America in terms of sales volume in 2002. Through its acquisition of Panamco, Coca-Cola FEMSA began producing and distributing Coca-Cola trademark beverages in additional territories in Mexico, Central America, Colombia, Venezuela and Brazil, along with bottled water, beer and other beverages in some of these territories. The Coca-Cola Company and its subsidiaries received Series D Shares in exchange for their equity interest in Panamco of approximately 25%.</w:t>
      </w:r>
    </w:p>
    <w:p>
      <w:pPr>
        <w:spacing w:after="0" w:line="11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On August 31, 2004, we consummated a series of transactions with InBev, Labatt and certain of their affiliates to terminate the existing arrangements between FEMSA Cerveza and Labatt. As a result of these transactions, FEMSA acquired 100% ownership of FEMSA Cerveza and previously existing arrangements among affiliates of FEMSA and InBev relating to governance, transfer of ownership and other matters with respect to FEMSA Cerveza were terminated.</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June 1, 2005, we consummated an equity offering of 80.5 million BD Units (including BD Units in the form of ADSs) and 52.78 million B units that resulted in net proceeds to us of US$ 700 million after underwriting spreads and commissions. We used the proceeds of the equity offering to refinance indebtedness incurred in connection with the transactions with InBev, Labatt and certain of their affiliates.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13, 2006, FEMSA Cerveza acquired 68% of the equity of the Brazilian brewer Kaiser from the Molson Coors Brewing Company, or Molson Coors, for US$ 68 million. Molson Coors retained a 15% ownership stake in Kaiser, while Heineken N.V.’s ownership of 17% remained unchanged. In December 2006, Molson Coors completed its exit from Kaiser by exercising its option to sell its 15% holding to FEMSA Cerveza. On December 22, 2006, FEMSA Cerveza made a capital increase of US$200 million in Kaiser. At the time, Heineken N.V. elected not to participate in the increase, thereby diluting its 17% interest in Kaiser to 0.17%, and FEMSA Cerveza thereby increasing its stake to 99.83% of the equity of Kaiser, however, in August 2007, Femsa Cerveza and Heineken NV closed a stock purchase agreement whereby Heineken NV purchased the shares necessary to regain its 17% interest in Kaiser. As a result of this transaction, FEMSA Cerveza now owns 83% of Kaiser and Heineken NV owns 17%.</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November 3, 2006, we acquired from certain subsidiaries of The Coca-Cola Company 148,000,000 Series “D” shares of Coca-Cola FEMSA, representing 8.02% of the total outstanding stock of Coca-Cola FEMSA. We acquired these shares at a price of US$ 2.888 per share, or US$ 427.4 million in the aggregate, pursuant to a Memorandum of Understanding with The Coca-Cola Company. As of May 30, 2008, FEMSA indirectly owns 53.7% of the capital stock of Coca-Cola FEMSA (63.0% of its capital stock with full voting rights) and The Coca-Cola Company indirectly owns 31.6% of the capital stock of Coca-Cola FEMSA (37.0% of its capital stock with full voting rights). The remaining 14.7% of its capital consists of Series L Shares with limited voting rights, which trade on the Mexican Stock Exchange and on the New York Stock Exchange in the form of ADSs under the trading symbol KOF.</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November 2007, Coca-Cola FEMSA and The Coca-Cola Company acquired Jugos del Valle from its controlling shareholders through a 100% tender offer for an aggregate price of US$ 456 million, including the assumption of net existing debt of approximately US$ 86 million.</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2007, at our company’s annual meeting, our shareholders approved a three-for-one stock split of FEMSA’s outstanding stock and our ADSs traded on the NYSE. The pro rata stock split had no effect on the ownership structure of FEMSA. The new units issued in the stock split were distributed by the Mexican Stock Exchange on May 28, 2007 to holders of record as of May 25, 2007, and ADSs traded on the NYSE were distributed on May 30, 2007, to holders of record as of May 25, 2007.</w:t>
      </w:r>
    </w:p>
    <w:p>
      <w:pPr>
        <w:spacing w:after="0" w:line="14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On April 22, 2008, FEMSA shareholders approved a proposal to amend our bylaws in order to preserve the unit structure for our shares that has been in place since May 1998, and to maintain our existing share structure beyond May 11, 2008. Our bylaws previously provided that on May 11, 2008 our Series D-B Shares would convert into Series B Shares and our Series D-L Shares would convert into Series L Shares with limited voting rights. In addition, our bylaws provided that on May 11, 2008 our current unit structure would cease to exist and each of our B Units would be unbundled into five Series B Shares, while each BD Unit would unbundle into three Series B Shares and two newly issued Series L Shares. Following the April 22, 2008 shareholder approvals, the automatic conversion of our share and unit structures will no longer exist, and, absent shareholder action, our share structure will continue to be comprised of Series B Shares, which must represent up to 51% of our outstanding capital stock, and Series D-B and Series D-L Shares, which together may represent up to 49% of our outstanding capital stock. Our Unit structure, absent shareholder action, will continue to consist of B Units, which bundle five Series B Shares, and BD Units, which bundle one Series B Share, two Series D-B Shares and two Series D-L Shares. See “The Offer and Listing – Description of Securities.”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Mr. Eugenio Garza Lagüera, our Honorary Life Chairman, passed away on May 24, 2008. Mr. Garza Lagüera began his professional career as a chemist in Cuauhtémoc’s research department and became chairman of our Board of Directors in April 29, 1969. He served as member of several boards of directors of national and international firms. During his life he was recognized for his entrepreneurial and social trajectories.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Structure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conduct our business through our principal sub-holding companies as shown in the following diagram and table:</w:t>
      </w:r>
    </w:p>
    <w:p>
      <w:pPr>
        <w:spacing w:after="0" w:line="28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Principal Sub-holding Companies—Ownership Structure</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of May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2570480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118110</wp:posOffset>
            </wp:positionV>
            <wp:extent cx="3001645" cy="2383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01645" cy="23837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Compañía Internacional de Bebidas, S.A. de C.V.</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Grupo Industrial Emprex, S.A. de C.V.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Emprex Cerveza, S.A. de C.V.</w:t>
      </w:r>
    </w:p>
    <w:p>
      <w:pPr>
        <w:spacing w:after="0" w:line="50" w:lineRule="exact"/>
        <w:rPr>
          <w:sz w:val="20"/>
          <w:szCs w:val="20"/>
          <w:color w:val="auto"/>
        </w:rPr>
      </w:pPr>
    </w:p>
    <w:p>
      <w:pPr>
        <w:sectPr>
          <w:pgSz w:w="11900" w:h="16838" w:orient="portrait"/>
          <w:cols w:equalWidth="0" w:num="2">
            <w:col w:w="140" w:space="320"/>
            <w:col w:w="9759"/>
          </w:cols>
          <w:pgMar w:left="240" w:top="459" w:right="1440" w:bottom="1440" w:gutter="0" w:footer="0" w:header="0"/>
          <w:type w:val="continuous"/>
        </w:sectPr>
      </w:pPr>
    </w:p>
    <w:p>
      <w:pPr>
        <w:ind w:left="5620" w:right="3999" w:hanging="5612"/>
        <w:spacing w:after="0" w:line="508" w:lineRule="auto"/>
        <w:tabs>
          <w:tab w:leader="none" w:pos="448" w:val="left"/>
        </w:tabs>
        <w:numPr>
          <w:ilvl w:val="0"/>
          <w:numId w:val="7"/>
        </w:numPr>
        <w:rPr>
          <w:rFonts w:ascii="Arial" w:cs="Arial" w:eastAsia="Arial" w:hAnsi="Arial"/>
          <w:sz w:val="11"/>
          <w:szCs w:val="11"/>
          <w:color w:val="auto"/>
        </w:rPr>
      </w:pPr>
      <w:r>
        <w:rPr>
          <w:rFonts w:ascii="Arial" w:cs="Arial" w:eastAsia="Arial" w:hAnsi="Arial"/>
          <w:sz w:val="16"/>
          <w:szCs w:val="16"/>
          <w:color w:val="auto"/>
        </w:rPr>
        <w:t>Percentage of capital stock, equal to 63.0% of capital stock with full voting rights. 19</w:t>
      </w:r>
    </w:p>
    <w:p>
      <w:pPr>
        <w:sectPr>
          <w:pgSz w:w="11900" w:h="16838" w:orient="portrait"/>
          <w:cols w:equalWidth="0" w:num="1">
            <w:col w:w="10219"/>
          </w:cols>
          <w:pgMar w:left="240" w:top="45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The following tables present an overview of our operations by reportable segment and by geographic region under Mexican Financial Reporting Standards: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by Segment—Overview</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 and % of growth vs. last year</w:t>
      </w:r>
      <w:r>
        <w:rPr>
          <w:rFonts w:ascii="Arial" w:cs="Arial" w:eastAsia="Arial" w:hAnsi="Arial"/>
          <w:sz w:val="22"/>
          <w:szCs w:val="22"/>
          <w:b w:val="1"/>
          <w:bCs w:val="1"/>
          <w:color w:val="auto"/>
          <w:vertAlign w:val="superscript"/>
        </w:rPr>
        <w:t>(1)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Coca-Cola FEMSA</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4"/>
                <w:szCs w:val="14"/>
                <w:b w:val="1"/>
                <w:bCs w:val="1"/>
                <w:color w:val="auto"/>
                <w:w w:val="91"/>
              </w:rPr>
              <w:t>FEMSA Cerveza</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w w:val="97"/>
              </w:rPr>
              <w:t>FEMSA Comercio</w:t>
            </w:r>
          </w:p>
        </w:tc>
        <w:tc>
          <w:tcPr>
            <w:tcW w:w="140" w:type="dxa"/>
            <w:vAlign w:val="bottom"/>
          </w:tcPr>
          <w:p>
            <w:pPr>
              <w:spacing w:after="0"/>
              <w:rPr>
                <w:sz w:val="14"/>
                <w:szCs w:val="14"/>
                <w:color w:val="auto"/>
              </w:rPr>
            </w:pPr>
          </w:p>
        </w:tc>
      </w:tr>
      <w:tr>
        <w:trPr>
          <w:trHeight w:val="129"/>
        </w:trPr>
        <w:tc>
          <w:tcPr>
            <w:tcW w:w="29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40" w:type="dxa"/>
            <w:vAlign w:val="bottom"/>
            <w:gridSpan w:val="11"/>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(in millions of constant Mexican pesos,</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4"/>
        </w:trPr>
        <w:tc>
          <w:tcPr>
            <w:tcW w:w="29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4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83"/>
              </w:rPr>
              <w:t>except for employees and percentages)</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7"/>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83"/>
              </w:rPr>
              <w:t>Ps. 69,251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 39,566</w:t>
            </w:r>
          </w:p>
        </w:tc>
        <w:tc>
          <w:tcPr>
            <w:tcW w:w="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2"/>
              </w:rPr>
              <w:t>4.3%</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Ps. 42,103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740" w:type="dxa"/>
            <w:vAlign w:val="bottom"/>
            <w:gridSpan w:val="2"/>
          </w:tcPr>
          <w:p>
            <w:pPr>
              <w:jc w:val="right"/>
              <w:ind w:right="122"/>
              <w:spacing w:after="0"/>
              <w:rPr>
                <w:sz w:val="20"/>
                <w:szCs w:val="20"/>
                <w:color w:val="auto"/>
              </w:rPr>
            </w:pPr>
            <w:r>
              <w:rPr>
                <w:rFonts w:ascii="Arial" w:cs="Arial" w:eastAsia="Arial" w:hAnsi="Arial"/>
                <w:sz w:val="18"/>
                <w:szCs w:val="18"/>
                <w:color w:val="auto"/>
              </w:rPr>
              <w:t>11,447</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11.7</w:t>
            </w:r>
          </w:p>
        </w:tc>
        <w:tc>
          <w:tcPr>
            <w:tcW w:w="360" w:type="dxa"/>
            <w:vAlign w:val="bottom"/>
          </w:tcPr>
          <w:p>
            <w:pPr>
              <w:spacing w:after="0"/>
              <w:rPr>
                <w:sz w:val="18"/>
                <w:szCs w:val="18"/>
                <w:color w:val="auto"/>
              </w:rPr>
            </w:pPr>
          </w:p>
        </w:tc>
        <w:tc>
          <w:tcPr>
            <w:tcW w:w="1460" w:type="dxa"/>
            <w:vAlign w:val="bottom"/>
            <w:gridSpan w:val="6"/>
          </w:tcPr>
          <w:p>
            <w:pPr>
              <w:jc w:val="right"/>
              <w:ind w:right="80"/>
              <w:spacing w:after="0"/>
              <w:rPr>
                <w:sz w:val="20"/>
                <w:szCs w:val="20"/>
                <w:color w:val="auto"/>
              </w:rPr>
            </w:pPr>
            <w:r>
              <w:rPr>
                <w:rFonts w:ascii="Arial" w:cs="Arial" w:eastAsia="Arial" w:hAnsi="Arial"/>
                <w:sz w:val="18"/>
                <w:szCs w:val="18"/>
                <w:color w:val="auto"/>
              </w:rPr>
              <w:t>5,404   (11.7)</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2,315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7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87,178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65,539</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5.3</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Employees</w:t>
            </w:r>
          </w:p>
        </w:tc>
        <w:tc>
          <w:tcPr>
            <w:tcW w:w="4740" w:type="dxa"/>
            <w:vAlign w:val="bottom"/>
            <w:gridSpan w:val="2"/>
          </w:tcPr>
          <w:p>
            <w:pPr>
              <w:jc w:val="right"/>
              <w:ind w:right="122"/>
              <w:spacing w:after="0"/>
              <w:rPr>
                <w:sz w:val="20"/>
                <w:szCs w:val="20"/>
                <w:color w:val="auto"/>
              </w:rPr>
            </w:pPr>
            <w:r>
              <w:rPr>
                <w:rFonts w:ascii="Arial" w:cs="Arial" w:eastAsia="Arial" w:hAnsi="Arial"/>
                <w:sz w:val="18"/>
                <w:szCs w:val="18"/>
                <w:color w:val="auto"/>
              </w:rPr>
              <w:t>58,122</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40" w:type="dxa"/>
            <w:vAlign w:val="bottom"/>
            <w:gridSpan w:val="2"/>
          </w:tcPr>
          <w:p>
            <w:pPr>
              <w:jc w:val="right"/>
              <w:ind w:right="225"/>
              <w:spacing w:after="0"/>
              <w:rPr>
                <w:sz w:val="20"/>
                <w:szCs w:val="20"/>
                <w:color w:val="auto"/>
              </w:rPr>
            </w:pPr>
            <w:r>
              <w:rPr>
                <w:rFonts w:ascii="Arial" w:cs="Arial" w:eastAsia="Arial" w:hAnsi="Arial"/>
                <w:sz w:val="18"/>
                <w:szCs w:val="18"/>
                <w:color w:val="auto"/>
              </w:rPr>
              <w:t>21,748</w:t>
            </w:r>
          </w:p>
        </w:tc>
        <w:tc>
          <w:tcPr>
            <w:tcW w:w="20" w:type="dxa"/>
            <w:vAlign w:val="bottom"/>
          </w:tcPr>
          <w:p>
            <w:pPr>
              <w:spacing w:after="0"/>
              <w:rPr>
                <w:sz w:val="19"/>
                <w:szCs w:val="19"/>
                <w:color w:val="auto"/>
              </w:rPr>
            </w:pPr>
          </w:p>
        </w:tc>
        <w:tc>
          <w:tcPr>
            <w:tcW w:w="400" w:type="dxa"/>
            <w:vAlign w:val="bottom"/>
            <w:gridSpan w:val="3"/>
          </w:tcPr>
          <w:p>
            <w:pPr>
              <w:ind w:left="40"/>
              <w:spacing w:after="0"/>
              <w:rPr>
                <w:sz w:val="20"/>
                <w:szCs w:val="20"/>
                <w:color w:val="auto"/>
              </w:rPr>
            </w:pPr>
            <w:r>
              <w:rPr>
                <w:rFonts w:ascii="Arial" w:cs="Arial" w:eastAsia="Arial" w:hAnsi="Arial"/>
                <w:sz w:val="18"/>
                <w:szCs w:val="18"/>
                <w:color w:val="auto"/>
                <w:w w:val="82"/>
              </w:rPr>
              <w:t>1.9%</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15,824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38.2%</w:t>
            </w:r>
          </w:p>
        </w:tc>
      </w:tr>
      <w:tr>
        <w:trPr>
          <w:trHeight w:val="554"/>
        </w:trPr>
        <w:tc>
          <w:tcPr>
            <w:tcW w:w="2900" w:type="dxa"/>
            <w:vAlign w:val="bottom"/>
          </w:tcPr>
          <w:p>
            <w:pPr>
              <w:spacing w:after="0"/>
              <w:rPr>
                <w:sz w:val="24"/>
                <w:szCs w:val="24"/>
                <w:color w:val="auto"/>
              </w:rPr>
            </w:pPr>
          </w:p>
        </w:tc>
        <w:tc>
          <w:tcPr>
            <w:tcW w:w="4740" w:type="dxa"/>
            <w:vAlign w:val="bottom"/>
            <w:gridSpan w:val="2"/>
          </w:tcPr>
          <w:p>
            <w:pPr>
              <w:jc w:val="right"/>
              <w:ind w:right="362"/>
              <w:spacing w:after="0"/>
              <w:rPr>
                <w:sz w:val="20"/>
                <w:szCs w:val="20"/>
                <w:color w:val="auto"/>
              </w:rPr>
            </w:pPr>
            <w:r>
              <w:rPr>
                <w:rFonts w:ascii="Arial" w:cs="Arial" w:eastAsia="Arial" w:hAnsi="Arial"/>
                <w:sz w:val="18"/>
                <w:szCs w:val="18"/>
                <w:b w:val="1"/>
                <w:bCs w:val="1"/>
                <w:color w:val="auto"/>
              </w:rPr>
              <w:t>Total Revenues Summary by Segment</w:t>
            </w:r>
            <w:r>
              <w:rPr>
                <w:rFonts w:ascii="Arial" w:cs="Arial" w:eastAsia="Arial" w:hAnsi="Arial"/>
                <w:sz w:val="22"/>
                <w:szCs w:val="22"/>
                <w:b w:val="1"/>
                <w:bCs w:val="1"/>
                <w:color w:val="auto"/>
                <w:vertAlign w:val="superscript"/>
              </w:rPr>
              <w:t>(1)</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4"/>
        </w:trPr>
        <w:tc>
          <w:tcPr>
            <w:tcW w:w="29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Borders>
              <w:bottom w:val="single" w:sz="8" w:color="auto"/>
            </w:tcBorders>
            <w:gridSpan w:val="9"/>
          </w:tcPr>
          <w:p>
            <w:pPr>
              <w:jc w:val="center"/>
              <w:ind w:left="525"/>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42"/>
        </w:trPr>
        <w:tc>
          <w:tcPr>
            <w:tcW w:w="29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242"/>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76"/>
              </w:rPr>
              <w:t>2005</w:t>
            </w:r>
          </w:p>
        </w:tc>
        <w:tc>
          <w:tcPr>
            <w:tcW w:w="140" w:type="dxa"/>
            <w:vAlign w:val="bottom"/>
            <w:tcBorders>
              <w:bottom w:val="single" w:sz="8" w:color="auto"/>
            </w:tcBorders>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gridSpan w:val="2"/>
          </w:tcPr>
          <w:p>
            <w:pPr>
              <w:spacing w:after="0"/>
              <w:rPr>
                <w:sz w:val="12"/>
                <w:szCs w:val="12"/>
                <w:color w:val="auto"/>
              </w:rPr>
            </w:pPr>
          </w:p>
        </w:tc>
        <w:tc>
          <w:tcPr>
            <w:tcW w:w="1960" w:type="dxa"/>
            <w:vAlign w:val="bottom"/>
            <w:gridSpan w:val="8"/>
          </w:tcPr>
          <w:p>
            <w:pPr>
              <w:jc w:val="right"/>
              <w:ind w:right="380"/>
              <w:spacing w:after="0" w:line="142" w:lineRule="exact"/>
              <w:rPr>
                <w:sz w:val="20"/>
                <w:szCs w:val="20"/>
                <w:color w:val="auto"/>
              </w:rPr>
            </w:pPr>
            <w:r>
              <w:rPr>
                <w:rFonts w:ascii="Arial" w:cs="Arial" w:eastAsia="Arial" w:hAnsi="Arial"/>
                <w:sz w:val="14"/>
                <w:szCs w:val="14"/>
                <w:b w:val="1"/>
                <w:bCs w:val="1"/>
                <w:color w:val="auto"/>
                <w:w w:val="84"/>
              </w:rPr>
              <w:t>of constant Mexican pesos)</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3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Ps.  69,251</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6"/>
              </w:rPr>
              <w:t>Ps.</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64,046</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6"/>
              </w:rPr>
              <w:t>Ps.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59,642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FEMSA Cerveza</w:t>
            </w:r>
          </w:p>
        </w:tc>
        <w:tc>
          <w:tcPr>
            <w:tcW w:w="3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39,566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37,919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29,768</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3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Other</w:t>
            </w:r>
          </w:p>
        </w:tc>
        <w:tc>
          <w:tcPr>
            <w:tcW w:w="3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6,485</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3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Ps. 147,556</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3"/>
              </w:rPr>
              <w:t>Ps. 136,120</w:t>
            </w:r>
          </w:p>
        </w:tc>
        <w:tc>
          <w:tcPr>
            <w:tcW w:w="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83"/>
              </w:rPr>
              <w:t>Ps. 119,462</w:t>
            </w:r>
          </w:p>
        </w:tc>
      </w:tr>
      <w:tr>
        <w:trPr>
          <w:trHeight w:val="560"/>
        </w:trPr>
        <w:tc>
          <w:tcPr>
            <w:tcW w:w="2900" w:type="dxa"/>
            <w:vAlign w:val="bottom"/>
          </w:tcPr>
          <w:p>
            <w:pPr>
              <w:spacing w:after="0"/>
              <w:rPr>
                <w:sz w:val="24"/>
                <w:szCs w:val="24"/>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 Revenues Summary by Geographic Region</w:t>
            </w:r>
            <w:r>
              <w:rPr>
                <w:rFonts w:ascii="Arial" w:cs="Arial" w:eastAsia="Arial" w:hAnsi="Arial"/>
                <w:sz w:val="22"/>
                <w:szCs w:val="22"/>
                <w:b w:val="1"/>
                <w:bCs w:val="1"/>
                <w:color w:val="auto"/>
                <w:vertAlign w:val="superscript"/>
              </w:rPr>
              <w:t>(2)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4"/>
        </w:trPr>
        <w:tc>
          <w:tcPr>
            <w:tcW w:w="29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Borders>
              <w:bottom w:val="single" w:sz="8" w:color="auto"/>
            </w:tcBorders>
            <w:gridSpan w:val="9"/>
          </w:tcPr>
          <w:p>
            <w:pPr>
              <w:jc w:val="center"/>
              <w:ind w:left="525"/>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42"/>
        </w:trPr>
        <w:tc>
          <w:tcPr>
            <w:tcW w:w="29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242"/>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76"/>
              </w:rPr>
              <w:t>2005</w:t>
            </w:r>
          </w:p>
        </w:tc>
        <w:tc>
          <w:tcPr>
            <w:tcW w:w="140" w:type="dxa"/>
            <w:vAlign w:val="bottom"/>
            <w:tcBorders>
              <w:bottom w:val="single" w:sz="8" w:color="auto"/>
            </w:tcBorders>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gridSpan w:val="2"/>
          </w:tcPr>
          <w:p>
            <w:pPr>
              <w:spacing w:after="0"/>
              <w:rPr>
                <w:sz w:val="12"/>
                <w:szCs w:val="12"/>
                <w:color w:val="auto"/>
              </w:rPr>
            </w:pPr>
          </w:p>
        </w:tc>
        <w:tc>
          <w:tcPr>
            <w:tcW w:w="1960" w:type="dxa"/>
            <w:vAlign w:val="bottom"/>
            <w:gridSpan w:val="8"/>
          </w:tcPr>
          <w:p>
            <w:pPr>
              <w:jc w:val="right"/>
              <w:ind w:right="380"/>
              <w:spacing w:after="0" w:line="142" w:lineRule="exact"/>
              <w:rPr>
                <w:sz w:val="20"/>
                <w:szCs w:val="20"/>
                <w:color w:val="auto"/>
              </w:rPr>
            </w:pPr>
            <w:r>
              <w:rPr>
                <w:rFonts w:ascii="Arial" w:cs="Arial" w:eastAsia="Arial" w:hAnsi="Arial"/>
                <w:sz w:val="14"/>
                <w:szCs w:val="14"/>
                <w:b w:val="1"/>
                <w:bCs w:val="1"/>
                <w:color w:val="auto"/>
                <w:w w:val="84"/>
              </w:rPr>
              <w:t>of constant Mexican pesos)</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Ps. 106,136</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6"/>
              </w:rPr>
              <w:t>Ps.</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99,310</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6"/>
              </w:rPr>
              <w:t>Ps.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90,561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Central America</w:t>
            </w:r>
          </w:p>
        </w:tc>
        <w:tc>
          <w:tcPr>
            <w:tcW w:w="3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4,022</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3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6,147</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Venezuela</w:t>
            </w:r>
          </w:p>
        </w:tc>
        <w:tc>
          <w:tcPr>
            <w:tcW w:w="3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7,188</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3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8,433</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Argentina</w:t>
            </w:r>
          </w:p>
        </w:tc>
        <w:tc>
          <w:tcPr>
            <w:tcW w:w="3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3,256</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3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Ps. 147,556</w:t>
            </w: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w w:val="93"/>
              </w:rPr>
              <w:t>Ps. 136,120</w:t>
            </w:r>
          </w:p>
        </w:tc>
        <w:tc>
          <w:tcPr>
            <w:tcW w:w="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83"/>
              </w:rPr>
              <w:t>Ps. 119,462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0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financial data for each of our segments and percentages with respect thereto differ from our consolidated financial information due to intercompany transactions, which are eliminated in consolidation, and certain assets and activities of FEMSA.</w:t>
      </w:r>
    </w:p>
    <w:p>
      <w:pPr>
        <w:spacing w:after="0" w:line="5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financial data for each geographic region differs from our consolidated financial information due to intercompany transactions, which are eliminated in consolidation.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significant subsidiaries as of May 31, 2008:</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5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Name of Company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Establishment</w:t>
            </w:r>
          </w:p>
        </w:tc>
        <w:tc>
          <w:tcPr>
            <w:tcW w:w="5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CIBSA</w:t>
            </w:r>
            <w:r>
              <w:rPr>
                <w:rFonts w:ascii="Arial" w:cs="Arial" w:eastAsia="Arial" w:hAnsi="Arial"/>
                <w:sz w:val="22"/>
                <w:szCs w:val="22"/>
                <w:color w:val="auto"/>
                <w:vertAlign w:val="superscript"/>
              </w:rPr>
              <w:t>(1)</w:t>
            </w:r>
          </w:p>
        </w:tc>
        <w:tc>
          <w:tcPr>
            <w:tcW w:w="7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line="217" w:lineRule="exact"/>
              <w:rPr>
                <w:sz w:val="20"/>
                <w:szCs w:val="20"/>
                <w:color w:val="auto"/>
              </w:rPr>
            </w:pPr>
            <w:r>
              <w:rPr>
                <w:rFonts w:ascii="Arial" w:cs="Arial" w:eastAsia="Arial" w:hAnsi="Arial"/>
                <w:sz w:val="18"/>
                <w:szCs w:val="18"/>
                <w:b w:val="1"/>
                <w:bCs w:val="1"/>
                <w:color w:val="auto"/>
              </w:rPr>
              <w:t>Coca-Cola FEMSA</w:t>
            </w:r>
            <w:r>
              <w:rPr>
                <w:rFonts w:ascii="Arial" w:cs="Arial" w:eastAsia="Arial" w:hAnsi="Arial"/>
                <w:sz w:val="22"/>
                <w:szCs w:val="22"/>
                <w:color w:val="auto"/>
                <w:vertAlign w:val="superscript"/>
              </w:rPr>
              <w:t>(2)</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Controladora Interamericana de Bebidas, S.A. de C.V.</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Panamco México, S.A. de C.V.</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Refrescos Latinoamericanos, S.A. de C.V. .</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Emprex Cerveza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Desarrollo Comercial FEMSA, S.A. de C.V.</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FEMSA Cerveza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Cervezas Cuauhtémoc Moctezuma, S.A. de C.V.</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Grupo Cuauhtémoc Moctezuma, S.A. de C.V.</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Mexico</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Compañía Internacional de Bebidas, S.A. de C.V., which we refer to as CIBSA.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 of capital stock. FEMSA owns 63.0% of the capital stock with full voting rights.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beverage company. Our soft drink operation, Coca-Cola FEMSA, is the largest bottler of Coca-Cola products in Latin America and the second largest in the world, measured in terms of sales volumes in 2007, and our brewing operation, FEMSA Cerveza, is both a significant competitor in the Mexican and Brazilian beer markets as well as an exporter in key international markets including the United States. Coca-Cola FEMSA and FEMSA Cerveza are our core businesses, which together define our identity and represent the avenues for our future growth. Our beverage businesses are enhanced by OXXO, the largest convenience store chain in Mexico measured in terms of number of stores at December 31, 2007 and a significant growth driver in its own right.</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beverage company, we understand the importance of connecting with our end consumers by interpreting their needs, and ultimately delivering the right products to them for the right occasions. We strive to achieve this by developing the value of our brands, expanding our significant distribution capabilities, including aligning our interests with those at our third-party distribution partners in the beer market in Mexico, which in some instances involve us acquiring these third-party partners, and improving the efficiency of our operations. We continue to improve our information gathering and processing systems in order to better know and understand what our consumers want and need, and we are improving our production and distribution by more efficiently leveraging our asset base.</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that the competencies that our businesses have developed can be replicated in other geographic regions. This underlying principle guided our consolidation efforts, which culminated in Coca-Cola FEMSA’s acquisition of Panamco on May 6, 2003. The continental platform that this new combination produces—encompassing a significant territorial expanse in Mexico and Central America, including some of the most populous metropolitan areas in Latin America—we believe may provide us with opportunities to create value through both an improved ability to execute our strategies and the use of superior marketing tools.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ultimate objectives are achieving sustainable revenue growth, improving profitability and increasing the return on invested capital in each of our operations. We believe that by achieving these goals we will create sustainable value for our shareholders.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and the second largest in the world, calculated in each case by sales volume in 2007. Coca-Cola FEMSA operates in the following territories:</w:t>
      </w:r>
    </w:p>
    <w:p>
      <w:pPr>
        <w:spacing w:after="0" w:line="5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Mexico – a substantial portion of central Mexico (including Mexico City) and southeast Mexico (including the Gulf region).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Central America – Guatemala (Guatemala City and surrounding areas), Nicaragua (nationwide), Costa Rica (nationwide) and Panama (nationwide).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Colombia – most of the country.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Venezuela – nationwide.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Argentina – Buenos Aires and surrounding areas.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Brazil – the area of greater São Paulo, Campinas, Santos, the state of Mato Grosso do Sul and part of the state of Goiás.</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Coca-Cola FEMSA was organized on October 30, 1991 as a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(a variable capital stock corporation) under the laws of Mexico with a duration of 99 years. On December 5, 2006, in response to amendments to the Mexican Securities Law, Coca-Cola FEMSA became a </w:t>
      </w:r>
      <w:r>
        <w:rPr>
          <w:rFonts w:ascii="Arial" w:cs="Arial" w:eastAsia="Arial" w:hAnsi="Arial"/>
          <w:sz w:val="16"/>
          <w:szCs w:val="16"/>
          <w:i w:val="1"/>
          <w:iCs w:val="1"/>
          <w:color w:val="auto"/>
        </w:rPr>
        <w:t>sociedad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anónima bursátil de capital variable </w:t>
      </w:r>
      <w:r>
        <w:rPr>
          <w:rFonts w:ascii="Arial" w:cs="Arial" w:eastAsia="Arial" w:hAnsi="Arial"/>
          <w:sz w:val="16"/>
          <w:szCs w:val="16"/>
          <w:color w:val="auto"/>
        </w:rPr>
        <w:t>(a variable capital listed stock corporation). Coca-Cola FEMSA’s principal executive offices are located at Guillermo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González Camarena No. 600, Col. Centro de Ciudad Santa Fé, Delegación Álvaro Obregón, México, D.F., 01210, México. Coca-Cola FEMSA’s telephone number at this location is (52-55) 5081-5100. Coca-Cola FEMSA’s website is </w:t>
      </w:r>
      <w:r>
        <w:rPr>
          <w:rFonts w:ascii="Arial" w:cs="Arial" w:eastAsia="Arial" w:hAnsi="Arial"/>
          <w:sz w:val="16"/>
          <w:szCs w:val="16"/>
          <w:u w:val="single" w:color="auto"/>
          <w:color w:val="auto"/>
        </w:rPr>
        <w:t>www.coca-colafemsa.com</w:t>
      </w:r>
      <w:r>
        <w:rPr>
          <w:rFonts w:ascii="Arial" w:cs="Arial" w:eastAsia="Arial" w:hAnsi="Arial"/>
          <w:sz w:val="16"/>
          <w:szCs w:val="16"/>
          <w:color w:val="auto"/>
        </w:rPr>
        <w: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overview of Coca-Cola FEMSA’s operations by segment in 2007: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by Segment—Overview</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r>
        <w:rPr>
          <w:rFonts w:ascii="Arial" w:cs="Arial" w:eastAsia="Arial" w:hAnsi="Arial"/>
          <w:sz w:val="22"/>
          <w:szCs w:val="22"/>
          <w:b w:val="1"/>
          <w:bCs w:val="1"/>
          <w:color w:val="auto"/>
          <w:vertAlign w:val="superscript"/>
        </w:rPr>
        <w:t>(1)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70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Income from</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Income from</w:t>
            </w:r>
          </w:p>
        </w:tc>
      </w:tr>
      <w:tr>
        <w:trPr>
          <w:trHeight w:val="161"/>
        </w:trPr>
        <w:tc>
          <w:tcPr>
            <w:tcW w:w="70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4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 Revenues</w:t>
            </w:r>
          </w:p>
        </w:tc>
        <w:tc>
          <w:tcPr>
            <w:tcW w:w="4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4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Operations</w:t>
            </w:r>
          </w:p>
        </w:tc>
        <w:tc>
          <w:tcPr>
            <w:tcW w:w="20" w:type="dxa"/>
            <w:vAlign w:val="bottom"/>
          </w:tcPr>
          <w:p>
            <w:pPr>
              <w:spacing w:after="0"/>
              <w:rPr>
                <w:sz w:val="14"/>
                <w:szCs w:val="14"/>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1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3"/>
              </w:rPr>
              <w:t>Ps. 32,550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Ps.  6,569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Central America</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4,808</w:t>
            </w: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715</w:t>
            </w: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Venezuela</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9,785</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572</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Brazil</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11,141</w:t>
            </w: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1,857</w:t>
            </w: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Expressed in millions of Mexican pesos, except for percentages.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1979, one of our subsidiaries acquired certain soft drink bottlers that are now a part of its company. At that time, the acquired bottlers had 13 Mexican distribution centers operating 701 distribution routes, and their production capacity was 83 million physical cases. In 1991, FEMSA transferred its ownership in the bottlers to FEMSA Refrescos, S.A. de C.V., the corporate predecessor to Coca-Cola FEMSA, S.A.B. de C.V.</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June 1993, a subsidiary of The Coca-Cola Company subscribed for 30% of Coca-Cola FEMSA capital stock in the form of Series D Shares for US$ 195 million. In September 1993, FEMSA sold Series L Shares that represented 19% of Coca-Cola FEMSA’s capital stock to the public, and Coca-Cola FEMSA listed these shares on the Mexican Stock Exchange and, in the form of ADSs, on the New York Stock Exchange. In a series of transactions between 1994 and 1997, Coca-Cola FEMSA acquired territories in Argentina and additional territories in southern Mexico.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In May 2003, Coca-Cola FEMSA acquired Panamco and began producing and distributing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additional territories in the central and the gulf regions of Mexico and in Central America (Guatemala, Nicaragua, Costa Rica and Panama), Colombia, Venezuela and Brazil, along with bottled water, beer and other beverages in some of these territories. As a result of the acquisition, the interest of The Coca-Cola Company in the capital stock of its company increased from 30% to 39.6%.</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August 2004, Coca-Cola FEMSA conducted a rights offering to allow existing holders of its Series L Shares and ADSs to acquire newly-issued Series L Shares in the form of Series L Shares and ADSs, respectively, at the same price per share at which ourselves and The Coca-Cola Company subscribed in connection with the Panamco acquisition. On March 8, 2006, its shareholders approved the non-cancellation of the 98,684,857 Series L Shares (equivalent to approximately 9.87 million ADSs, or over one-third of the outstanding Series L Shares) that were not subscribed for in the rights offering which are available for issuance at an issuance price of no less than US$ 2.216 per share or its equivalent in Mexican currency.</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November 3, 2006, we acquired, through a subsidiary, 148,000,000 of Coca-Cola FEMSA Series D Shares from certain subsidiaries of The Coca-Cola Company representing 9.4% of the total outstanding voting shares and 8.0% of the total outstanding equity, at a price of US$ 2.888 per share for an aggregate amount of US$ 427.4 million. With this purchase, we increased our ownership to 53.7% of Coca-Cola FEMSA capital stock. Pursuant to Coca-Cola FEMSA bylaws, the acquired shares were converted from Series D Shares to Series A Shares.</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 November 8, 2007, a Mexican company owned directly or indirectly by Coca-Cola FEMSA and The Coca-Cola Company, acquired 100% of the shares of capital stock of Jugos del Valle. See “Item 4. The Company—Jugos del Valle Acquisition.”</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May 30, 2008, Coca-Cola FEMSA entered into a purchase agreement with The Coca-Cola Company to acquire its wholly owned bottling franchise located in the state of Minas Gerais (Refrigerantes Minas Gerais Ltda., or REMIL) in Brazil.</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December 21, 2007 and on May 30, 2008, Coca-Cola FEMSA sold most of its proprietary brands to The Coca-Cola Company. These trademarks are now being licensed to Coca-Cola FEMSA by The Coca-Cola Company.</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March 31, 2008, we indirectly owned Series A Shares equal to 53.7% of Coca-Cola FEMSA capital stock (63.0% of its capital stock with full voting rights), and The Coca-Cola Company indirectly owned Series D Shares equal to 31.6% of the capital stock of Coca-Cola FEMSA (37.0% of Coca-Cola FEMSA’s capital stock with full voting rights). Series L Shares with limited voting rights, which trade on the Mexican Stock Exchange and in the form of ADSs on the New York Stock Exchange, constitute the remaining 14.7% of Coca-Cola FEMSA’s capital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in terms of total sales volume in 2007, with operations in Mexico, Guatemala, Nicaragua, Costa Rica, Panama, Colombia, Venezuela, Argentina and Brazil. While its corporate headquarters are in Mexico City, it has established divisional headquarters in the following three regions:</w:t>
      </w:r>
    </w:p>
    <w:p>
      <w:pPr>
        <w:spacing w:after="0" w:line="5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Mexico with headquarters in Mexico City;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Latincentro (covering territories in Guatemala, Nicaragua, Costa Rica, Panama, Colombia and Venezuela) with headquarters in San José, Costa Rica;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Mercosur (covering territories in Argentina and Brazil) with headquarters in São Paulo, Brazil.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Coca-Cola FEMSA seeks to provide its shareholders with an attractive return on their investment by increasing its profitability. The key factors in achieving profitability are increasing its revenues by (1) implementing multi-segmentation strategies in its major markets to target distinct market clusters divided by competitive intensity and socioeconomic levels; (2) implementing well-planned product, packaging and pricing strategies through channel distribution; and (3) achieving operational efficiencies throughout its company. To achieve these goals Coca-Cola FEMSA continues its efforts in:</w:t>
      </w:r>
    </w:p>
    <w:p>
      <w:pPr>
        <w:spacing w:after="0" w:line="32" w:lineRule="exact"/>
        <w:rPr>
          <w:sz w:val="20"/>
          <w:szCs w:val="20"/>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with The Coca-Cola Company to develop a business model to continue exploring new lines of beverages, extend existing product lines, participate in new beverage segments and effectively advertise and market its products;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developing and expanding its still beverage portfolio through strategic acquisitions and by entering into joint ventures with The Coca-Cola Company;</w:t>
      </w:r>
    </w:p>
    <w:p>
      <w:pPr>
        <w:spacing w:after="0" w:line="113"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implementing packaging strategies designed to increase consumer demand for its products and to build a strong returnable base for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selectively;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replicating its best practices throughout the whole value chain;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rationalizing and adapting its organizational and asset structure in order to be in a better position to respond to a changing competitive environment;</w:t>
      </w:r>
    </w:p>
    <w:p>
      <w:pPr>
        <w:spacing w:after="0" w:line="113"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strengthening its selling capabilities and go-to-market strategies, including pre-sale, conventional selling and hybrid routes, in order to get closer to its clients and help them satisfy the beverage needs of consumers;</w:t>
      </w:r>
    </w:p>
    <w:p>
      <w:pPr>
        <w:spacing w:after="0" w:line="50" w:lineRule="exact"/>
        <w:rPr>
          <w:rFonts w:ascii="Arial" w:cs="Arial" w:eastAsia="Arial" w:hAnsi="Arial"/>
          <w:sz w:val="18"/>
          <w:szCs w:val="18"/>
          <w:color w:val="auto"/>
        </w:rPr>
      </w:pPr>
    </w:p>
    <w:p>
      <w:pPr>
        <w:ind w:left="460" w:right="8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its bottled water strategy, in conjunction with The Coca-Cola Company through innovation and selective acquisitions to maximize its profitability across its market territories;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committing to building a multi-cultural collaborative team, from top to bottom;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to expand its geographical footprint.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Coca-Cola FEMSA seeks to increase per capita consumption of soft drinks in the territories in which it operates. To that end, its marketing teams continuously develop sales strategies tailored to the different characteristics of its various territories and channels. Coca-Cola FEMSA continues to develop its product portfolio to better meet market demand and maintain its overall profitability. To stimulate and respond to consumer demand, it continues to introduce new products and new presentations. See “—Product and Packaging Mix.” It also seeks to increase placement of refrigeration equipment, including promotional displays, in retail outlets in order to showcase and promote its products. In addition, because it views its relationship with The Coca-Cola Company as integral to its business strategy, it uses market information systems and strategies developed with The Coca-Cola Company to improve its coordination with the worldwide marketing efforts of The Coca-Cola Company. See “—Marketing—Channel Marketing.”</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Coca-Cola FEMSA seeks to rationalize its manufacturing and distribution capacity to improve the efficiency of its operations. In 2003 and 2004, as part of the integration process from its acquisition of Panamco, Coca-Cola FEMSA closed several under-utilized manufacturing centers and shifted distribution activities to other existing facilities. In each of 2005, 2006 and 2007, Coca-Cola FEMSA closed additional distribution centers. See “—Description of Property, Plant and Equipment.” In each of its facilities, Coca-Cola FEMSA seeks to increase productivity in its facilities through infrastructure and process reengineering for improved asset utilization. Its capital expenditure program includes investments in production and distribution facilities, bottles, cases, coolers and information systems. Coca-Cola FEMSA believes that this program will allow it to maintain its capacity and flexibility to innovate and to respond to consumer demand for non-alcoholic beverages.</w:t>
      </w:r>
    </w:p>
    <w:p>
      <w:pPr>
        <w:spacing w:after="0" w:line="14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Finally, Coca-Cola FEMSA focuses on management quality as a key element of its growth strategies and remains committed to fostering the development of quality management at all levels. Both The Coca-Cola Company and we provide Coca-Cola FEMSA with managerial experience. To build upon these skills, Coca-Cola FEMSA also offers management training programs designed to enhance its executives’ abilities and exchange experiences, know-how and talent among an increasing number of multinational executives from its new and existing territories.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Markets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map shows the locations of Coca-Cola FEMSA’s territories, giving estimates in each case of the population to which it offers products, the number of retailers of its sparkling beverages and the per capita consumption of its sparkling beverages: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140335</wp:posOffset>
            </wp:positionV>
            <wp:extent cx="5574030" cy="3867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4030" cy="386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Per capita consumption data for a territory is determined by dividing sparkling beverage sales volume within the territory (in bottles, cans, and fountain containers) by the estimated population within such territory, and is expressed on the basis of the number of eight-ounce servings of Coca-Cola FEMSA products consumed annually per capita. In evaluating the development of local volume sales in its territories, Coca-Cola FEMSA and The Coca-Cola Company measure, among other factors, the per capita consumption of its sparkling beverages.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Products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Coca-Cola FEMSA produces, markets and distributes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proprietary brands and brands licensed from third parties. The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 include colas, flavored sparkling beverages, water and still beverages in other categories such as juice drinks and isotonics.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2007, Coca-Cola FEMSA sold certain of its proprietary brands to The Coca-Cola Company. The following table sets forth its main brands as of March 31, 2008: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Mexico</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Central</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Colas: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America</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Colombia</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Venezuela</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89"/>
              </w:rPr>
              <w:t>Brazil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Argentina</w:t>
            </w:r>
          </w:p>
        </w:tc>
        <w:tc>
          <w:tcPr>
            <w:tcW w:w="0" w:type="dxa"/>
            <w:vAlign w:val="bottom"/>
          </w:tcPr>
          <w:p>
            <w:pPr>
              <w:spacing w:after="0"/>
              <w:rPr>
                <w:sz w:val="1"/>
                <w:szCs w:val="1"/>
                <w:color w:val="auto"/>
              </w:rPr>
            </w:pP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w w:val="85"/>
              </w:rPr>
              <w:t>Coca</w:t>
            </w:r>
          </w:p>
        </w:tc>
        <w:tc>
          <w:tcPr>
            <w:tcW w:w="2420" w:type="dxa"/>
            <w:vAlign w:val="bottom"/>
            <w:gridSpan w:val="5"/>
          </w:tcPr>
          <w:p>
            <w:pPr>
              <w:spacing w:after="0" w:line="201" w:lineRule="exact"/>
              <w:rPr>
                <w:sz w:val="20"/>
                <w:szCs w:val="20"/>
                <w:color w:val="auto"/>
              </w:rPr>
            </w:pPr>
            <w:r>
              <w:rPr>
                <w:rFonts w:ascii="Arial" w:cs="Arial" w:eastAsia="Arial" w:hAnsi="Arial"/>
                <w:sz w:val="18"/>
                <w:szCs w:val="18"/>
                <w:i w:val="1"/>
                <w:iCs w:val="1"/>
                <w:color w:val="auto"/>
              </w:rPr>
              <w:t>-Cola</w:t>
            </w: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color w:val="auto"/>
                <w:w w:val="79"/>
              </w:rPr>
              <w:t>ü</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79"/>
              </w:rPr>
              <w:t>ü</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jc w:val="center"/>
              <w:ind w:right="20"/>
              <w:spacing w:after="0" w:line="201" w:lineRule="exact"/>
              <w:rPr>
                <w:sz w:val="20"/>
                <w:szCs w:val="20"/>
                <w:color w:val="auto"/>
              </w:rPr>
            </w:pPr>
            <w:r>
              <w:rPr>
                <w:rFonts w:ascii="Arial" w:cs="Arial" w:eastAsia="Arial" w:hAnsi="Arial"/>
                <w:sz w:val="18"/>
                <w:szCs w:val="18"/>
                <w:color w:val="auto"/>
                <w:w w:val="79"/>
              </w:rPr>
              <w:t>ü</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center"/>
              <w:ind w:right="20"/>
              <w:spacing w:after="0" w:line="201" w:lineRule="exact"/>
              <w:rPr>
                <w:sz w:val="20"/>
                <w:szCs w:val="20"/>
                <w:color w:val="auto"/>
              </w:rPr>
            </w:pPr>
            <w:r>
              <w:rPr>
                <w:rFonts w:ascii="Arial" w:cs="Arial" w:eastAsia="Arial" w:hAnsi="Arial"/>
                <w:sz w:val="18"/>
                <w:szCs w:val="18"/>
                <w:color w:val="auto"/>
                <w:w w:val="99"/>
              </w:rPr>
              <w:t>ü</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center"/>
              <w:ind w:right="20"/>
              <w:spacing w:after="0" w:line="201" w:lineRule="exact"/>
              <w:rPr>
                <w:sz w:val="20"/>
                <w:szCs w:val="20"/>
                <w:color w:val="auto"/>
              </w:rPr>
            </w:pPr>
            <w:r>
              <w:rPr>
                <w:rFonts w:ascii="Arial" w:cs="Arial" w:eastAsia="Arial" w:hAnsi="Arial"/>
                <w:sz w:val="18"/>
                <w:szCs w:val="18"/>
                <w:color w:val="auto"/>
                <w:w w:val="99"/>
              </w:rPr>
              <w:t>ü</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Coca-Cola light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ü</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center"/>
              <w:ind w:right="100"/>
              <w:spacing w:after="0"/>
              <w:rPr>
                <w:sz w:val="20"/>
                <w:szCs w:val="20"/>
                <w:color w:val="auto"/>
              </w:rPr>
            </w:pPr>
            <w:r>
              <w:rPr>
                <w:rFonts w:ascii="Arial" w:cs="Arial" w:eastAsia="Arial" w:hAnsi="Arial"/>
                <w:sz w:val="18"/>
                <w:szCs w:val="18"/>
                <w:color w:val="auto"/>
                <w:w w:val="79"/>
              </w:rPr>
              <w:t>ü</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8"/>
                <w:szCs w:val="18"/>
                <w:color w:val="auto"/>
                <w:w w:val="79"/>
              </w:rPr>
              <w:t>ü</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ü</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900"/>
              <w:spacing w:after="0"/>
              <w:rPr>
                <w:sz w:val="20"/>
                <w:szCs w:val="20"/>
                <w:color w:val="auto"/>
              </w:rPr>
            </w:pPr>
            <w:r>
              <w:rPr>
                <w:rFonts w:ascii="Arial" w:cs="Arial" w:eastAsia="Arial" w:hAnsi="Arial"/>
                <w:sz w:val="18"/>
                <w:szCs w:val="18"/>
                <w:color w:val="auto"/>
                <w:w w:val="99"/>
              </w:rPr>
              <w:t>ü</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22"/>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Coca-Cola Zero</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ü</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8"/>
                <w:szCs w:val="18"/>
                <w:color w:val="auto"/>
                <w:w w:val="79"/>
              </w:rPr>
              <w:t>ü</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4"/>
          </w:tcPr>
          <w:p>
            <w:pPr>
              <w:jc w:val="center"/>
              <w:ind w:right="900"/>
              <w:spacing w:after="0"/>
              <w:rPr>
                <w:sz w:val="20"/>
                <w:szCs w:val="20"/>
                <w:color w:val="auto"/>
              </w:rPr>
            </w:pPr>
            <w:r>
              <w:rPr>
                <w:rFonts w:ascii="Arial" w:cs="Arial" w:eastAsia="Arial" w:hAnsi="Arial"/>
                <w:sz w:val="18"/>
                <w:szCs w:val="18"/>
                <w:color w:val="auto"/>
                <w:w w:val="99"/>
              </w:rPr>
              <w:t>ü</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340"/>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Mexico</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Central</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80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Flavored Soft Drinks: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America</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4"/>
              </w:rPr>
              <w:t>Brazil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Argentina</w:t>
            </w:r>
          </w:p>
        </w:tc>
        <w:tc>
          <w:tcPr>
            <w:tcW w:w="0" w:type="dxa"/>
            <w:vAlign w:val="bottom"/>
          </w:tcPr>
          <w:p>
            <w:pPr>
              <w:spacing w:after="0"/>
              <w:rPr>
                <w:sz w:val="1"/>
                <w:szCs w:val="1"/>
                <w:color w:val="auto"/>
              </w:rPr>
            </w:pPr>
          </w:p>
        </w:tc>
      </w:tr>
      <w:tr>
        <w:trPr>
          <w:trHeight w:val="201"/>
        </w:trPr>
        <w:tc>
          <w:tcPr>
            <w:tcW w:w="130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i w:val="1"/>
                <w:iCs w:val="1"/>
                <w:color w:val="auto"/>
              </w:rPr>
              <w:t>Aquarius Fresh</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gridSpan w:val="3"/>
          </w:tcPr>
          <w:p>
            <w:pPr>
              <w:jc w:val="center"/>
              <w:ind w:right="20"/>
              <w:spacing w:after="0" w:line="201" w:lineRule="exact"/>
              <w:rPr>
                <w:sz w:val="20"/>
                <w:szCs w:val="20"/>
                <w:color w:val="auto"/>
              </w:rPr>
            </w:pPr>
            <w:r>
              <w:rPr>
                <w:rFonts w:ascii="Arial" w:cs="Arial" w:eastAsia="Arial" w:hAnsi="Arial"/>
                <w:sz w:val="18"/>
                <w:szCs w:val="18"/>
                <w:color w:val="auto"/>
                <w:w w:val="79"/>
              </w:rPr>
              <w:t>ü</w:t>
            </w:r>
          </w:p>
        </w:tc>
        <w:tc>
          <w:tcPr>
            <w:tcW w:w="8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Chinotto</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Crush</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Fanta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9"/>
              </w:rPr>
              <w:t>ü</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3"/>
          </w:tcPr>
          <w:p>
            <w:pPr>
              <w:jc w:val="center"/>
              <w:ind w:right="220"/>
              <w:spacing w:after="0"/>
              <w:rPr>
                <w:sz w:val="20"/>
                <w:szCs w:val="20"/>
                <w:color w:val="auto"/>
              </w:rPr>
            </w:pPr>
            <w:r>
              <w:rPr>
                <w:rFonts w:ascii="Arial" w:cs="Arial" w:eastAsia="Arial" w:hAnsi="Arial"/>
                <w:sz w:val="18"/>
                <w:szCs w:val="18"/>
                <w:color w:val="auto"/>
                <w:w w:val="79"/>
              </w:rPr>
              <w:t>ü</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880"/>
              <w:spacing w:after="0"/>
              <w:rPr>
                <w:sz w:val="20"/>
                <w:szCs w:val="20"/>
                <w:color w:val="auto"/>
              </w:rPr>
            </w:pPr>
            <w:r>
              <w:rPr>
                <w:rFonts w:ascii="Arial" w:cs="Arial" w:eastAsia="Arial" w:hAnsi="Arial"/>
                <w:sz w:val="18"/>
                <w:szCs w:val="18"/>
                <w:color w:val="auto"/>
                <w:w w:val="79"/>
              </w:rPr>
              <w:t>ü</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Fresca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9"/>
              </w:rPr>
              <w:t>ü</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3"/>
          </w:tcPr>
          <w:p>
            <w:pPr>
              <w:jc w:val="center"/>
              <w:ind w:right="220"/>
              <w:spacing w:after="0"/>
              <w:rPr>
                <w:sz w:val="20"/>
                <w:szCs w:val="20"/>
                <w:color w:val="auto"/>
              </w:rPr>
            </w:pPr>
            <w:r>
              <w:rPr>
                <w:rFonts w:ascii="Arial" w:cs="Arial" w:eastAsia="Arial" w:hAnsi="Arial"/>
                <w:sz w:val="18"/>
                <w:szCs w:val="18"/>
                <w:color w:val="auto"/>
                <w:w w:val="79"/>
              </w:rPr>
              <w:t>ü</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Frescolita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3"/>
          </w:tcPr>
          <w:p>
            <w:pPr>
              <w:jc w:val="center"/>
              <w:ind w:right="220"/>
              <w:spacing w:after="0"/>
              <w:rPr>
                <w:sz w:val="20"/>
                <w:szCs w:val="20"/>
                <w:color w:val="auto"/>
              </w:rPr>
            </w:pPr>
            <w:r>
              <w:rPr>
                <w:rFonts w:ascii="Arial" w:cs="Arial" w:eastAsia="Arial" w:hAnsi="Arial"/>
                <w:sz w:val="18"/>
                <w:szCs w:val="18"/>
                <w:color w:val="auto"/>
                <w:w w:val="79"/>
              </w:rPr>
              <w:t>ü</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Hit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Kuat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880"/>
              <w:spacing w:after="0"/>
              <w:rPr>
                <w:sz w:val="20"/>
                <w:szCs w:val="20"/>
                <w:color w:val="auto"/>
              </w:rPr>
            </w:pPr>
            <w:r>
              <w:rPr>
                <w:rFonts w:ascii="Arial" w:cs="Arial" w:eastAsia="Arial" w:hAnsi="Arial"/>
                <w:sz w:val="18"/>
                <w:szCs w:val="18"/>
                <w:color w:val="auto"/>
                <w:w w:val="79"/>
              </w:rPr>
              <w:t>ü</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Lift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9"/>
              </w:rPr>
              <w:t>ü</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3"/>
          </w:tcPr>
          <w:p>
            <w:pPr>
              <w:jc w:val="center"/>
              <w:ind w:right="220"/>
              <w:spacing w:after="0"/>
              <w:rPr>
                <w:sz w:val="20"/>
                <w:szCs w:val="20"/>
                <w:color w:val="auto"/>
              </w:rPr>
            </w:pPr>
            <w:r>
              <w:rPr>
                <w:rFonts w:ascii="Arial" w:cs="Arial" w:eastAsia="Arial" w:hAnsi="Arial"/>
                <w:sz w:val="18"/>
                <w:szCs w:val="18"/>
                <w:color w:val="auto"/>
                <w:w w:val="79"/>
              </w:rPr>
              <w:t>ü</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line="217" w:lineRule="exact"/>
              <w:rPr>
                <w:sz w:val="20"/>
                <w:szCs w:val="20"/>
                <w:color w:val="auto"/>
              </w:rPr>
            </w:pPr>
            <w:r>
              <w:rPr>
                <w:rFonts w:ascii="Arial" w:cs="Arial" w:eastAsia="Arial" w:hAnsi="Arial"/>
                <w:sz w:val="18"/>
                <w:szCs w:val="18"/>
                <w:i w:val="1"/>
                <w:iCs w:val="1"/>
                <w:color w:val="auto"/>
              </w:rPr>
              <w:t>Mundet</w:t>
            </w:r>
            <w:r>
              <w:rPr>
                <w:rFonts w:ascii="Arial" w:cs="Arial" w:eastAsia="Arial" w:hAnsi="Arial"/>
                <w:sz w:val="22"/>
                <w:szCs w:val="22"/>
                <w:i w:val="1"/>
                <w:iCs w:val="1"/>
                <w:color w:val="auto"/>
                <w:vertAlign w:val="superscript"/>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9"/>
              </w:rPr>
              <w:t>ü</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Quatro</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Simba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880"/>
              <w:spacing w:after="0"/>
              <w:rPr>
                <w:sz w:val="20"/>
                <w:szCs w:val="20"/>
                <w:color w:val="auto"/>
              </w:rPr>
            </w:pPr>
            <w:r>
              <w:rPr>
                <w:rFonts w:ascii="Arial" w:cs="Arial" w:eastAsia="Arial" w:hAnsi="Arial"/>
                <w:sz w:val="18"/>
                <w:szCs w:val="18"/>
                <w:color w:val="auto"/>
                <w:w w:val="79"/>
              </w:rPr>
              <w:t>ü</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Sprite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9"/>
              </w:rPr>
              <w:t>ü</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3"/>
          </w:tcPr>
          <w:p>
            <w:pPr>
              <w:jc w:val="center"/>
              <w:ind w:right="220"/>
              <w:spacing w:after="0"/>
              <w:rPr>
                <w:sz w:val="20"/>
                <w:szCs w:val="20"/>
                <w:color w:val="auto"/>
              </w:rPr>
            </w:pPr>
            <w:r>
              <w:rPr>
                <w:rFonts w:ascii="Arial" w:cs="Arial" w:eastAsia="Arial" w:hAnsi="Arial"/>
                <w:sz w:val="18"/>
                <w:szCs w:val="18"/>
                <w:color w:val="auto"/>
                <w:w w:val="79"/>
              </w:rPr>
              <w:t>ü</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4"/>
          </w:tcPr>
          <w:p>
            <w:pPr>
              <w:jc w:val="center"/>
              <w:ind w:right="880"/>
              <w:spacing w:after="0"/>
              <w:rPr>
                <w:sz w:val="20"/>
                <w:szCs w:val="20"/>
                <w:color w:val="auto"/>
              </w:rPr>
            </w:pPr>
            <w:r>
              <w:rPr>
                <w:rFonts w:ascii="Arial" w:cs="Arial" w:eastAsia="Arial" w:hAnsi="Arial"/>
                <w:sz w:val="18"/>
                <w:szCs w:val="18"/>
                <w:color w:val="auto"/>
                <w:w w:val="79"/>
              </w:rPr>
              <w:t>ü</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340"/>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8"/>
              </w:rPr>
              <w:t>Mexico</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1"/>
              </w:rPr>
              <w:t>Central</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80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Water: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0"/>
              </w:rPr>
              <w:t>America</w:t>
            </w:r>
          </w:p>
        </w:tc>
        <w:tc>
          <w:tcPr>
            <w:tcW w:w="640" w:type="dxa"/>
            <w:vAlign w:val="bottom"/>
          </w:tcPr>
          <w:p>
            <w:pPr>
              <w:spacing w:after="0"/>
              <w:rPr>
                <w:sz w:val="14"/>
                <w:szCs w:val="14"/>
                <w:color w:val="auto"/>
              </w:rPr>
            </w:pPr>
          </w:p>
        </w:tc>
        <w:tc>
          <w:tcPr>
            <w:tcW w:w="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Colombia</w:t>
            </w:r>
          </w:p>
        </w:tc>
        <w:tc>
          <w:tcPr>
            <w:tcW w:w="740" w:type="dxa"/>
            <w:vAlign w:val="bottom"/>
          </w:tcPr>
          <w:p>
            <w:pPr>
              <w:spacing w:after="0"/>
              <w:rPr>
                <w:sz w:val="14"/>
                <w:szCs w:val="14"/>
                <w:color w:val="auto"/>
              </w:rPr>
            </w:pPr>
          </w:p>
        </w:tc>
        <w:tc>
          <w:tcPr>
            <w:tcW w:w="720" w:type="dxa"/>
            <w:vAlign w:val="bottom"/>
            <w:gridSpan w:val="5"/>
          </w:tcPr>
          <w:p>
            <w:pPr>
              <w:spacing w:after="0"/>
              <w:rPr>
                <w:sz w:val="20"/>
                <w:szCs w:val="20"/>
                <w:color w:val="auto"/>
              </w:rPr>
            </w:pPr>
            <w:r>
              <w:rPr>
                <w:rFonts w:ascii="Arial" w:cs="Arial" w:eastAsia="Arial" w:hAnsi="Arial"/>
                <w:sz w:val="14"/>
                <w:szCs w:val="14"/>
                <w:b w:val="1"/>
                <w:bCs w:val="1"/>
                <w:color w:val="auto"/>
              </w:rPr>
              <w:t>Venezuela</w:t>
            </w:r>
          </w:p>
        </w:tc>
        <w:tc>
          <w:tcPr>
            <w:tcW w:w="800" w:type="dxa"/>
            <w:vAlign w:val="bottom"/>
          </w:tcPr>
          <w:p>
            <w:pPr>
              <w:spacing w:after="0"/>
              <w:rPr>
                <w:sz w:val="14"/>
                <w:szCs w:val="14"/>
                <w:color w:val="auto"/>
              </w:rPr>
            </w:pPr>
          </w:p>
        </w:tc>
        <w:tc>
          <w:tcPr>
            <w:tcW w:w="1320" w:type="dxa"/>
            <w:vAlign w:val="bottom"/>
            <w:gridSpan w:val="6"/>
          </w:tcPr>
          <w:p>
            <w:pPr>
              <w:jc w:val="center"/>
              <w:ind w:right="960"/>
              <w:spacing w:after="0"/>
              <w:rPr>
                <w:sz w:val="20"/>
                <w:szCs w:val="20"/>
                <w:color w:val="auto"/>
              </w:rPr>
            </w:pPr>
            <w:r>
              <w:rPr>
                <w:rFonts w:ascii="Arial" w:cs="Arial" w:eastAsia="Arial" w:hAnsi="Arial"/>
                <w:sz w:val="14"/>
                <w:szCs w:val="14"/>
                <w:b w:val="1"/>
                <w:bCs w:val="1"/>
                <w:color w:val="auto"/>
                <w:w w:val="94"/>
              </w:rPr>
              <w:t>Brazil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Argentina</w:t>
            </w:r>
          </w:p>
        </w:tc>
        <w:tc>
          <w:tcPr>
            <w:tcW w:w="0" w:type="dxa"/>
            <w:vAlign w:val="bottom"/>
          </w:tcPr>
          <w:p>
            <w:pPr>
              <w:spacing w:after="0"/>
              <w:rPr>
                <w:sz w:val="1"/>
                <w:szCs w:val="1"/>
                <w:color w:val="auto"/>
              </w:rPr>
            </w:pPr>
          </w:p>
        </w:tc>
      </w:tr>
      <w:tr>
        <w:trPr>
          <w:trHeight w:val="201"/>
        </w:trPr>
        <w:tc>
          <w:tcPr>
            <w:tcW w:w="4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i w:val="1"/>
                <w:iCs w:val="1"/>
                <w:color w:val="auto"/>
                <w:w w:val="75"/>
              </w:rPr>
              <w:t>Alpina</w:t>
            </w:r>
          </w:p>
        </w:tc>
        <w:tc>
          <w:tcPr>
            <w:tcW w:w="64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9"/>
              </w:rPr>
              <w:t>ü</w:t>
            </w:r>
          </w:p>
        </w:tc>
        <w:tc>
          <w:tcPr>
            <w:tcW w:w="2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Ciel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ü</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Crystal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1040"/>
              <w:spacing w:after="0"/>
              <w:rPr>
                <w:sz w:val="20"/>
                <w:szCs w:val="20"/>
                <w:color w:val="auto"/>
              </w:rPr>
            </w:pPr>
            <w:r>
              <w:rPr>
                <w:rFonts w:ascii="Arial" w:cs="Arial" w:eastAsia="Arial" w:hAnsi="Arial"/>
                <w:sz w:val="18"/>
                <w:szCs w:val="18"/>
                <w:color w:val="auto"/>
                <w:w w:val="79"/>
              </w:rPr>
              <w:t>ü</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Manantial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ü</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Santa Clara</w:t>
            </w:r>
            <w:r>
              <w:rPr>
                <w:rFonts w:ascii="Arial" w:cs="Arial" w:eastAsia="Arial" w:hAnsi="Arial"/>
                <w:sz w:val="22"/>
                <w:szCs w:val="22"/>
                <w:i w:val="1"/>
                <w:iCs w:val="1"/>
                <w:color w:val="auto"/>
                <w:vertAlign w:val="superscript"/>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ü</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Mexico</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Central</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80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Other Categories: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America</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Colombia</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Venezuela</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4"/>
              </w:rPr>
              <w:t>Brazil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Argentina</w:t>
            </w:r>
          </w:p>
        </w:tc>
        <w:tc>
          <w:tcPr>
            <w:tcW w:w="0" w:type="dxa"/>
            <w:vAlign w:val="bottom"/>
          </w:tcPr>
          <w:p>
            <w:pPr>
              <w:spacing w:after="0"/>
              <w:rPr>
                <w:sz w:val="1"/>
                <w:szCs w:val="1"/>
                <w:color w:val="auto"/>
              </w:rPr>
            </w:pPr>
          </w:p>
        </w:tc>
      </w:tr>
      <w:tr>
        <w:trPr>
          <w:trHeight w:val="201"/>
        </w:trPr>
        <w:tc>
          <w:tcPr>
            <w:tcW w:w="104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i w:val="1"/>
                <w:iCs w:val="1"/>
                <w:color w:val="auto"/>
              </w:rPr>
              <w:t>Dasani</w:t>
            </w:r>
            <w:r>
              <w:rPr>
                <w:rFonts w:ascii="Arial" w:cs="Arial" w:eastAsia="Arial" w:hAnsi="Arial"/>
                <w:sz w:val="22"/>
                <w:szCs w:val="22"/>
                <w:i w:val="1"/>
                <w:iCs w:val="1"/>
                <w:color w:val="auto"/>
                <w:vertAlign w:val="superscript"/>
              </w:rPr>
              <w:t>(3)</w:t>
            </w:r>
          </w:p>
        </w:tc>
        <w:tc>
          <w:tcPr>
            <w:tcW w:w="17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gridSpan w:val="3"/>
          </w:tcPr>
          <w:p>
            <w:pPr>
              <w:jc w:val="center"/>
              <w:ind w:right="20"/>
              <w:spacing w:after="0" w:line="201" w:lineRule="exact"/>
              <w:rPr>
                <w:sz w:val="20"/>
                <w:szCs w:val="20"/>
                <w:color w:val="auto"/>
              </w:rPr>
            </w:pPr>
            <w:r>
              <w:rPr>
                <w:rFonts w:ascii="Arial" w:cs="Arial" w:eastAsia="Arial" w:hAnsi="Arial"/>
                <w:sz w:val="18"/>
                <w:szCs w:val="18"/>
                <w:color w:val="auto"/>
                <w:w w:val="99"/>
              </w:rPr>
              <w:t>ü</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79"/>
              </w:rPr>
              <w:t>ü</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line="217" w:lineRule="exact"/>
              <w:rPr>
                <w:sz w:val="20"/>
                <w:szCs w:val="20"/>
                <w:color w:val="auto"/>
              </w:rPr>
            </w:pPr>
            <w:r>
              <w:rPr>
                <w:rFonts w:ascii="Arial" w:cs="Arial" w:eastAsia="Arial" w:hAnsi="Arial"/>
                <w:sz w:val="18"/>
                <w:szCs w:val="18"/>
                <w:i w:val="1"/>
                <w:iCs w:val="1"/>
                <w:color w:val="auto"/>
              </w:rPr>
              <w:t>Hi-C</w:t>
            </w:r>
            <w:r>
              <w:rPr>
                <w:rFonts w:ascii="Arial" w:cs="Arial" w:eastAsia="Arial" w:hAnsi="Arial"/>
                <w:sz w:val="22"/>
                <w:szCs w:val="22"/>
                <w:i w:val="1"/>
                <w:iCs w:val="1"/>
                <w:color w:val="auto"/>
                <w:vertAlign w:val="superscript"/>
              </w:rPr>
              <w:t>(4)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ü</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line="217" w:lineRule="exact"/>
              <w:rPr>
                <w:sz w:val="20"/>
                <w:szCs w:val="20"/>
                <w:color w:val="auto"/>
              </w:rPr>
            </w:pPr>
            <w:r>
              <w:rPr>
                <w:rFonts w:ascii="Arial" w:cs="Arial" w:eastAsia="Arial" w:hAnsi="Arial"/>
                <w:sz w:val="18"/>
                <w:szCs w:val="18"/>
                <w:i w:val="1"/>
                <w:iCs w:val="1"/>
                <w:color w:val="auto"/>
              </w:rPr>
              <w:t>Jugos del Valle</w:t>
            </w:r>
            <w:r>
              <w:rPr>
                <w:rFonts w:ascii="Arial" w:cs="Arial" w:eastAsia="Arial" w:hAnsi="Arial"/>
                <w:sz w:val="22"/>
                <w:szCs w:val="22"/>
                <w:i w:val="1"/>
                <w:iCs w:val="1"/>
                <w:color w:val="auto"/>
                <w:vertAlign w:val="superscript"/>
              </w:rPr>
              <w:t>(4)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79"/>
              </w:rPr>
              <w:t>ü</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Nestea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79"/>
              </w:rPr>
              <w:t>ü</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ü</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880"/>
              <w:spacing w:after="0"/>
              <w:rPr>
                <w:sz w:val="20"/>
                <w:szCs w:val="20"/>
                <w:color w:val="auto"/>
              </w:rPr>
            </w:pPr>
            <w:r>
              <w:rPr>
                <w:rFonts w:ascii="Arial" w:cs="Arial" w:eastAsia="Arial" w:hAnsi="Arial"/>
                <w:sz w:val="18"/>
                <w:szCs w:val="18"/>
                <w:color w:val="auto"/>
                <w:w w:val="79"/>
              </w:rPr>
              <w:t>ü</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800" w:type="dxa"/>
            <w:vAlign w:val="bottom"/>
            <w:gridSpan w:val="6"/>
          </w:tcPr>
          <w:p>
            <w:pPr>
              <w:spacing w:after="0"/>
              <w:rPr>
                <w:sz w:val="20"/>
                <w:szCs w:val="20"/>
                <w:color w:val="auto"/>
              </w:rPr>
            </w:pPr>
            <w:r>
              <w:rPr>
                <w:rFonts w:ascii="Arial" w:cs="Arial" w:eastAsia="Arial" w:hAnsi="Arial"/>
                <w:sz w:val="18"/>
                <w:szCs w:val="18"/>
                <w:i w:val="1"/>
                <w:iCs w:val="1"/>
                <w:color w:val="auto"/>
              </w:rPr>
              <w:t>Powerade</w:t>
            </w:r>
            <w:r>
              <w:rPr>
                <w:rFonts w:ascii="Arial" w:cs="Arial" w:eastAsia="Arial" w:hAnsi="Arial"/>
                <w:sz w:val="22"/>
                <w:szCs w:val="22"/>
                <w:i w:val="1"/>
                <w:iCs w:val="1"/>
                <w:color w:val="auto"/>
                <w:vertAlign w:val="superscript"/>
              </w:rPr>
              <w:t>(5)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79"/>
              </w:rPr>
              <w:t>ü</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ü</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79"/>
              </w:rPr>
              <w:t>ü</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licensed from FEMSA.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Proprietary brand.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Flavored no-calorie water. (In Argentina also as still water)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Juice based drink.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Isotonic.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Overview</w:t>
      </w:r>
    </w:p>
    <w:p>
      <w:pPr>
        <w:spacing w:after="0" w:line="96"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Coca-Cola FEMSA measures total sales volume in terms of unit cases. Unit case refers to 192 ounces of finished beverage product (24 eight-ounce servings) and, when applied to fountain syrup, powders and concentrate, refers to the volume of fountain syrup, powders and concentrate that is required to produce 192 ounces of finished beverage product. The following table illustrates its historical sales volume for each of its territories.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Sales Volume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2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560" w:type="dxa"/>
            <w:vAlign w:val="bottom"/>
            <w:gridSpan w:val="2"/>
          </w:tcPr>
          <w:p>
            <w:pPr>
              <w:jc w:val="center"/>
              <w:ind w:left="177"/>
              <w:spacing w:after="0" w:line="142" w:lineRule="exact"/>
              <w:rPr>
                <w:sz w:val="20"/>
                <w:szCs w:val="20"/>
                <w:color w:val="auto"/>
              </w:rPr>
            </w:pPr>
            <w:r>
              <w:rPr>
                <w:rFonts w:ascii="Arial" w:cs="Arial" w:eastAsia="Arial" w:hAnsi="Arial"/>
                <w:sz w:val="14"/>
                <w:szCs w:val="14"/>
                <w:b w:val="1"/>
                <w:bCs w:val="1"/>
                <w:color w:val="auto"/>
                <w:w w:val="83"/>
              </w:rPr>
              <w:t>2006</w:t>
            </w:r>
          </w:p>
        </w:tc>
        <w:tc>
          <w:tcPr>
            <w:tcW w:w="280" w:type="dxa"/>
            <w:vAlign w:val="bottom"/>
          </w:tcPr>
          <w:p>
            <w:pPr>
              <w:spacing w:after="0"/>
              <w:rPr>
                <w:sz w:val="12"/>
                <w:szCs w:val="12"/>
                <w:color w:val="auto"/>
              </w:rPr>
            </w:pPr>
          </w:p>
        </w:tc>
        <w:tc>
          <w:tcPr>
            <w:tcW w:w="6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(millions of unit cases)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4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1,110.4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Central America</w:t>
            </w:r>
          </w:p>
        </w:tc>
        <w:tc>
          <w:tcPr>
            <w:tcW w:w="4120" w:type="dxa"/>
            <w:vAlign w:val="bottom"/>
            <w:gridSpan w:val="3"/>
          </w:tcPr>
          <w:p>
            <w:pPr>
              <w:jc w:val="right"/>
              <w:ind w:right="160"/>
              <w:spacing w:after="0"/>
              <w:rPr>
                <w:sz w:val="20"/>
                <w:szCs w:val="20"/>
                <w:color w:val="auto"/>
              </w:rPr>
            </w:pPr>
            <w:r>
              <w:rPr>
                <w:rFonts w:ascii="Arial" w:cs="Arial" w:eastAsia="Arial" w:hAnsi="Arial"/>
                <w:sz w:val="18"/>
                <w:szCs w:val="18"/>
                <w:color w:val="auto"/>
              </w:rPr>
              <w:t>128.1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4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197.8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Venezuela</w:t>
            </w:r>
          </w:p>
        </w:tc>
        <w:tc>
          <w:tcPr>
            <w:tcW w:w="4120" w:type="dxa"/>
            <w:vAlign w:val="bottom"/>
            <w:gridSpan w:val="3"/>
          </w:tcPr>
          <w:p>
            <w:pPr>
              <w:jc w:val="right"/>
              <w:ind w:right="160"/>
              <w:spacing w:after="0"/>
              <w:rPr>
                <w:sz w:val="20"/>
                <w:szCs w:val="20"/>
                <w:color w:val="auto"/>
              </w:rPr>
            </w:pPr>
            <w:r>
              <w:rPr>
                <w:rFonts w:ascii="Arial" w:cs="Arial" w:eastAsia="Arial" w:hAnsi="Arial"/>
                <w:sz w:val="18"/>
                <w:szCs w:val="18"/>
                <w:color w:val="auto"/>
              </w:rPr>
              <w:t>209.0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182.6</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4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179.4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line="217" w:lineRule="exact"/>
              <w:rPr>
                <w:sz w:val="20"/>
                <w:szCs w:val="20"/>
                <w:color w:val="auto"/>
              </w:rPr>
            </w:pPr>
            <w:r>
              <w:rPr>
                <w:rFonts w:ascii="Arial" w:cs="Arial" w:eastAsia="Arial" w:hAnsi="Arial"/>
                <w:sz w:val="18"/>
                <w:szCs w:val="18"/>
                <w:color w:val="auto"/>
              </w:rPr>
              <w:t>Brazil</w:t>
            </w:r>
            <w:r>
              <w:rPr>
                <w:rFonts w:ascii="Arial" w:cs="Arial" w:eastAsia="Arial" w:hAnsi="Arial"/>
                <w:sz w:val="22"/>
                <w:szCs w:val="22"/>
                <w:color w:val="auto"/>
                <w:vertAlign w:val="superscript"/>
              </w:rPr>
              <w:t>(1)</w:t>
            </w:r>
          </w:p>
        </w:tc>
        <w:tc>
          <w:tcPr>
            <w:tcW w:w="34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296.1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268.7</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Combined Volume</w:t>
            </w:r>
          </w:p>
        </w:tc>
        <w:tc>
          <w:tcPr>
            <w:tcW w:w="4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2,120.8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beer sales volume.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Packaging Mix</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Coca-Cola FEMSA’s most important brand is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and its line extensions, </w:t>
      </w:r>
      <w:r>
        <w:rPr>
          <w:rFonts w:ascii="Arial" w:cs="Arial" w:eastAsia="Arial" w:hAnsi="Arial"/>
          <w:sz w:val="16"/>
          <w:szCs w:val="16"/>
          <w:i w:val="1"/>
          <w:iCs w:val="1"/>
          <w:color w:val="auto"/>
        </w:rPr>
        <w:t>Coca-Cola light</w:t>
      </w:r>
      <w:r>
        <w:rPr>
          <w:rFonts w:ascii="Arial" w:cs="Arial" w:eastAsia="Arial" w:hAnsi="Arial"/>
          <w:sz w:val="16"/>
          <w:szCs w:val="16"/>
          <w:color w:val="auto"/>
        </w:rPr>
        <w:t xml:space="preserve">, </w:t>
      </w:r>
      <w:r>
        <w:rPr>
          <w:rFonts w:ascii="Arial" w:cs="Arial" w:eastAsia="Arial" w:hAnsi="Arial"/>
          <w:sz w:val="16"/>
          <w:szCs w:val="16"/>
          <w:i w:val="1"/>
          <w:iCs w:val="1"/>
          <w:color w:val="auto"/>
        </w:rPr>
        <w:t>Coca-Cola light caffeine free</w:t>
      </w:r>
      <w:r>
        <w:rPr>
          <w:rFonts w:ascii="Arial" w:cs="Arial" w:eastAsia="Arial" w:hAnsi="Arial"/>
          <w:sz w:val="16"/>
          <w:szCs w:val="16"/>
          <w:color w:val="auto"/>
        </w:rPr>
        <w:t xml:space="preserve"> and </w:t>
      </w:r>
      <w:r>
        <w:rPr>
          <w:rFonts w:ascii="Arial" w:cs="Arial" w:eastAsia="Arial" w:hAnsi="Arial"/>
          <w:sz w:val="16"/>
          <w:szCs w:val="16"/>
          <w:i w:val="1"/>
          <w:iCs w:val="1"/>
          <w:color w:val="auto"/>
        </w:rPr>
        <w:t>Coca-Cola Zero</w:t>
      </w:r>
      <w:r>
        <w:rPr>
          <w:rFonts w:ascii="Arial" w:cs="Arial" w:eastAsia="Arial" w:hAnsi="Arial"/>
          <w:sz w:val="16"/>
          <w:szCs w:val="16"/>
          <w:color w:val="auto"/>
        </w:rPr>
        <w:t xml:space="preserve">, which together accounted for 62.7% of total sales volume in 2007. </w:t>
      </w:r>
      <w:r>
        <w:rPr>
          <w:rFonts w:ascii="Arial" w:cs="Arial" w:eastAsia="Arial" w:hAnsi="Arial"/>
          <w:sz w:val="16"/>
          <w:szCs w:val="16"/>
          <w:i w:val="1"/>
          <w:iCs w:val="1"/>
          <w:color w:val="auto"/>
        </w:rPr>
        <w:t>Ciel</w:t>
      </w:r>
      <w:r>
        <w:rPr>
          <w:rFonts w:ascii="Arial" w:cs="Arial" w:eastAsia="Arial" w:hAnsi="Arial"/>
          <w:sz w:val="16"/>
          <w:szCs w:val="16"/>
          <w:color w:val="auto"/>
        </w:rPr>
        <w:t xml:space="preserve"> (including jug presentations), </w:t>
      </w:r>
      <w:r>
        <w:rPr>
          <w:rFonts w:ascii="Arial" w:cs="Arial" w:eastAsia="Arial" w:hAnsi="Arial"/>
          <w:sz w:val="16"/>
          <w:szCs w:val="16"/>
          <w:i w:val="1"/>
          <w:iCs w:val="1"/>
          <w:color w:val="auto"/>
        </w:rPr>
        <w:t>Fanta, Sprite, Lift</w:t>
      </w:r>
      <w:r>
        <w:rPr>
          <w:rFonts w:ascii="Arial" w:cs="Arial" w:eastAsia="Arial" w:hAnsi="Arial"/>
          <w:sz w:val="16"/>
          <w:szCs w:val="16"/>
          <w:color w:val="auto"/>
        </w:rPr>
        <w:t xml:space="preserve"> and </w:t>
      </w:r>
      <w:r>
        <w:rPr>
          <w:rFonts w:ascii="Arial" w:cs="Arial" w:eastAsia="Arial" w:hAnsi="Arial"/>
          <w:sz w:val="16"/>
          <w:szCs w:val="16"/>
          <w:i w:val="1"/>
          <w:iCs w:val="1"/>
          <w:color w:val="auto"/>
        </w:rPr>
        <w:t>Fresca</w:t>
      </w:r>
      <w:r>
        <w:rPr>
          <w:rFonts w:ascii="Arial" w:cs="Arial" w:eastAsia="Arial" w:hAnsi="Arial"/>
          <w:sz w:val="16"/>
          <w:szCs w:val="16"/>
          <w:color w:val="auto"/>
        </w:rPr>
        <w:t xml:space="preserve">, its next largest brands in consecutive order, accounted for 10.8%, 6.9%, 2.9%, 1.6% and 1.4%, respectively, of total sales volume in 2007. Coca-Cola FEMSA uses the term line extensions to refer to the different flavors in which it offers its brands. Coca-Cola FEMSA produces, markets and distributes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each of its territories in containers authorized by The Coca-Cola Company, which consist of a variety of returnable and non-returnable presentations in the form of glass bottles, cans and plastic bottles made of polyethylene terephtalate, which it refers to as PET.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Coca-Cola FEMSA uses the term presentation to refer to the packaging unit in which it sells its products. Presentation sizes for its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range from a 4-ounce personal size to a 20-liter multiple serving size. Coca-Cola FEMSA considers multiple serving size as equal to or larger than 1.0 liter. In general, personal sizes have a higher price per unit case as compared to multiple serving sizes. Coca-Cola FEMSA offers both returnable and non-returnable presentations, which allow Coca-Cola FEMSA to offer different combinations of convenience and price to implement revenue management strategies and to target specific distribution channels and population segments in its territories. In addition, it sells some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 syrups in containers designed for soda fountain use, which it refers to as fountain. It also sells bottled water products in jug sizes, which refers to sizes larger than 17 liters, that have a much lower price per unit case than its other beverage products.</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In addition to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produces, markets and distributes certain other proprietary brands and beverages licensed from third parties other than The Coca-Cola Company in a variety of presentations.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Coca-Cola FEMSA’s core brands are principally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sells certain of these brands or their line extensions at a premium in some of its territories, in which case it refers to them as premium brands. It also sells certain other brands at a lower price per ounce, which it refers to as value protection brands.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characteristics of its territories are very diverse. Central Mexico and its territories in Argentina are densely populated and have a large number of competing sparkling beverages brands as compared to the rest of its territories. Brazil is densely populated but has lower per capita consumption of sparkling beverage products as compared to Mexico. Portions of southern Mexico, Central America and Colombia are large and mountainous areas with lower population density, lower per capita income and lower per capita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consumption of sparkling beverages. In Venezuela, per capita consumption of Coca-Cola FEMSA products has improved in spite of short-term operating disruptions over the past few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discussion analyzes Coca-Cola FEMSA’s product and packaging mix by segment. The volume data presented is for the years 2007, 2006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Mexico. </w:t>
      </w:r>
      <w:r>
        <w:rPr>
          <w:rFonts w:ascii="Arial" w:cs="Arial" w:eastAsia="Arial" w:hAnsi="Arial"/>
          <w:sz w:val="18"/>
          <w:szCs w:val="18"/>
          <w:color w:val="auto"/>
        </w:rPr>
        <w:t>Coca-Cola FEMSA’s product portfolio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and since 2001 has included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Mundet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2007, as part of its efforts to strengthen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it launched </w:t>
      </w:r>
      <w:r>
        <w:rPr>
          <w:rFonts w:ascii="Arial" w:cs="Arial" w:eastAsia="Arial" w:hAnsi="Arial"/>
          <w:sz w:val="18"/>
          <w:szCs w:val="18"/>
          <w:i w:val="1"/>
          <w:iCs w:val="1"/>
          <w:color w:val="auto"/>
        </w:rPr>
        <w:t>Coca-Cola Zero,</w:t>
      </w:r>
      <w:r>
        <w:rPr>
          <w:rFonts w:ascii="Arial" w:cs="Arial" w:eastAsia="Arial" w:hAnsi="Arial"/>
          <w:sz w:val="18"/>
          <w:szCs w:val="18"/>
          <w:color w:val="auto"/>
        </w:rPr>
        <w:t xml:space="preserve"> a line extension of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w:t>
      </w:r>
      <w:r>
        <w:rPr>
          <w:rFonts w:ascii="Arial" w:cs="Arial" w:eastAsia="Arial" w:hAnsi="Arial"/>
          <w:sz w:val="18"/>
          <w:szCs w:val="18"/>
          <w:i w:val="1"/>
          <w:iCs w:val="1"/>
          <w:color w:val="auto"/>
        </w:rPr>
        <w:t>.</w:t>
      </w:r>
      <w:r>
        <w:rPr>
          <w:rFonts w:ascii="Arial" w:cs="Arial" w:eastAsia="Arial" w:hAnsi="Arial"/>
          <w:sz w:val="18"/>
          <w:szCs w:val="18"/>
          <w:color w:val="auto"/>
        </w:rPr>
        <w:t xml:space="preserve"> Sparkling beverage per capita consumption of its products in its Mexican territories in 2007 was 414 eight-ounce servings.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and mix in Mexico for its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Sales Volume</w:t>
            </w:r>
          </w:p>
        </w:tc>
        <w:tc>
          <w:tcPr>
            <w:tcW w:w="5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580" w:type="dxa"/>
            <w:vAlign w:val="bottom"/>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9"/>
              </w:rPr>
              <w:t>2006</w:t>
            </w:r>
          </w:p>
        </w:tc>
        <w:tc>
          <w:tcPr>
            <w:tcW w:w="400" w:type="dxa"/>
            <w:vAlign w:val="bottom"/>
          </w:tcPr>
          <w:p>
            <w:pPr>
              <w:spacing w:after="0"/>
              <w:rPr>
                <w:sz w:val="12"/>
                <w:szCs w:val="12"/>
                <w:color w:val="auto"/>
              </w:rPr>
            </w:pP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gridSpan w:val="2"/>
            <w:vMerge w:val="continue"/>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(millions of unit cases)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1,110.4</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1,070.7</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03"/>
        </w:trPr>
        <w:tc>
          <w:tcPr>
            <w:tcW w:w="7660" w:type="dxa"/>
            <w:vAlign w:val="bottom"/>
            <w:gridSpan w:val="2"/>
          </w:tcPr>
          <w:p>
            <w:pPr>
              <w:spacing w:after="0" w:line="203" w:lineRule="exact"/>
              <w:rPr>
                <w:sz w:val="20"/>
                <w:szCs w:val="20"/>
                <w:color w:val="auto"/>
              </w:rPr>
            </w:pPr>
            <w:r>
              <w:rPr>
                <w:rFonts w:ascii="Arial" w:cs="Arial" w:eastAsia="Arial" w:hAnsi="Arial"/>
                <w:sz w:val="18"/>
                <w:szCs w:val="18"/>
                <w:color w:val="auto"/>
              </w:rPr>
              <w:t>% Growth</w:t>
            </w:r>
          </w:p>
        </w:tc>
        <w:tc>
          <w:tcPr>
            <w:tcW w:w="8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3.7%</w:t>
            </w:r>
          </w:p>
        </w:tc>
        <w:tc>
          <w:tcPr>
            <w:tcW w:w="198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4.5%</w:t>
            </w:r>
          </w:p>
        </w:tc>
        <w:tc>
          <w:tcPr>
            <w:tcW w:w="9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1"/>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Unit Case Volume Mix by Category</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(in percentages)</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Sparkling beverages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79.6%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20.7</w:t>
            </w:r>
          </w:p>
        </w:tc>
        <w:tc>
          <w:tcPr>
            <w:tcW w:w="1980" w:type="dxa"/>
            <w:vAlign w:val="bottom"/>
            <w:gridSpan w:val="3"/>
          </w:tcPr>
          <w:p>
            <w:pPr>
              <w:jc w:val="right"/>
              <w:ind w:right="380"/>
              <w:spacing w:after="0"/>
              <w:rPr>
                <w:sz w:val="20"/>
                <w:szCs w:val="20"/>
                <w:color w:val="auto"/>
              </w:rPr>
            </w:pPr>
            <w:r>
              <w:rPr>
                <w:rFonts w:ascii="Arial" w:cs="Arial" w:eastAsia="Arial" w:hAnsi="Arial"/>
                <w:sz w:val="18"/>
                <w:szCs w:val="18"/>
                <w:color w:val="auto"/>
              </w:rPr>
              <w:t>19.5</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Still beverages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98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jug volume.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Coca-Cola FEMSA’s most popular sparkling beverage presentations were the 2.5-liter returnable plastic bottle, the 0.6-liter non-returnable plastic bottle and the 2.5-liter non-returnable plastic bottle, which together accounted for 52% of total sparkling beverage sales volume in Mexico in 2007. In 2007, multiple serving presentations represented 62.4% of total sparkling beverages sales volume in Mexico, a 2.2% growth compared to 2006. Coca-Cola FEMSA’s commercial strategies seek to foster consumption in single serving presentations while maintaining multiple serving volumes. In 2007, its sparkling beverages non-returnable presentations slightly increased as a percentage of its total sales volume from 69.5% in 2006 to 71.8% in 2007.</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Total sales volume reached 1,110.4 million unit cases in 2007, an increase of 3.7% compared to 1,070.7 million unit cases in 2006. Sparkling beverages sales volume grew 2.1%, accounting for almost 50% of the total incremental volumes during the year. Sparkling beverages volume growth was mainly driven by strong growth of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Central America. </w:t>
      </w:r>
      <w:r>
        <w:rPr>
          <w:rFonts w:ascii="Arial" w:cs="Arial" w:eastAsia="Arial" w:hAnsi="Arial"/>
          <w:sz w:val="18"/>
          <w:szCs w:val="18"/>
          <w:color w:val="auto"/>
        </w:rPr>
        <w:t>Coca-Cola FEMSA’s product sales in Central America consist predominantly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Sparkling beverages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capita consumption in Central America of its products was 150 eight-ounce servings in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Central America: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40" w:type="dxa"/>
            <w:vAlign w:val="bottom"/>
            <w:vMerge w:val="restart"/>
          </w:tcPr>
          <w:p>
            <w:pPr>
              <w:spacing w:after="0"/>
              <w:rPr>
                <w:sz w:val="20"/>
                <w:szCs w:val="20"/>
                <w:color w:val="auto"/>
              </w:rPr>
            </w:pPr>
            <w:r>
              <w:rPr>
                <w:rFonts w:ascii="Arial" w:cs="Arial" w:eastAsia="Arial" w:hAnsi="Arial"/>
                <w:sz w:val="14"/>
                <w:szCs w:val="14"/>
                <w:b w:val="1"/>
                <w:bCs w:val="1"/>
                <w:color w:val="auto"/>
              </w:rPr>
              <w:t>Product Sales Volume</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580" w:type="dxa"/>
            <w:vAlign w:val="bottom"/>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9"/>
              </w:rPr>
              <w:t>2006</w:t>
            </w:r>
          </w:p>
        </w:tc>
        <w:tc>
          <w:tcPr>
            <w:tcW w:w="6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(millions of unit cases)</w:t>
            </w:r>
          </w:p>
        </w:tc>
        <w:tc>
          <w:tcPr>
            <w:tcW w:w="6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128.1</w:t>
            </w:r>
          </w:p>
        </w:tc>
        <w:tc>
          <w:tcPr>
            <w:tcW w:w="34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120.3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line="203" w:lineRule="exact"/>
              <w:rPr>
                <w:sz w:val="20"/>
                <w:szCs w:val="20"/>
                <w:color w:val="auto"/>
              </w:rPr>
            </w:pPr>
            <w:r>
              <w:rPr>
                <w:rFonts w:ascii="Arial" w:cs="Arial" w:eastAsia="Arial" w:hAnsi="Arial"/>
                <w:sz w:val="18"/>
                <w:szCs w:val="18"/>
                <w:color w:val="auto"/>
              </w:rPr>
              <w:t>% Growth</w:t>
            </w:r>
          </w:p>
        </w:tc>
        <w:tc>
          <w:tcPr>
            <w:tcW w:w="7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6.5%</w:t>
            </w:r>
          </w:p>
        </w:tc>
        <w:tc>
          <w:tcPr>
            <w:tcW w:w="2220" w:type="dxa"/>
            <w:vAlign w:val="bottom"/>
            <w:gridSpan w:val="3"/>
          </w:tcPr>
          <w:p>
            <w:pPr>
              <w:jc w:val="right"/>
              <w:ind w:right="480"/>
              <w:spacing w:after="0" w:line="203" w:lineRule="exact"/>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1"/>
        </w:trPr>
        <w:tc>
          <w:tcPr>
            <w:tcW w:w="7840" w:type="dxa"/>
            <w:vAlign w:val="bottom"/>
          </w:tcPr>
          <w:p>
            <w:pPr>
              <w:spacing w:after="0"/>
              <w:rPr>
                <w:sz w:val="20"/>
                <w:szCs w:val="20"/>
                <w:color w:val="auto"/>
              </w:rPr>
            </w:pPr>
            <w:r>
              <w:rPr>
                <w:rFonts w:ascii="Arial" w:cs="Arial" w:eastAsia="Arial" w:hAnsi="Arial"/>
                <w:sz w:val="14"/>
                <w:szCs w:val="14"/>
                <w:b w:val="1"/>
                <w:bCs w:val="1"/>
                <w:color w:val="auto"/>
              </w:rPr>
              <w:t>Unit Case Volume Mix by Category</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Sparkling beverages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w:t>
            </w:r>
          </w:p>
        </w:tc>
        <w:tc>
          <w:tcPr>
            <w:tcW w:w="2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Water</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2220" w:type="dxa"/>
            <w:vAlign w:val="bottom"/>
            <w:gridSpan w:val="3"/>
          </w:tcPr>
          <w:p>
            <w:pPr>
              <w:jc w:val="right"/>
              <w:ind w:right="640"/>
              <w:spacing w:after="0"/>
              <w:rPr>
                <w:sz w:val="20"/>
                <w:szCs w:val="20"/>
                <w:color w:val="auto"/>
              </w:rPr>
            </w:pPr>
            <w:r>
              <w:rPr>
                <w:rFonts w:ascii="Arial" w:cs="Arial" w:eastAsia="Arial" w:hAnsi="Arial"/>
                <w:sz w:val="18"/>
                <w:szCs w:val="18"/>
                <w:color w:val="auto"/>
              </w:rPr>
              <w:t>4.4</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Still beverages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40" w:type="dxa"/>
            <w:vAlign w:val="bottom"/>
            <w:vMerge w:val="continue"/>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100.0%</w:t>
            </w:r>
          </w:p>
        </w:tc>
        <w:tc>
          <w:tcPr>
            <w:tcW w:w="222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2007, multiple serving presentations represented 51.8% of total sparkling beverage sales volume in Central America, compared with 50.6% in 2006.</w:t>
      </w:r>
    </w:p>
    <w:p>
      <w:pPr>
        <w:spacing w:after="0" w:line="19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Total sales volume was 128.1 million unit cases in 2007, increasing 6.5% compared to 120.3 million in 2006. Sparkling beverages volumes in the year accounted for more than 70% of its total incremental volume and still beverages were the majority of the balance.</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Colombia. </w:t>
      </w:r>
      <w:r>
        <w:rPr>
          <w:rFonts w:ascii="Arial" w:cs="Arial" w:eastAsia="Arial" w:hAnsi="Arial"/>
          <w:sz w:val="18"/>
          <w:szCs w:val="18"/>
          <w:color w:val="auto"/>
        </w:rPr>
        <w:t>Coca-Cola FEMSA’s product portfolio in Colombia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certain products sold under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trademarks and other brands, which it licenses from third parties. Sparkling beverages per capita consumption of its products in Colombia during 2007 was 90 eight-ounce servings.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Colombia: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Sales Volume</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600" w:type="dxa"/>
            <w:vAlign w:val="bottom"/>
            <w:gridSpan w:val="2"/>
          </w:tcPr>
          <w:p>
            <w:pPr>
              <w:jc w:val="center"/>
              <w:ind w:left="198"/>
              <w:spacing w:after="0" w:line="142" w:lineRule="exact"/>
              <w:rPr>
                <w:sz w:val="20"/>
                <w:szCs w:val="20"/>
                <w:color w:val="auto"/>
              </w:rPr>
            </w:pPr>
            <w:r>
              <w:rPr>
                <w:rFonts w:ascii="Arial" w:cs="Arial" w:eastAsia="Arial" w:hAnsi="Arial"/>
                <w:sz w:val="14"/>
                <w:szCs w:val="14"/>
                <w:b w:val="1"/>
                <w:bCs w:val="1"/>
                <w:color w:val="auto"/>
                <w:w w:val="89"/>
              </w:rPr>
              <w:t>2006</w:t>
            </w:r>
          </w:p>
        </w:tc>
        <w:tc>
          <w:tcPr>
            <w:tcW w:w="6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gridSpan w:val="2"/>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(millions of unit cases)</w:t>
            </w:r>
          </w:p>
        </w:tc>
        <w:tc>
          <w:tcPr>
            <w:tcW w:w="6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197.8</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179.7</w:t>
            </w:r>
          </w:p>
        </w:tc>
        <w:tc>
          <w:tcPr>
            <w:tcW w:w="0" w:type="dxa"/>
            <w:vAlign w:val="bottom"/>
          </w:tcPr>
          <w:p>
            <w:pPr>
              <w:spacing w:after="0"/>
              <w:rPr>
                <w:sz w:val="1"/>
                <w:szCs w:val="1"/>
                <w:color w:val="auto"/>
              </w:rPr>
            </w:pPr>
          </w:p>
        </w:tc>
      </w:tr>
      <w:tr>
        <w:trPr>
          <w:trHeight w:val="203"/>
        </w:trPr>
        <w:tc>
          <w:tcPr>
            <w:tcW w:w="7900" w:type="dxa"/>
            <w:vAlign w:val="bottom"/>
            <w:gridSpan w:val="2"/>
          </w:tcPr>
          <w:p>
            <w:pPr>
              <w:spacing w:after="0" w:line="203" w:lineRule="exact"/>
              <w:rPr>
                <w:sz w:val="20"/>
                <w:szCs w:val="20"/>
                <w:color w:val="auto"/>
              </w:rPr>
            </w:pPr>
            <w:r>
              <w:rPr>
                <w:rFonts w:ascii="Arial" w:cs="Arial" w:eastAsia="Arial" w:hAnsi="Arial"/>
                <w:sz w:val="18"/>
                <w:szCs w:val="18"/>
                <w:color w:val="auto"/>
              </w:rPr>
              <w:t>% Growth</w:t>
            </w:r>
          </w:p>
        </w:tc>
        <w:tc>
          <w:tcPr>
            <w:tcW w:w="7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3.6%</w:t>
            </w:r>
          </w:p>
        </w:tc>
        <w:tc>
          <w:tcPr>
            <w:tcW w:w="2220" w:type="dxa"/>
            <w:vAlign w:val="bottom"/>
            <w:gridSpan w:val="3"/>
          </w:tcPr>
          <w:p>
            <w:pPr>
              <w:jc w:val="right"/>
              <w:ind w:right="480"/>
              <w:spacing w:after="0" w:line="203" w:lineRule="exact"/>
              <w:rPr>
                <w:sz w:val="20"/>
                <w:szCs w:val="20"/>
                <w:color w:val="auto"/>
              </w:rPr>
            </w:pPr>
            <w:r>
              <w:rPr>
                <w:rFonts w:ascii="Arial" w:cs="Arial" w:eastAsia="Arial" w:hAnsi="Arial"/>
                <w:sz w:val="18"/>
                <w:szCs w:val="18"/>
                <w:color w:val="auto"/>
              </w:rPr>
              <w:t>6.2%</w:t>
            </w:r>
          </w:p>
        </w:tc>
        <w:tc>
          <w:tcPr>
            <w:tcW w:w="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6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Unit Case Volume Mix by Category</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(in percentages)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Sparkling beverages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w:t>
            </w:r>
          </w:p>
        </w:tc>
        <w:tc>
          <w:tcPr>
            <w:tcW w:w="2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87.9%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40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Still beverages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100.0%</w:t>
            </w:r>
          </w:p>
        </w:tc>
        <w:tc>
          <w:tcPr>
            <w:tcW w:w="222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jug volume.</w:t>
      </w:r>
    </w:p>
    <w:p>
      <w:pPr>
        <w:spacing w:after="0" w:line="171"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 xml:space="preserve">In 2007, multiple serving presentations represented 49.9% of total sparkling beverages sales volume in Colombia. In 2008, as part of its efforts to strengthen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Coca-Cola FEMSA launched </w:t>
      </w:r>
      <w:r>
        <w:rPr>
          <w:rFonts w:ascii="Arial" w:cs="Arial" w:eastAsia="Arial" w:hAnsi="Arial"/>
          <w:sz w:val="16"/>
          <w:szCs w:val="16"/>
          <w:i w:val="1"/>
          <w:iCs w:val="1"/>
          <w:color w:val="auto"/>
        </w:rPr>
        <w:t>Coca-Cola Zero,</w:t>
      </w:r>
      <w:r>
        <w:rPr>
          <w:rFonts w:ascii="Arial" w:cs="Arial" w:eastAsia="Arial" w:hAnsi="Arial"/>
          <w:sz w:val="16"/>
          <w:szCs w:val="16"/>
          <w:color w:val="auto"/>
        </w:rPr>
        <w:t xml:space="preserve"> a line extension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Total sales volume was 197.8 million unit cases in 2007, an increase of 3.6% compared to 190.9 million in 2006, driven by sparkling beverages volume growth, which accounted for more than 80% of total incremental volume.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Venezuela. </w:t>
      </w:r>
      <w:r>
        <w:rPr>
          <w:rFonts w:ascii="Arial" w:cs="Arial" w:eastAsia="Arial" w:hAnsi="Arial"/>
          <w:sz w:val="18"/>
          <w:szCs w:val="18"/>
          <w:color w:val="auto"/>
        </w:rPr>
        <w:t>Coca-Cola FEMSA’s product portfolio in Venezuela consists predominantly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Sparkling beverages per capita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consumption of its products in Venezuela during 2007 was 165 eight-ounce servings.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Venezuela: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Sales Volume</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580" w:type="dxa"/>
            <w:vAlign w:val="bottom"/>
            <w:gridSpan w:val="2"/>
          </w:tcPr>
          <w:p>
            <w:pPr>
              <w:jc w:val="center"/>
              <w:ind w:left="218"/>
              <w:spacing w:after="0" w:line="142" w:lineRule="exact"/>
              <w:rPr>
                <w:sz w:val="20"/>
                <w:szCs w:val="20"/>
                <w:color w:val="auto"/>
              </w:rPr>
            </w:pPr>
            <w:r>
              <w:rPr>
                <w:rFonts w:ascii="Arial" w:cs="Arial" w:eastAsia="Arial" w:hAnsi="Arial"/>
                <w:sz w:val="14"/>
                <w:szCs w:val="14"/>
                <w:b w:val="1"/>
                <w:bCs w:val="1"/>
                <w:color w:val="auto"/>
                <w:w w:val="89"/>
              </w:rPr>
              <w:t>2006</w:t>
            </w:r>
          </w:p>
        </w:tc>
        <w:tc>
          <w:tcPr>
            <w:tcW w:w="6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gridSpan w:val="2"/>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(millions of unit cases)</w:t>
            </w:r>
          </w:p>
        </w:tc>
        <w:tc>
          <w:tcPr>
            <w:tcW w:w="6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209.0</w:t>
            </w:r>
          </w:p>
        </w:tc>
        <w:tc>
          <w:tcPr>
            <w:tcW w:w="34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182.6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 Growth</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2220" w:type="dxa"/>
            <w:vAlign w:val="bottom"/>
            <w:gridSpan w:val="3"/>
          </w:tcPr>
          <w:p>
            <w:pPr>
              <w:jc w:val="right"/>
              <w:ind w:right="480"/>
              <w:spacing w:after="0"/>
              <w:rPr>
                <w:sz w:val="20"/>
                <w:szCs w:val="20"/>
                <w:color w:val="auto"/>
              </w:rPr>
            </w:pPr>
            <w:r>
              <w:rPr>
                <w:rFonts w:ascii="Arial" w:cs="Arial" w:eastAsia="Arial" w:hAnsi="Arial"/>
                <w:sz w:val="18"/>
                <w:szCs w:val="18"/>
                <w:color w:val="auto"/>
              </w:rPr>
              <w:t>5.9%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62"/>
        </w:trPr>
        <w:tc>
          <w:tcPr>
            <w:tcW w:w="784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Unit Case Volume Mix by Category</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center"/>
              <w:ind w:right="620"/>
              <w:spacing w:after="0"/>
              <w:rPr>
                <w:sz w:val="20"/>
                <w:szCs w:val="20"/>
                <w:color w:val="auto"/>
              </w:rPr>
            </w:pPr>
            <w:r>
              <w:rPr>
                <w:rFonts w:ascii="Arial" w:cs="Arial" w:eastAsia="Arial" w:hAnsi="Arial"/>
                <w:sz w:val="14"/>
                <w:szCs w:val="14"/>
                <w:b w:val="1"/>
                <w:bCs w:val="1"/>
                <w:color w:val="auto"/>
                <w:w w:val="93"/>
              </w:rPr>
              <w:t>(in</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shd w:val="clear" w:color="auto" w:fill="CCEEFF"/>
          </w:tcPr>
          <w:p>
            <w:pPr>
              <w:spacing w:after="0"/>
              <w:rPr>
                <w:sz w:val="11"/>
                <w:szCs w:val="11"/>
                <w:color w:val="auto"/>
              </w:rPr>
            </w:pPr>
          </w:p>
        </w:tc>
        <w:tc>
          <w:tcPr>
            <w:tcW w:w="6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940" w:type="dxa"/>
            <w:vAlign w:val="bottom"/>
            <w:gridSpan w:val="2"/>
            <w:shd w:val="clear" w:color="auto" w:fill="CCEEFF"/>
          </w:tcPr>
          <w:p>
            <w:pPr>
              <w:jc w:val="center"/>
              <w:ind w:right="620"/>
              <w:spacing w:after="0" w:line="135" w:lineRule="exact"/>
              <w:rPr>
                <w:sz w:val="20"/>
                <w:szCs w:val="20"/>
                <w:color w:val="auto"/>
              </w:rPr>
            </w:pPr>
            <w:r>
              <w:rPr>
                <w:rFonts w:ascii="Arial" w:cs="Arial" w:eastAsia="Arial" w:hAnsi="Arial"/>
                <w:sz w:val="14"/>
                <w:szCs w:val="14"/>
                <w:b w:val="1"/>
                <w:bCs w:val="1"/>
                <w:color w:val="auto"/>
                <w:w w:val="82"/>
              </w:rPr>
              <w:t>percentages)</w:t>
            </w: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Sparkling beverages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90.4%</w:t>
            </w:r>
          </w:p>
        </w:tc>
        <w:tc>
          <w:tcPr>
            <w:tcW w:w="2220" w:type="dxa"/>
            <w:vAlign w:val="bottom"/>
            <w:gridSpan w:val="3"/>
          </w:tcPr>
          <w:p>
            <w:pPr>
              <w:jc w:val="right"/>
              <w:ind w:right="480"/>
              <w:spacing w:after="0"/>
              <w:rPr>
                <w:sz w:val="20"/>
                <w:szCs w:val="20"/>
                <w:color w:val="auto"/>
              </w:rPr>
            </w:pPr>
            <w:r>
              <w:rPr>
                <w:rFonts w:ascii="Arial" w:cs="Arial" w:eastAsia="Arial" w:hAnsi="Arial"/>
                <w:sz w:val="18"/>
                <w:szCs w:val="18"/>
                <w:color w:val="auto"/>
              </w:rPr>
              <w:t>87.7%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Still beverages</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640"/>
              <w:spacing w:after="0"/>
              <w:rPr>
                <w:sz w:val="20"/>
                <w:szCs w:val="20"/>
                <w:color w:val="auto"/>
              </w:rPr>
            </w:pPr>
            <w:r>
              <w:rPr>
                <w:rFonts w:ascii="Arial" w:cs="Arial" w:eastAsia="Arial" w:hAnsi="Arial"/>
                <w:sz w:val="18"/>
                <w:szCs w:val="18"/>
                <w:color w:val="auto"/>
              </w:rPr>
              <w:t>4.8</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2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jug volume.</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2007 Coca-Cola FEMSA continued facing periodic operating difficulties that prevented it from producing and distributing enough supply. It has implemented a product portfolio rationalization strategy, which enabled it to increase its total sales volume for the year by 14.5%.</w:t>
      </w:r>
    </w:p>
    <w:p>
      <w:pPr>
        <w:spacing w:after="0" w:line="8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2007, multiple serving presentations represented 90.4% of total sparkling beverages sales volume in Venezuela. Total sales volume was 209.0 million unit cases in 2007, an increase of 14.5% compared to 182.6 million in 2006, driven by volume growth in the sparkling beverage segment.</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Argentina. </w:t>
      </w:r>
      <w:r>
        <w:rPr>
          <w:rFonts w:ascii="Arial" w:cs="Arial" w:eastAsia="Arial" w:hAnsi="Arial"/>
          <w:sz w:val="18"/>
          <w:szCs w:val="18"/>
          <w:color w:val="auto"/>
        </w:rPr>
        <w:t>Coca-Cola FEMSA’s product portfolio in Argentina consists exclusively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Sparkling beverages per capita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consumption of its products in Argentina during 2007 was 370 eight-ounce servings.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Argentina: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Product Sales Volume</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600" w:type="dxa"/>
            <w:vAlign w:val="bottom"/>
            <w:gridSpan w:val="2"/>
          </w:tcPr>
          <w:p>
            <w:pPr>
              <w:jc w:val="center"/>
              <w:ind w:left="198"/>
              <w:spacing w:after="0" w:line="142" w:lineRule="exact"/>
              <w:rPr>
                <w:sz w:val="20"/>
                <w:szCs w:val="20"/>
                <w:color w:val="auto"/>
              </w:rPr>
            </w:pPr>
            <w:r>
              <w:rPr>
                <w:rFonts w:ascii="Arial" w:cs="Arial" w:eastAsia="Arial" w:hAnsi="Arial"/>
                <w:sz w:val="14"/>
                <w:szCs w:val="14"/>
                <w:b w:val="1"/>
                <w:bCs w:val="1"/>
                <w:color w:val="auto"/>
                <w:w w:val="89"/>
              </w:rPr>
              <w:t>2006</w:t>
            </w:r>
          </w:p>
        </w:tc>
        <w:tc>
          <w:tcPr>
            <w:tcW w:w="6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(millions of unit cases)</w:t>
            </w:r>
          </w:p>
        </w:tc>
        <w:tc>
          <w:tcPr>
            <w:tcW w:w="6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179.4</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150.1</w:t>
            </w:r>
          </w:p>
        </w:tc>
        <w:tc>
          <w:tcPr>
            <w:tcW w:w="0" w:type="dxa"/>
            <w:vAlign w:val="bottom"/>
          </w:tcPr>
          <w:p>
            <w:pPr>
              <w:spacing w:after="0"/>
              <w:rPr>
                <w:sz w:val="1"/>
                <w:szCs w:val="1"/>
                <w:color w:val="auto"/>
              </w:rPr>
            </w:pPr>
          </w:p>
        </w:tc>
      </w:tr>
      <w:tr>
        <w:trPr>
          <w:trHeight w:val="203"/>
        </w:trPr>
        <w:tc>
          <w:tcPr>
            <w:tcW w:w="7900" w:type="dxa"/>
            <w:vAlign w:val="bottom"/>
          </w:tcPr>
          <w:p>
            <w:pPr>
              <w:spacing w:after="0" w:line="203" w:lineRule="exact"/>
              <w:rPr>
                <w:sz w:val="20"/>
                <w:szCs w:val="20"/>
                <w:color w:val="auto"/>
              </w:rPr>
            </w:pPr>
            <w:r>
              <w:rPr>
                <w:rFonts w:ascii="Arial" w:cs="Arial" w:eastAsia="Arial" w:hAnsi="Arial"/>
                <w:sz w:val="18"/>
                <w:szCs w:val="18"/>
                <w:color w:val="auto"/>
              </w:rPr>
              <w:t>% Growth</w:t>
            </w:r>
          </w:p>
        </w:tc>
        <w:tc>
          <w:tcPr>
            <w:tcW w:w="7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8.8%</w:t>
            </w:r>
          </w:p>
        </w:tc>
        <w:tc>
          <w:tcPr>
            <w:tcW w:w="2220" w:type="dxa"/>
            <w:vAlign w:val="bottom"/>
            <w:gridSpan w:val="3"/>
          </w:tcPr>
          <w:p>
            <w:pPr>
              <w:jc w:val="right"/>
              <w:ind w:right="480"/>
              <w:spacing w:after="0" w:line="203" w:lineRule="exact"/>
              <w:rPr>
                <w:sz w:val="20"/>
                <w:szCs w:val="20"/>
                <w:color w:val="auto"/>
              </w:rPr>
            </w:pPr>
            <w:r>
              <w:rPr>
                <w:rFonts w:ascii="Arial" w:cs="Arial" w:eastAsia="Arial" w:hAnsi="Arial"/>
                <w:sz w:val="18"/>
                <w:szCs w:val="18"/>
                <w:color w:val="auto"/>
              </w:rPr>
              <w:t>9.8%</w:t>
            </w:r>
          </w:p>
        </w:tc>
        <w:tc>
          <w:tcPr>
            <w:tcW w:w="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20"/>
                <w:szCs w:val="20"/>
                <w:color w:val="auto"/>
              </w:rPr>
            </w:pPr>
            <w:r>
              <w:rPr>
                <w:rFonts w:ascii="Arial" w:cs="Arial" w:eastAsia="Arial" w:hAnsi="Arial"/>
                <w:sz w:val="14"/>
                <w:szCs w:val="14"/>
                <w:b w:val="1"/>
                <w:bCs w:val="1"/>
                <w:color w:val="auto"/>
              </w:rPr>
              <w:t>Unit Case Volume Mix by Category</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(in percentages)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Sparkling beverages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w:t>
            </w:r>
          </w:p>
        </w:tc>
        <w:tc>
          <w:tcPr>
            <w:tcW w:w="2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Water</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Still beverages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100.0%</w:t>
            </w:r>
          </w:p>
        </w:tc>
        <w:tc>
          <w:tcPr>
            <w:tcW w:w="222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 xml:space="preserve">During 2007, returnable packaging accounted for 25.2% of total sales volume in Argentina in 2007 as compared to 24.7% in 2006. In 2006, as part of Coca-Cola FEMSA’s efforts to strengthen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it launched </w:t>
      </w:r>
      <w:r>
        <w:rPr>
          <w:rFonts w:ascii="Arial" w:cs="Arial" w:eastAsia="Arial" w:hAnsi="Arial"/>
          <w:sz w:val="16"/>
          <w:szCs w:val="16"/>
          <w:i w:val="1"/>
          <w:iCs w:val="1"/>
          <w:color w:val="auto"/>
        </w:rPr>
        <w:t>Coca-Cola Zero,</w:t>
      </w:r>
      <w:r>
        <w:rPr>
          <w:rFonts w:ascii="Arial" w:cs="Arial" w:eastAsia="Arial" w:hAnsi="Arial"/>
          <w:sz w:val="16"/>
          <w:szCs w:val="16"/>
          <w:color w:val="auto"/>
        </w:rPr>
        <w:t xml:space="preserve"> a line extension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Total sales volume reached 179.4 million unit cases in 2007, an increase of 8.8% compared with 164.9 million in 2006. The majority of the volume growth came from its non-returnable presentations, which represented over 60% of the sales volume increase. In 2007, multiple serving presentations for sparkling beverages remained flat at 83.7%.</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Brazil. </w:t>
      </w:r>
      <w:r>
        <w:rPr>
          <w:rFonts w:ascii="Arial" w:cs="Arial" w:eastAsia="Arial" w:hAnsi="Arial"/>
          <w:sz w:val="18"/>
          <w:szCs w:val="18"/>
          <w:color w:val="auto"/>
        </w:rPr>
        <w:t>Coca-Cola FEMSA’s product portfolio in Brazil consists mainly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and certain products sold under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trademarks and the </w:t>
      </w:r>
      <w:r>
        <w:rPr>
          <w:rFonts w:ascii="Arial" w:cs="Arial" w:eastAsia="Arial" w:hAnsi="Arial"/>
          <w:sz w:val="18"/>
          <w:szCs w:val="18"/>
          <w:i w:val="1"/>
          <w:iCs w:val="1"/>
          <w:color w:val="auto"/>
        </w:rPr>
        <w:t>Kaiser</w:t>
      </w:r>
      <w:r>
        <w:rPr>
          <w:rFonts w:ascii="Arial" w:cs="Arial" w:eastAsia="Arial" w:hAnsi="Arial"/>
          <w:sz w:val="18"/>
          <w:szCs w:val="18"/>
          <w:color w:val="auto"/>
        </w:rPr>
        <w:t xml:space="preserve"> beer brand, which Coca-Cola FEMSA sells and distributes on our behalf. Sparkling beverage per capita consumption of its products in Brazil during 2007 was 220 eight-ounce servings.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Brazil: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Product Sales Volume</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600" w:type="dxa"/>
            <w:vAlign w:val="bottom"/>
            <w:gridSpan w:val="2"/>
          </w:tcPr>
          <w:p>
            <w:pPr>
              <w:jc w:val="center"/>
              <w:ind w:left="198"/>
              <w:spacing w:after="0" w:line="142" w:lineRule="exact"/>
              <w:rPr>
                <w:sz w:val="20"/>
                <w:szCs w:val="20"/>
                <w:color w:val="auto"/>
              </w:rPr>
            </w:pPr>
            <w:r>
              <w:rPr>
                <w:rFonts w:ascii="Arial" w:cs="Arial" w:eastAsia="Arial" w:hAnsi="Arial"/>
                <w:sz w:val="14"/>
                <w:szCs w:val="14"/>
                <w:b w:val="1"/>
                <w:bCs w:val="1"/>
                <w:color w:val="auto"/>
                <w:w w:val="89"/>
              </w:rPr>
              <w:t>2006</w:t>
            </w:r>
          </w:p>
        </w:tc>
        <w:tc>
          <w:tcPr>
            <w:tcW w:w="6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(millions of unit cases)</w:t>
            </w:r>
          </w:p>
        </w:tc>
        <w:tc>
          <w:tcPr>
            <w:tcW w:w="6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296.1</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252.5</w:t>
            </w:r>
          </w:p>
        </w:tc>
        <w:tc>
          <w:tcPr>
            <w:tcW w:w="0" w:type="dxa"/>
            <w:vAlign w:val="bottom"/>
          </w:tcPr>
          <w:p>
            <w:pPr>
              <w:spacing w:after="0"/>
              <w:rPr>
                <w:sz w:val="1"/>
                <w:szCs w:val="1"/>
                <w:color w:val="auto"/>
              </w:rPr>
            </w:pPr>
          </w:p>
        </w:tc>
      </w:tr>
      <w:tr>
        <w:trPr>
          <w:trHeight w:val="203"/>
        </w:trPr>
        <w:tc>
          <w:tcPr>
            <w:tcW w:w="7900" w:type="dxa"/>
            <w:vAlign w:val="bottom"/>
          </w:tcPr>
          <w:p>
            <w:pPr>
              <w:spacing w:after="0" w:line="203" w:lineRule="exact"/>
              <w:rPr>
                <w:sz w:val="20"/>
                <w:szCs w:val="20"/>
                <w:color w:val="auto"/>
              </w:rPr>
            </w:pPr>
            <w:r>
              <w:rPr>
                <w:rFonts w:ascii="Arial" w:cs="Arial" w:eastAsia="Arial" w:hAnsi="Arial"/>
                <w:sz w:val="18"/>
                <w:szCs w:val="18"/>
                <w:color w:val="auto"/>
              </w:rPr>
              <w:t>% Growth</w:t>
            </w:r>
          </w:p>
        </w:tc>
        <w:tc>
          <w:tcPr>
            <w:tcW w:w="7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10.2%</w:t>
            </w:r>
          </w:p>
        </w:tc>
        <w:tc>
          <w:tcPr>
            <w:tcW w:w="2220" w:type="dxa"/>
            <w:vAlign w:val="bottom"/>
            <w:gridSpan w:val="3"/>
          </w:tcPr>
          <w:p>
            <w:pPr>
              <w:jc w:val="right"/>
              <w:ind w:right="480"/>
              <w:spacing w:after="0" w:line="203" w:lineRule="exact"/>
              <w:rPr>
                <w:sz w:val="20"/>
                <w:szCs w:val="20"/>
                <w:color w:val="auto"/>
              </w:rPr>
            </w:pPr>
            <w:r>
              <w:rPr>
                <w:rFonts w:ascii="Arial" w:cs="Arial" w:eastAsia="Arial" w:hAnsi="Arial"/>
                <w:sz w:val="18"/>
                <w:szCs w:val="18"/>
                <w:color w:val="auto"/>
              </w:rPr>
              <w:t>6.4%</w:t>
            </w:r>
          </w:p>
        </w:tc>
        <w:tc>
          <w:tcPr>
            <w:tcW w:w="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20"/>
                <w:szCs w:val="20"/>
                <w:color w:val="auto"/>
              </w:rPr>
            </w:pPr>
            <w:r>
              <w:rPr>
                <w:rFonts w:ascii="Arial" w:cs="Arial" w:eastAsia="Arial" w:hAnsi="Arial"/>
                <w:sz w:val="14"/>
                <w:szCs w:val="14"/>
                <w:b w:val="1"/>
                <w:bCs w:val="1"/>
                <w:color w:val="auto"/>
              </w:rPr>
              <w:t>Unit Case Volume Mix by Category</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(in percentages)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Sparkling beverages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w:t>
            </w:r>
          </w:p>
        </w:tc>
        <w:tc>
          <w:tcPr>
            <w:tcW w:w="2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Water</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Still beverages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100.0%</w:t>
            </w:r>
          </w:p>
        </w:tc>
        <w:tc>
          <w:tcPr>
            <w:tcW w:w="222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2007 almost 100% of its incremental volumes of sparkling beverages were in non-returnable presentations.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Total sales volume was 296.1 million unit cases in 2007, an increase of 10.2% compared to 268.7 million in 2006. This increase included 10.3% sparkling beverage volume growth during the year. In 2007, as part of its efforts to strengthen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Coca-Cola FEMSA launched </w:t>
      </w:r>
      <w:r>
        <w:rPr>
          <w:rFonts w:ascii="Arial" w:cs="Arial" w:eastAsia="Arial" w:hAnsi="Arial"/>
          <w:sz w:val="18"/>
          <w:szCs w:val="18"/>
          <w:i w:val="1"/>
          <w:iCs w:val="1"/>
          <w:color w:val="auto"/>
        </w:rPr>
        <w:t>Coca-Cola Zero,</w:t>
      </w:r>
      <w:r>
        <w:rPr>
          <w:rFonts w:ascii="Arial" w:cs="Arial" w:eastAsia="Arial" w:hAnsi="Arial"/>
          <w:sz w:val="18"/>
          <w:szCs w:val="18"/>
          <w:color w:val="auto"/>
        </w:rPr>
        <w:t xml:space="preserve"> a line extension of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Coca-Cola FEMSA sells and distributes the </w:t>
      </w:r>
      <w:r>
        <w:rPr>
          <w:rFonts w:ascii="Arial" w:cs="Arial" w:eastAsia="Arial" w:hAnsi="Arial"/>
          <w:sz w:val="15"/>
          <w:szCs w:val="15"/>
          <w:i w:val="1"/>
          <w:iCs w:val="1"/>
          <w:color w:val="auto"/>
        </w:rPr>
        <w:t>Kaiser</w:t>
      </w:r>
      <w:r>
        <w:rPr>
          <w:rFonts w:ascii="Arial" w:cs="Arial" w:eastAsia="Arial" w:hAnsi="Arial"/>
          <w:sz w:val="15"/>
          <w:szCs w:val="15"/>
          <w:color w:val="auto"/>
        </w:rPr>
        <w:t xml:space="preserve"> brands of beer in its territories in Brazil. In January 2006, we acquired an indirect controlling stake in Cervejarias Kaiser. Coca-Cola FEMSA continues to distribute the </w:t>
      </w:r>
      <w:r>
        <w:rPr>
          <w:rFonts w:ascii="Arial" w:cs="Arial" w:eastAsia="Arial" w:hAnsi="Arial"/>
          <w:sz w:val="15"/>
          <w:szCs w:val="15"/>
          <w:i w:val="1"/>
          <w:iCs w:val="1"/>
          <w:color w:val="auto"/>
        </w:rPr>
        <w:t>Kaiser</w:t>
      </w:r>
      <w:r>
        <w:rPr>
          <w:rFonts w:ascii="Arial" w:cs="Arial" w:eastAsia="Arial" w:hAnsi="Arial"/>
          <w:sz w:val="15"/>
          <w:szCs w:val="15"/>
          <w:color w:val="auto"/>
        </w:rPr>
        <w:t xml:space="preserve"> beer portfolio and to assume the sales function in São Paulo, Brazil, consistent with the arrangements in place prior to 2004. Beginning with the second quarter of 2005, Coca-Cola FEMSA ceased including beer that Coca-Cola FEMSA distributes in Brazil in its sales volumes. However, for comparability purposes, sales volumes presented in this report do not include beer sales for 2005, 2006 and 2007.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Jugos del Valle Acquisition</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On October 10, 2007, Administración, S.A.P.I. de C.V., or Administración, a Mexican joint venture company owned directly or indirectly by Coca-Cola FEMSA and The Coca-Cola Company, launched a public tender offer to buy 100% of the outstanding capital stock of Jugos del Valle, for approximately US$ 370 million in cash, equivalent to a price of US$ 6.3409 per share, assuming liabilities of approximately US$ 86 million.</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November 8, 2007, Administración, upon the expiration of the public tender offer, acquired 100% of the shares of capital stock of Jugos del Valle. This transaction was approved by the Mexican regulatory authorities and was carried out in Mexico. Jugos del Valle produces and sells fruit juices, beverages and other fruit derivatives. It is based in Mexico but markets its products internationally, particularly in Brazil and the United States of America.</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Coca-Cola FEMSA and The Coca-Cola Company invited all Mexican and Brazilian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bottlers to participate in a joint venture in the Mexican and Brazilian business, respectively, of Jugos del Valle on the same basic terms and conditions. In Mexico and Brazil, all of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bottlers agreed to participate in the corresponding sale of the shares, which is expected to be completed during 2008. Coca-Cola FEMSA will hold a stake of approximately 20% in the Mexican joint venture.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Beginning in February 2008, Coca-Cola FEMSA began to distribute Jugos del Valle brand juice-based beverages in its Mexican operations.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Sales of Coca-Cola FEMSA’s products are seasonal, as its sales levels generally increase during the summer months of each country and during the Christmas holiday season. In Mexico, Central America, Colombia and Venezuela, Coca-Cola FEMSA typically achieves its highest sales during the summer months of April through September as well as during the Christmas holidays in December. In Argentina and Brazil, its highest sales levels occur during the summer months of October through March and the Christmas holidays in December.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Coca-Cola FEMSA, in conjunction with The Coca-Cola Company, has developed a sophisticated marketing strategy to promote the sale and consumption of its products. Coca-Cola FEMSA relies extensively on advertising, sales promotions and non-price related retailer incentive programs designed by local affiliates of The Coca-Cola Company to target the particular preferences of its soft drink consumers. Its marketing expenses in 2007, net of contributions by The Coca-Cola Company, were Ps. 2,606 million. The Coca-Cola Company contributed an additional Ps. 1,582 million in 2007. Through the use of advanced information technology, it has collected customer and consumer information that allows it to tailor its marketing strategies to the types of customers located in each of its territories and to meet the specific needs of the various market segments it serves.</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Retailer Incentive Programs</w:t>
      </w:r>
      <w:r>
        <w:rPr>
          <w:rFonts w:ascii="Arial" w:cs="Arial" w:eastAsia="Arial" w:hAnsi="Arial"/>
          <w:sz w:val="16"/>
          <w:szCs w:val="16"/>
          <w:color w:val="auto"/>
        </w:rPr>
        <w:t>. Incentive programs include providing retailers with commercial coolers for the display and cooling of soft drink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 point-of-sale display materials. Coca-Cola FEMSA seeks, in particular, to increase cooler distribution among retailers to increase the visibility and consumption of its products and to ensure that they are sold at the proper temperature. Sales promotions include sponsorship of community activities, sporting, cultural and social events, and consumer sales promotions such as contests, sweepstakes and product giveaways.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color w:val="auto"/>
        </w:rPr>
        <w:t>. Coca-Cola FEMSA advertises in all major communications media. It focuses its advertising efforts on increasing brand recognition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and improving its customer relations. National advertising campaigns are designed and proposed by The Coca-Cola Company’s local affiliates, with Coca-Cola FEMSA’s input at the local or regional level.</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Channel Marketing</w:t>
      </w:r>
      <w:r>
        <w:rPr>
          <w:rFonts w:ascii="Arial" w:cs="Arial" w:eastAsia="Arial" w:hAnsi="Arial"/>
          <w:sz w:val="16"/>
          <w:szCs w:val="16"/>
          <w:color w:val="auto"/>
        </w:rPr>
        <w:t>. In order to provide more dynamic and specialized marketing of its products, Coca-Cola FEMSA’s strategy is to segment its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 targeted efforts for each segment or distribution channel. Its principal channels are small retailers, “on-premise” consumption such as restaurants and bars, supermarkets and third party distributors. Presence in these channels entails a comprehensive and detailed analysis of the purchasing patterns and preferences of various groups of soft drink consumers in each of the different types of locations or distribution channels. In response to this analysis, Coca-Cola FEMSA tailors its product, price, packaging and distribution strategies to meet the particular needs of and exploit the potential of each channel.</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Coca-Cola FEMSA believes that the implementation of its channel marketing strategy also enables it to respond to competitive initiatives with channel-specific responses as opposed to market-wide responses. This focused response capability isolates the effects of competitive pressure in a specific channel, thereby avoiding costlier market-wide responses. Coca-Cola FEMSA’s channel marketing activities are facilitated by its management information systems. Coca-Cola FEMSA has invested significantly in creating these systems, including in hand-held computers to support the gathering of product, consumer and delivery information, for most of its sales routes in Mexico and Argentina and selectively in other territories.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Multi-segmentation</w:t>
      </w:r>
      <w:r>
        <w:rPr>
          <w:rFonts w:ascii="Arial" w:cs="Arial" w:eastAsia="Arial" w:hAnsi="Arial"/>
          <w:sz w:val="18"/>
          <w:szCs w:val="18"/>
          <w:color w:val="auto"/>
        </w:rPr>
        <w:t>. Coca-Cola FEMSA has been implementing a multi-segmentation strategy in the majority of its markets. This strategy consists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of different product/price/package portfolios by market cluster or group. These clusters are defined based on competitive intensity and socio-economic levels, rather than solely on the types of distribution channels. Coca-Cola FEMSA has developed a market intelligence system that it refers to as the right-execution-daily system (RED), which has allowed it to implement this strategy. This system provides the data required to target specific consumer segments and channels and allows Coca-Cola FEMSA to collect and analyze the data required to tailor its product, package, price and distribution strategies to fit different consumer needs.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an overview of its product distribution centers and the retailers to which it sells its products: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Distribution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Central</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4"/>
              </w:rPr>
              <w:t>Mexico</w:t>
            </w:r>
          </w:p>
        </w:tc>
        <w:tc>
          <w:tcPr>
            <w:tcW w:w="2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America</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Colombia</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Venezuela</w:t>
            </w:r>
          </w:p>
        </w:tc>
        <w:tc>
          <w:tcPr>
            <w:tcW w:w="2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Argentina</w:t>
            </w: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Brazil</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93"/>
        </w:trPr>
        <w:tc>
          <w:tcPr>
            <w:tcW w:w="7260" w:type="dxa"/>
            <w:vAlign w:val="bottom"/>
          </w:tcPr>
          <w:p>
            <w:pPr>
              <w:spacing w:after="0"/>
              <w:rPr>
                <w:sz w:val="20"/>
                <w:szCs w:val="20"/>
                <w:color w:val="auto"/>
              </w:rPr>
            </w:pPr>
            <w:r>
              <w:rPr>
                <w:rFonts w:ascii="Arial" w:cs="Arial" w:eastAsia="Arial" w:hAnsi="Arial"/>
                <w:sz w:val="18"/>
                <w:szCs w:val="18"/>
                <w:color w:val="auto"/>
              </w:rPr>
              <w:t>Retailers (in thousands)</w:t>
            </w:r>
            <w:r>
              <w:rPr>
                <w:rFonts w:ascii="Arial" w:cs="Arial" w:eastAsia="Arial" w:hAnsi="Arial"/>
                <w:sz w:val="22"/>
                <w:szCs w:val="22"/>
                <w:color w:val="auto"/>
                <w:vertAlign w:val="superscript"/>
              </w:rPr>
              <w:t>(1)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600.1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110.9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346.0</w:t>
            </w:r>
          </w:p>
        </w:tc>
        <w:tc>
          <w:tcPr>
            <w:tcW w:w="580" w:type="dxa"/>
            <w:vAlign w:val="bottom"/>
          </w:tcPr>
          <w:p>
            <w:pPr>
              <w:jc w:val="right"/>
              <w:spacing w:after="0"/>
              <w:rPr>
                <w:sz w:val="20"/>
                <w:szCs w:val="20"/>
                <w:color w:val="auto"/>
              </w:rPr>
            </w:pPr>
            <w:r>
              <w:rPr>
                <w:rFonts w:ascii="Arial" w:cs="Arial" w:eastAsia="Arial" w:hAnsi="Arial"/>
                <w:sz w:val="18"/>
                <w:szCs w:val="18"/>
                <w:color w:val="auto"/>
              </w:rPr>
              <w:t>233.8</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80.9</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Estimated.</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Coca-Cola FEMSA continually evaluates its distribution model in order to fit with the local dynamics of the market place. Coca-Cola FEMSA is currently analyzing the way it goes to market, recognizing different service needs from its customers, while looking for a more efficient distribution model. As part of this strategy, Coca-Cola FEMSA is rolling out a variety of new distribution models throughout its territories looking for improvements in its distribution network.</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Coca-Cola FEMSA use two main sales methods depending on market and geographic conditions: (1) the traditional or conventional truck route system, in which the person in charge of the delivery makes immediate sales from inventory available on the truck and (2) the pre-sale system, which separates the sales and delivery functions and allows sales personnel to sell products prior to delivery and trucks to be loaded with the mix of products that retailers have previously ordered, thereby increasing distribution efficiency. Coca-Cola FEMSA also begun to use a hybrid distribution system in some of its territories, where the same truck holds product available for immediate sale and product previously ordered through the pre-sale system. As part of the pre-sale system, sales personnel also provide merchandising services during retailer visits, which it believes enhance the presentation of its products at the point of sale. Coca-Cola FEMSA believes that service visits to retailers and frequency of deliveries are essential elements in an effective selling and distribution system for its products. In certain areas, Coca-Cola FEMSA also makes sales through third party wholesalers of its products. The vast majority of its sales are on a cash basis.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Coca-Cola FEMSA’s distribution centers range from large warehousing facilities and re-loading centers to small deposit centers. In addition to its fleet of trucks, Coca-Cola FEMSA distributes its products in certain locations through a fleet of electric carts and hand-trucks in order to comply with local environmental and traffic regulations. Coca-Cola FEMSA generally retains third parties to transport its finished products from the bottler plants to the distribution centers.</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Mexico</w:t>
      </w:r>
      <w:r>
        <w:rPr>
          <w:rFonts w:ascii="Arial" w:cs="Arial" w:eastAsia="Arial" w:hAnsi="Arial"/>
          <w:sz w:val="16"/>
          <w:szCs w:val="16"/>
          <w:color w:val="auto"/>
        </w:rPr>
        <w:t>. Coca-Cola FEMSA contracts with one of our subsidiaries for the transportation of finished products to its distribution centers from its Mexican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facilities. See “Item 7. Major Shareholders and Related Party Transactions—Related Party Transactions.” From the distribution centers, it then distributes its finished products to retailers through its own fleet of trucks. During 2007, it closed 8 out of 92 distribution centers in its Mexican operations.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Mexico, Coca-Cola FEMSA sells a majority of its beverages at small retail stores to customers who take the beverages home or elsewhere for consumption. Coca-Cola FEMSA also sells products through the “on-premise” segment, supermarkets and others. The “on-premise” segment consists of sales through sidewalk stands, restaurants, bars and various types of dispensing machines as well as sales through point-of-sale programs in concert halls, auditoriums and theaters.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Territories other than Mexico</w:t>
      </w:r>
      <w:r>
        <w:rPr>
          <w:rFonts w:ascii="Arial" w:cs="Arial" w:eastAsia="Arial" w:hAnsi="Arial"/>
          <w:sz w:val="18"/>
          <w:szCs w:val="18"/>
          <w:color w:val="auto"/>
        </w:rPr>
        <w:t>. Coca-Cola FEMSA distributes its finished products to retailers through a combination of its own fleet of trucks and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distributors. At the end of 2007, Coca-Cola FEMSA operated 29, 37, 32, 5 and 12 distribution centers in its Central American territories, Colombia, Venezuela, Argentina and Brazil,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most of its territories, an important part of its total sales volume is through small retailers, with low supermarket penetration. In contrast, in Brazil Coca-Cola FEMSA sold more than 21% of its total sales volume through supermarkets in 2007. Also in Brazil, the delivery of its finished products to customers is by a third party. In designated zones in Brazil, third-party distributors purchase its products at a discount from the wholesale price and resell the products to retailers.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Coca-Cola FEMSA’s products enjoy wider recognition and greater consumer loyalty than those of its principal competitors, the soft drink segments in the territories in which it operates are highly competitive. Coca-Cola FEMSA’s principal competitors are local bottlers of Pepsi and other bottlers and distributors of national and regional soft drink brands. Coca-Cola FEMSA faces increased competition in many of its territories from producers of low price beverages, commonly referred to as “B brands.” A number of its competitors in Central America, Venezuela, Argentina and Brazil offer both soft drinks and beer, which may enable them to achieve distribution efficiencies.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Recently, price discounting and packaging have joined consumer sales promotions, customer service and non-price retailer incentives as the primary means of competition among soft drink bottlers. Coca-Cola FEMSA competes by seeking to offer products at an attractive price in the different segments in its markets and by building on the value of its brands. Coca-Cola FEMSA believes that the introduction of new products and new presentations has been a significant competitive technique that allows it to increase demand for its products, provide different options to consumers and increase new consumption opportunities. See “—Sales Overview.”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Mexico</w:t>
      </w:r>
      <w:r>
        <w:rPr>
          <w:rFonts w:ascii="Arial" w:cs="Arial" w:eastAsia="Arial" w:hAnsi="Arial"/>
          <w:sz w:val="18"/>
          <w:szCs w:val="18"/>
          <w:color w:val="auto"/>
        </w:rPr>
        <w:t>. Coca-Cola FEMSA’s principal competitors in Mexico are bottlers of Pepsi products, whose territories overlap but are not co-extensive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In central Mexico Coca-Cola FEMSA competes with a subsidiary of PBG, the largest bottler of Pepsi products globally, and Grupo Embotelladores Unidos, S.A.B. de C.V., the Pepsi bottler in central and southeast Mexico. In addition, Coca-Cola FEMSA competes with Cadbury Schweppes and with other national and regional brands in its Mexican territories. Coca-Cola FEMSA also competes with low price producers offering multiple serving size presentations in the soft drink industry.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Central America</w:t>
      </w:r>
      <w:r>
        <w:rPr>
          <w:rFonts w:ascii="Arial" w:cs="Arial" w:eastAsia="Arial" w:hAnsi="Arial"/>
          <w:sz w:val="16"/>
          <w:szCs w:val="16"/>
          <w:color w:val="auto"/>
        </w:rPr>
        <w:t>. In the countries that comprise its Central America segment, Coca-Cola FEMSA’s main competitors are Pepsi bottlers. In Guatemala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Nicaragua, it competes against a joint venture between AmBev and The Central American Bottler Corporation. In Costa Rica, its principal competitor is Embotelladora Centroamericana, S.A., and in Panama, its main competitor is Refrescos Nacionales, S.A. Coca-Cola FEMSA also faces competition from low price producers offering multiple serving size presentations in some Central American countries.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Colombia</w:t>
      </w:r>
      <w:r>
        <w:rPr>
          <w:rFonts w:ascii="Arial" w:cs="Arial" w:eastAsia="Arial" w:hAnsi="Arial"/>
          <w:sz w:val="16"/>
          <w:szCs w:val="16"/>
          <w:color w:val="auto"/>
        </w:rPr>
        <w:t>. Coca-Cola FEMSA’s principal competitor in Colombia is Postobón S.A., which it refers to as Postobón, a well-established local bottler that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flavored soft drinks, some of which have a wide consumption preference, such as cream soda, which is the second most popular category in the Colombian soft drink industry in terms of total sales volume, and that also sells Pepsi products. Postobón is a vertically integrated producer, the owners of which hold other significant commercial interests in Colombia. In the second half of 2007, Big Cola, a “B brand” producer, started operations in Colombia, increasing competition in multi serving size presentations. Coca-Cola FEMSA expects competition to intensify in 2008.</w:t>
      </w:r>
    </w:p>
    <w:p>
      <w:pPr>
        <w:spacing w:after="0" w:line="1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Venezuela</w:t>
      </w:r>
      <w:r>
        <w:rPr>
          <w:rFonts w:ascii="Arial" w:cs="Arial" w:eastAsia="Arial" w:hAnsi="Arial"/>
          <w:sz w:val="16"/>
          <w:szCs w:val="16"/>
          <w:color w:val="auto"/>
        </w:rPr>
        <w:t>. In Venezuela, Coca-Cola FEMSA’s main competitor is Pepsi-Cola Venezuela, C.A., a joint venture formed between PepsiCo and Empresas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Polar, S.A., the leading beer distributor in the country. Coca-Cola FEMSA also competes with the producers of Kola Real in part of the country.</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Argentina</w:t>
      </w:r>
      <w:r>
        <w:rPr>
          <w:rFonts w:ascii="Arial" w:cs="Arial" w:eastAsia="Arial" w:hAnsi="Arial"/>
          <w:sz w:val="16"/>
          <w:szCs w:val="16"/>
          <w:color w:val="auto"/>
        </w:rPr>
        <w:t>. In Argentina, Coca-Cola FEMSA’s main competitor is Buenos Aires Embotellador (BAESA), a Pepsi bottler, which is owned by Argentina’s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 brewery, Quilmes Industrial S.A., and indirectly controlled by AmBev. In addition, Coca-Cola FEMSA competes with a number of competitors offering generic, low priced soft drinks as well as many other generic products and private label proprietary supermarket brands.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Brazil</w:t>
      </w:r>
      <w:r>
        <w:rPr>
          <w:rFonts w:ascii="Arial" w:cs="Arial" w:eastAsia="Arial" w:hAnsi="Arial"/>
          <w:sz w:val="16"/>
          <w:szCs w:val="16"/>
          <w:color w:val="auto"/>
        </w:rPr>
        <w:t>. In Brazil, Coca-Cola FEMSA competes against AmBev, a Brazilian company with a portfolio of brands that includes Pepsi, local brands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flavors such as guaraná and proprietary beers. Coca-Cola FEMSA also competes against “B brands” or “Tubainas,” which are small, local producers of low cost flavored soft drinks in multiple serving presentations that represent an important portion of the soft drink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Pursuant to the bottler agreements with The Coca-Cola Company, Coca-Cola FEMSA is required to purchase concentrate, including aspartame, an artificial sweetener used in diet sodas, for all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from companies designated by The Coca-Cola Company. The price of concentrate for all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 is a percentage of the average price it charges to its retailers in local currency net of applicable taxes. Although The Coca-Cola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the right to unilaterally set the price of concentrates, in practice this percentage has historically been set pursuant to periodic negotiations with The Coca-Cola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2005, The Coca-Cola Company decided to gradually increase concentrate prices for sparkling beverages over a three year period in Mexico beginning in 2007, and in Brazil in 2006. As part of the new cooperation framework that Coca-Cola FEMSA arrived at with The Coca-Cola Company at the end of 2006, The Coca-Cola Company will provide a relevant portion of the funds derived from the incidence increase to marketing support of the sparkling and still beverages portfolio. See “Item 7. Major Shareholders and Related Party Transactions—Major Shareholders—New Cooperation Framework with The Coca-Cola Company.”</w:t>
      </w:r>
    </w:p>
    <w:p>
      <w:pPr>
        <w:spacing w:after="0" w:line="1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In addition to concentrate, Coca-Cola FEMSA purchases sweeteners, carbon dioxide, resin and ingots to make plastic bottles, finished plastic and glass bottles, cans, closures and fountain containers, as well as other packaging materials. Sweeteners are combined with water to produce basic syrup, which is added to the concentrate as the sweetener for the soft drink. Its bottler agreements provide that, with respect to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these materials may be purchased only from suppliers approved by The Coca-Cola Company. Prices for packaging materials and high fructose corn syrup historically are determined with reference to the U.S. dollar, although the local currency equivalent in a particular country is subject to price volatility in accordance with changes in exchange rates. Coca-Cola FEMSA’s most significant packaging raw material costs arise from the purchase of resin, plastic ingots to make plastic bottles and finished plastic bottles, which it obtains from international and local producers. The prices of these materials are tied to crude oil prices and global resin supply, and in the last years it has experienced volatility in the prices it pays for these materials. In Mexico, its average price for resin remained relatively stable during 2007.</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its agreements with The Coca-Cola Company, Coca-Cola FEMSA may use raw or refined sugar or high fructose corn syrup as sweeteners in its products. Sugar prices in all of the countries in which it operates, other than Brazil, are subject to local regulations and other barriers to market entry that cause it to pay in excess of international market prices for sugar in certain countries. Coca-Cola FEMSA has experienced sugar price volatility in these territories as a result of changes in local conditions, regulations and the stronger correlation to oil prices recently due to the use of sugar in alternative fuels.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None of the materials or supplies that Coca-Cola FEMSA uses is presently in short supply, although the supply of specific materials could be adversely affected by strikes, weather conditions, governmental controls or national emergency situations.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Mexico</w:t>
      </w:r>
      <w:r>
        <w:rPr>
          <w:rFonts w:ascii="Arial" w:cs="Arial" w:eastAsia="Arial" w:hAnsi="Arial"/>
          <w:sz w:val="18"/>
          <w:szCs w:val="18"/>
          <w:color w:val="auto"/>
        </w:rPr>
        <w:t>. Coca-Cola FEMSA purchases its returnable plastic bottles from Continental PET Technologies de México, S.A. de C.V, a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Continental Can, Inc., which has been the exclusive supplier of returnable plastic bottles to The Coca-Cola Company and its bottlers in Mexico. Coca-Cola FEMSA also mainly purchase resin from Arteva Specialties, S. de R.L. de C.V. and Industrias Voridian, S.A. de C.V., which ALPLA Fábrica de Plásticos, S.A. de C.V., known as ALPLA, manufactures into non-returnable plastic bottles for 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Coca-Cola FEMSA mainly purchases sugar from Promotora Mexicana de Embotelladoras, S.A. de C.V., known as PROMESA, a cooperative of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bottlers, in which it holds a 5.0% equity interest. These purchases are regularly made under one-year agreements between PROMESA and each bottler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for the sale of sugar at a price that is determined monthly based on the cost of sugar to PROMESA. Coca-Cola FEMSA also purchases sugar from Beta San Miguel, S.A. de C.V., a sugar cane producer in which it holds a 2.54% equity interest.</w:t>
      </w:r>
    </w:p>
    <w:p>
      <w:pPr>
        <w:spacing w:after="0" w:line="11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In December 2001, the Mexican government expropriated the majority of the sugar mills in Mexico. To manage this industry, the Mexican government entered into a trust agreement with Nacional Financiera, S.N.C., which we refer to as Nafin, a Mexican government-owned development bank, pursuant to which Nafin acts as trustee. In addition, the Mexican government imposed a 20% excise tax, effective January 1, 2002, on sparkling beverages sweetened with high fructose corn syrup. As a result, Coca-Cola FEMSA converted its Mexican bottler facilities to sugar cane-based production in early 2002. On January 1, 2003, the Mexican government broadened the reach of this tax by imposing a 20% excise tax on sparkling beverages produced with non-sugar sweetener. The effect of these excise taxes was to limit Coca-Cola FEMSA’s ability to substitute other sweeteners for sugar. Coca-Cola FEMSA initiated proceedings in Mexican federal court against this excise tax that allowed it to cease paying the tax in 2005 and 2006. Coca-Cola FEMSA also resumed the use of high fructose corn syrup as a sweetener. At the end of 2006, effective beginning in 2007, the Mexican government removed this excise tax. The government has also agreed to give back to the former owners the sugar mills expropriated in 2001, the process has begun and the majority of the sugar mills have being given back to their former owners.</w:t>
      </w:r>
    </w:p>
    <w:p>
      <w:pPr>
        <w:spacing w:after="0" w:line="108"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Imported sugar is also presently subject to import duties, the amount of which is set by the Mexican government. As a result, sugar prices in Mexico are in excess of international market prices for sugar. In 2006 and 2007, sugar prices increased.</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Central America</w:t>
      </w:r>
      <w:r>
        <w:rPr>
          <w:rFonts w:ascii="Arial" w:cs="Arial" w:eastAsia="Arial" w:hAnsi="Arial"/>
          <w:sz w:val="18"/>
          <w:szCs w:val="18"/>
          <w:color w:val="auto"/>
        </w:rPr>
        <w:t>. The majority of Coca-Cola FEMSA’s raw materials such as glass and plastic bottles and cans are purchased from several local suppliers.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Sugar is available from one supplier in each country. Local sugar prices, in certain countries that comprised the region, are significantly higher than international market prices and its ability to import sugar or high fructose corn syrup is limited.</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Colombia</w:t>
      </w:r>
      <w:r>
        <w:rPr>
          <w:rFonts w:ascii="Arial" w:cs="Arial" w:eastAsia="Arial" w:hAnsi="Arial"/>
          <w:sz w:val="16"/>
          <w:szCs w:val="16"/>
          <w:color w:val="auto"/>
        </w:rPr>
        <w:t>. Coca-Cola FEMSA uses sugar as a sweetener in its products, which it buys from several domestic sources. Coca-Cola FEMSA purchases pre-formed ingots from Amcor and Tapón Corona de Colombia S.A. Coca-Cola FEMSA purchases all its glass bottles and cans from suppliers, in which its competitor Postobón owns a 40% equity interest. Other suppliers exist for glass bottles, however, cans are available only from this one source.</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Venezuela</w:t>
      </w:r>
      <w:r>
        <w:rPr>
          <w:rFonts w:ascii="Arial" w:cs="Arial" w:eastAsia="Arial" w:hAnsi="Arial"/>
          <w:sz w:val="16"/>
          <w:szCs w:val="16"/>
          <w:color w:val="auto"/>
        </w:rPr>
        <w:t>. Coca-Cola FEMSA uses sugar as a sweetener in its products, which it purchase mainly from the local market. Since 2003, it has experienced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sugar shortage due to lower domestic production and the inability of the predominant sugar importers to obtain permissions to import. However, it was able to meet its sugar requirements through imports. Coca-Cola FEMSA buys glass bottles from one supplier, Productos de Vidrio, S.A., a local supplier, but there are other alternative suppliers authorized by The Coca-Cola Company. Coca-Cola FEMSA has several supplier options for plastic non-returnable bottles but it acquires most of its requirements from ALPLA de Venezuela, S.A.</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Argentina</w:t>
      </w:r>
      <w:r>
        <w:rPr>
          <w:rFonts w:ascii="Arial" w:cs="Arial" w:eastAsia="Arial" w:hAnsi="Arial"/>
          <w:sz w:val="16"/>
          <w:szCs w:val="16"/>
          <w:color w:val="auto"/>
        </w:rPr>
        <w:t>. In Argentina, Coca-Cola FEMSA uses high fructose corn syrup from several different local suppliers as a sweetener in its products instead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sugar. Coca-Cola FEMSA purchases glass bottles, plastic cases and other raw materials from several domestic sources. Coca-Cola FEMSA purchases pre-formed plastic ingots, as well as returnable plastic bottles, at competitive prices from Embotelladora del Atlántico S.A., a local subsidiary of Embotelladora Andina S.A., a Coca-Cola bottler with operations in Argentina, Chile and Brazil, and other international suppliers. Coca-Cola FEMSA purchases its can presentations and juice-based products for distribution to customers in Buenos Aires from CICAN S.A., which is directly or indirectly owned 100.0% by it after giving effect to the acquisition of the remaining 51.1% in November 2007.</w:t>
      </w:r>
    </w:p>
    <w:p>
      <w:pPr>
        <w:spacing w:after="0" w:line="12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b w:val="1"/>
          <w:bCs w:val="1"/>
          <w:i w:val="1"/>
          <w:iCs w:val="1"/>
          <w:color w:val="auto"/>
        </w:rPr>
        <w:t>Brazil</w:t>
      </w:r>
      <w:r>
        <w:rPr>
          <w:rFonts w:ascii="Arial" w:cs="Arial" w:eastAsia="Arial" w:hAnsi="Arial"/>
          <w:sz w:val="18"/>
          <w:szCs w:val="18"/>
          <w:color w:val="auto"/>
        </w:rPr>
        <w:t>. Sugar is widely available in Brazil at local market prices, which historically have been lower than international prices. Sugar prices in Brazil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recent periods have been volatile and Coca-Cola FEMSA’s average acquisition cost for sugar in 2007 decreased. Coca-Cola FEMSA purchases glass bottles, plastic bottles and cans from several domestic and international suppliers.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FEMSA Cerveza produces beer in Mexico and Brazil and exports its products to 47 countries worldwide, with North America being its most important export market, followed by certain markets in Europe, Latin America and Asia. In 2007, FEMSA Cerveza was ranked the twelfth-largest brewer in the world in terms of sales volume. In Mexico, its main market, FEMSA Cerveza is the second largest beer producer in terms of sales volume. In 2007, approximately 67.5% of FEMSA Cerveza’s sales volume came from Mexico, with the remaining 24.5% from Brazil and 8.0% from exports. In 2007, FEMSA Cerveza sold 39.940 million hectoliters of beer.</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FEMSA Cerveza’s principal operating subsidiaries are Grupo Cuauhtémoc Moctezuma, S.A. de C.V., which operates six breweries in Mexico, Cervejarias Kaiser Brasil S.A., or Kaiser, which operates eight breweries in Brazil, and Cervezas Cuauhtémoc Moctezuma, S.A. de C.V., which operates our company-owned distribution centers across Mexico.</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management has identified Brazil as one of the most attractive and profitable beer markets in the world. Accordingly, in January 2006, FEMSA Cerveza acquired a 68% equity stake in the Brazilian brewer Kaiser from The Molson Coors Brewing Co., or Molson Coors, for US$68 million, at the same time receiving indemnity rights for certain tax contingencies of Kaiser. Molson Coors later completed its exit from the Brazilian market in December 2006 by exercising a put option to sell its 15% stake in Kaiser to FEMSA Cerveza for US$15.6 million. Under the terms of the agreements governing FEMSA Cerveza’s original acquisition of Kaiser in January 2006, FEMSA Cerveza’s indemnity rights for certain tax contingencies provided by Molson Coors increased proportionately with the incremental 15% stake it acquired. In addition, on December 22, 2006, FEMSA Cerveza completed a capital increase of US$200 million in Kaiser. FEMSA Cerveza was the only shareholder to participate in the capital increase, and as a result of this transaction, FEMSA Cerveza owned 99.83% and Heineken N.V. was diluted from 17% to 0.17%. In August 2007, FEMSA Cerveza and Heineken N.V. closed a stock purchase agreement whereby Heineken NV purchased the shares necessary to regain its 17% interest in Kaiser. As a result of these transactions, FEMSA Cerveza owns 83% of Kaiser and Heineken N.V. owns 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Sales Volume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FEMSA Cerveza volume figures contained in this annual report refer to invoiced sales volume of beer. In Mexico, invoiced sales volume represents the quantity of hectoliters of beer sold by FEMSA Cerveza’s breweries to unaffiliated distributors and by affiliated distributors to retailers. In Brazil, invoiced sales volume represents the quantity of hectoliters of beer sold by Kaiser. Kaiser sells its products primarily to the Brazilian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which sell and distribute Kaiser beers in their respective territories. The term hectoliter means 100 liters or approximately 26.4 U.S. gallons.</w:t>
      </w:r>
    </w:p>
    <w:p>
      <w:pPr>
        <w:spacing w:after="0" w:line="113"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FEMSA Cerveza’s total beer sales volume totaled 39.940 million hectoliters in 2007, an increase of 5.9% from total sales volume of 37.697 million hectoliters in 2006. In 2007, FEMSA Cerveza’s Mexican beer sales volume increased by 3.9% to 26.962 million hectoliters, Brazil sales volume increased by</w:t>
      </w:r>
    </w:p>
    <w:p>
      <w:pPr>
        <w:ind w:right="80"/>
        <w:spacing w:after="0" w:line="261" w:lineRule="auto"/>
        <w:rPr>
          <w:sz w:val="20"/>
          <w:szCs w:val="20"/>
          <w:color w:val="auto"/>
        </w:rPr>
      </w:pPr>
      <w:r>
        <w:rPr>
          <w:rFonts w:ascii="Arial" w:cs="Arial" w:eastAsia="Arial" w:hAnsi="Arial"/>
          <w:sz w:val="18"/>
          <w:szCs w:val="18"/>
          <w:color w:val="auto"/>
        </w:rPr>
        <w:t>9.6% to 9.795 million hectoliters and export beer sales volume increased by 13.2% to 3.183 million hectoliters. Brazil sales volume prior to 2006 is not reported as the operation was not owned or operated by FEMSA Cerveza before January 2006.</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Total Beer Sales Volumes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580" w:type="dxa"/>
            <w:vAlign w:val="bottom"/>
            <w:tcBorders>
              <w:bottom w:val="single" w:sz="8" w:color="auto"/>
            </w:tcBorders>
          </w:tcPr>
          <w:p>
            <w:pPr>
              <w:spacing w:after="0"/>
              <w:rPr>
                <w:sz w:val="14"/>
                <w:szCs w:val="14"/>
                <w:color w:val="auto"/>
              </w:rPr>
            </w:pPr>
          </w:p>
        </w:tc>
      </w:tr>
      <w:tr>
        <w:trPr>
          <w:trHeight w:val="142"/>
        </w:trPr>
        <w:tc>
          <w:tcPr>
            <w:tcW w:w="810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2003</w:t>
            </w:r>
          </w:p>
        </w:tc>
      </w:tr>
      <w:tr>
        <w:trPr>
          <w:trHeight w:val="142"/>
        </w:trPr>
        <w:tc>
          <w:tcPr>
            <w:tcW w:w="8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(in thousands of hectoliters)</w:t>
            </w:r>
          </w:p>
        </w:tc>
        <w:tc>
          <w:tcPr>
            <w:tcW w:w="580" w:type="dxa"/>
            <w:vAlign w:val="bottom"/>
          </w:tcPr>
          <w:p>
            <w:pPr>
              <w:spacing w:after="0"/>
              <w:rPr>
                <w:sz w:val="12"/>
                <w:szCs w:val="1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Mexico beer sales volume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26,962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Brazil beer sales volume</w:t>
            </w:r>
          </w:p>
        </w:tc>
        <w:tc>
          <w:tcPr>
            <w:tcW w:w="560" w:type="dxa"/>
            <w:vAlign w:val="bottom"/>
          </w:tcPr>
          <w:p>
            <w:pPr>
              <w:jc w:val="right"/>
              <w:spacing w:after="0"/>
              <w:rPr>
                <w:sz w:val="20"/>
                <w:szCs w:val="20"/>
                <w:color w:val="auto"/>
              </w:rPr>
            </w:pPr>
            <w:r>
              <w:rPr>
                <w:rFonts w:ascii="Arial" w:cs="Arial" w:eastAsia="Arial" w:hAnsi="Arial"/>
                <w:sz w:val="18"/>
                <w:szCs w:val="18"/>
                <w:color w:val="auto"/>
              </w:rPr>
              <w:t>9,795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Export beer sales volume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Total beer sales volume</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39,940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37,697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27,018</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25,682</w:t>
            </w:r>
          </w:p>
        </w:tc>
        <w:tc>
          <w:tcPr>
            <w:tcW w:w="580" w:type="dxa"/>
            <w:vAlign w:val="bottom"/>
          </w:tcPr>
          <w:p>
            <w:pPr>
              <w:jc w:val="right"/>
              <w:spacing w:after="0"/>
              <w:rPr>
                <w:sz w:val="20"/>
                <w:szCs w:val="20"/>
                <w:color w:val="auto"/>
              </w:rPr>
            </w:pPr>
            <w:r>
              <w:rPr>
                <w:rFonts w:ascii="Arial" w:cs="Arial" w:eastAsia="Arial" w:hAnsi="Arial"/>
                <w:sz w:val="18"/>
                <w:szCs w:val="18"/>
                <w:color w:val="auto"/>
              </w:rPr>
              <w:t>24,564</w:t>
            </w:r>
          </w:p>
        </w:tc>
      </w:tr>
    </w:tbl>
    <w:p>
      <w:pPr>
        <w:spacing w:after="0" w:line="14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FEMSA Cerveza’s Mexican beer sales volume recorded a compounded average growth rate of 4.5% while growth in the Mexican beer industry increased 4.1% for the period from 2003 through 2007. This compares with the 3.8% compounded average growth rate of the Mexican gross domestic product for the same period. FEMSA Cerveza’s Mexican beer sales for the same period recorded a 6.1% compounded average growth rate. FEMSA Cerveza’s export sales volume recorded a compound average growth rate of 12.6% for the same period, while the compound average growth rate for FEMSA Cerveza export sales was 17.8%.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Cerveza’s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achieve its objectives in the Mexican market, FEMSA Cerveza seeks to:</w:t>
      </w:r>
    </w:p>
    <w:p>
      <w:pPr>
        <w:spacing w:after="0" w:line="90" w:lineRule="exact"/>
        <w:rPr>
          <w:sz w:val="20"/>
          <w:szCs w:val="20"/>
          <w:color w:val="auto"/>
        </w:rPr>
      </w:pPr>
    </w:p>
    <w:p>
      <w:pPr>
        <w:ind w:left="900" w:right="2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 advanced brand, packaging and price information gathering techniques </w:t>
      </w:r>
      <w:r>
        <w:rPr>
          <w:rFonts w:ascii="Arial" w:cs="Arial" w:eastAsia="Arial" w:hAnsi="Arial"/>
          <w:sz w:val="18"/>
          <w:szCs w:val="18"/>
          <w:color w:val="auto"/>
        </w:rPr>
        <w:t>at the point-of-sale to allow FEMSA Cerveza to fine tune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of brands and pricing at the level of individual retailers;</w:t>
      </w:r>
    </w:p>
    <w:p>
      <w:pPr>
        <w:spacing w:after="0" w:line="50" w:lineRule="exact"/>
        <w:rPr>
          <w:rFonts w:ascii="Arial" w:cs="Arial" w:eastAsia="Arial" w:hAnsi="Arial"/>
          <w:sz w:val="18"/>
          <w:szCs w:val="18"/>
          <w:color w:val="auto"/>
        </w:rPr>
      </w:pPr>
    </w:p>
    <w:p>
      <w:pPr>
        <w:ind w:left="900" w:right="140" w:hanging="446"/>
        <w:spacing w:after="0" w:line="35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innovate through a differentiated brand portfolio and increase the value of its brands </w:t>
      </w:r>
      <w:r>
        <w:rPr>
          <w:rFonts w:ascii="Arial" w:cs="Arial" w:eastAsia="Arial" w:hAnsi="Arial"/>
          <w:sz w:val="15"/>
          <w:szCs w:val="15"/>
          <w:color w:val="auto"/>
        </w:rPr>
        <w:t>by tailoring its portfolio of brands based on the attributes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each brand to specific markets using marketing techniques such as market segmentation, brand positioning and distinctive advertising campaigns;</w:t>
      </w:r>
    </w:p>
    <w:p>
      <w:pPr>
        <w:ind w:left="900" w:right="280" w:hanging="446"/>
        <w:spacing w:after="0" w:line="35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 profitable, long-term relationships with retailers </w:t>
      </w:r>
      <w:r>
        <w:rPr>
          <w:rFonts w:ascii="Arial" w:cs="Arial" w:eastAsia="Arial" w:hAnsi="Arial"/>
          <w:sz w:val="15"/>
          <w:szCs w:val="15"/>
          <w:color w:val="auto"/>
        </w:rPr>
        <w:t>by implementing client-specific strategies to help increase their sales and profitability,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as modifying commercial terms with retailers, promotions and types of refrigeration equipment and point-of-sale marketing materials;</w:t>
      </w:r>
    </w:p>
    <w:p>
      <w:pPr>
        <w:ind w:left="900" w:right="1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achieve balanced and profitable retail distribution levels </w:t>
      </w:r>
      <w:r>
        <w:rPr>
          <w:rFonts w:ascii="Arial" w:cs="Arial" w:eastAsia="Arial" w:hAnsi="Arial"/>
          <w:sz w:val="18"/>
          <w:szCs w:val="18"/>
          <w:color w:val="auto"/>
        </w:rPr>
        <w:t>by selecting the appropriate mix of on- and off-premise accounts, and a balance of image-focused accounts (like upscale restaurants) and volume-driven accounts (like beer depots); and</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additional efficiencies and cost reductions on a continuing basis </w:t>
      </w:r>
      <w:r>
        <w:rPr>
          <w:rFonts w:ascii="Arial" w:cs="Arial" w:eastAsia="Arial" w:hAnsi="Arial"/>
          <w:sz w:val="18"/>
          <w:szCs w:val="18"/>
          <w:color w:val="auto"/>
        </w:rPr>
        <w:t>from production to final distribution, by pursuing specific cost reduction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using information technology and improving business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Mexican Beer Market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Mexican beer market was the eighth largest beer market in the world in terms of industry sales volume in 2007 and is characterized by (1) concentrated domestic beer production, (2) regional market share differences, (3) the prevalence of government licensing regulations and (4) favorable demographics in the beer drinking population.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Mexican beer production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Since 1985, Mexico has effectively had only two independent domestic beer producers, FEMSA Cerveza and Grupo Modelo. Grupo Modelo, a publicly traded company based in Mexico City, is the holding company of 76.8% of Diblo, S.A. de C.V., which operates the brewing and packaging subsidiaries of Grupo Modelo. Grupo Modelo’s principal beer brands are </w:t>
      </w:r>
      <w:r>
        <w:rPr>
          <w:rFonts w:ascii="Arial" w:cs="Arial" w:eastAsia="Arial" w:hAnsi="Arial"/>
          <w:sz w:val="18"/>
          <w:szCs w:val="18"/>
          <w:i w:val="1"/>
          <w:iCs w:val="1"/>
          <w:color w:val="auto"/>
        </w:rPr>
        <w:t>Corona</w:t>
      </w:r>
      <w:r>
        <w:rPr>
          <w:rFonts w:ascii="Arial" w:cs="Arial" w:eastAsia="Arial" w:hAnsi="Arial"/>
          <w:sz w:val="18"/>
          <w:szCs w:val="18"/>
          <w:color w:val="auto"/>
        </w:rPr>
        <w:t xml:space="preserve">, </w:t>
      </w:r>
      <w:r>
        <w:rPr>
          <w:rFonts w:ascii="Arial" w:cs="Arial" w:eastAsia="Arial" w:hAnsi="Arial"/>
          <w:sz w:val="18"/>
          <w:szCs w:val="18"/>
          <w:i w:val="1"/>
          <w:iCs w:val="1"/>
          <w:color w:val="auto"/>
        </w:rPr>
        <w:t>Modelo</w:t>
      </w:r>
      <w:r>
        <w:rPr>
          <w:rFonts w:ascii="Arial" w:cs="Arial" w:eastAsia="Arial" w:hAnsi="Arial"/>
          <w:sz w:val="18"/>
          <w:szCs w:val="18"/>
          <w:color w:val="auto"/>
        </w:rPr>
        <w:t xml:space="preserve">, </w:t>
      </w:r>
      <w:r>
        <w:rPr>
          <w:rFonts w:ascii="Arial" w:cs="Arial" w:eastAsia="Arial" w:hAnsi="Arial"/>
          <w:sz w:val="18"/>
          <w:szCs w:val="18"/>
          <w:i w:val="1"/>
          <w:iCs w:val="1"/>
          <w:color w:val="auto"/>
        </w:rPr>
        <w:t>Victoria</w:t>
      </w:r>
      <w:r>
        <w:rPr>
          <w:rFonts w:ascii="Arial" w:cs="Arial" w:eastAsia="Arial" w:hAnsi="Arial"/>
          <w:sz w:val="18"/>
          <w:szCs w:val="18"/>
          <w:color w:val="auto"/>
        </w:rPr>
        <w:t xml:space="preserve"> and </w:t>
      </w:r>
      <w:r>
        <w:rPr>
          <w:rFonts w:ascii="Arial" w:cs="Arial" w:eastAsia="Arial" w:hAnsi="Arial"/>
          <w:sz w:val="18"/>
          <w:szCs w:val="18"/>
          <w:i w:val="1"/>
          <w:iCs w:val="1"/>
          <w:color w:val="auto"/>
        </w:rPr>
        <w:t>Pacífico</w:t>
      </w:r>
      <w:r>
        <w:rPr>
          <w:rFonts w:ascii="Arial" w:cs="Arial" w:eastAsia="Arial" w:hAnsi="Arial"/>
          <w:sz w:val="18"/>
          <w:szCs w:val="18"/>
          <w:color w:val="auto"/>
        </w:rPr>
        <w:t>. FEMSA Cerveza’s sales in the Mexican market depend on its ability to compete with Grupo Modelo.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Historically, beer imports have not been a significant factor in the Mexican beer market, primarily due to the Mexican consumer preference of Mexican brands. In 2007, this segment accounted for approximately 2.3% of total Mexican beer market in terms of sales volume. FEMSA Cerveza believes that the elimination of tariffs imposed on imported beers has had a limited effect on the Mexican beer market due to the fact that imported beers are largely premium and super-premium products sold in aluminum cans, which are a more expensive means of packaging in Mexico than beer sold in returnable bottles, and also given the dynamics of the beer market, where the point of sale is highly fragmented. Periods of relative strength of the Mexican peso with respect to the U.S. dollar, however, may lower the price of imported beer to consumers and may result in increased demand for imported beer in the Mexican market.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Regional market share differences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FEMSA Cerveza and Grupo Modelo are both strongest in beer markets in separate regions of Mexico. FEMSA Cerveza has a stronger market position in the northern and southern areas of Mexico while Grupo Modelo has a stronger market position in central Mexico. We believe that these regional market positions can be traced in part to consumer loyalty to the brand of beer that has historically been associated with a particular region.</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also believe that regional market strength is a function of the proximity of the breweries to the markets they serve. Transportation costs restrict the most efficient distribution of beer to a geographic area of approximately 300 to 500 kilometers surrounding a brewery. Generally, FEMSA Cerveza commands a majority of the beer sales in regions that are nearest to its largest breweries. FEMSA Cerveza’s largest breweries are in Orizaba, Veracruz and in Monterrey, Nuevo León. Grupo Modelo’s largest breweries are located in Mexico City, Oaxaca and Zacatecas.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northern region of Mexico has traditionally enjoyed a higher per capita income level, attributable in part to its rapid industrialization within the last 50 years and to its commercial proximity to the United States. In addition, FEMSA Cerveza believes that per capita beer consumption is also greater in this region due to its warmer climate and a more ingrained beer culture.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Mexican Regional Demographic Statistics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Percent of Total</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Per Capita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2007 Gross</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2007 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2007 Total</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Domestic</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Domestic</w:t>
            </w:r>
          </w:p>
        </w:tc>
        <w:tc>
          <w:tcPr>
            <w:tcW w:w="0" w:type="dxa"/>
            <w:vAlign w:val="bottom"/>
          </w:tcPr>
          <w:p>
            <w:pPr>
              <w:spacing w:after="0"/>
              <w:rPr>
                <w:sz w:val="1"/>
                <w:szCs w:val="1"/>
                <w:color w:val="auto"/>
              </w:rPr>
            </w:pPr>
          </w:p>
        </w:tc>
      </w:tr>
      <w:tr>
        <w:trPr>
          <w:trHeight w:val="176"/>
        </w:trPr>
        <w:tc>
          <w:tcPr>
            <w:tcW w:w="7880" w:type="dxa"/>
            <w:vAlign w:val="bottom"/>
            <w:gridSpan w:val="3"/>
          </w:tcPr>
          <w:p>
            <w:pPr>
              <w:spacing w:after="0"/>
              <w:rPr>
                <w:sz w:val="20"/>
                <w:szCs w:val="20"/>
                <w:color w:val="auto"/>
              </w:rPr>
            </w:pPr>
            <w:r>
              <w:rPr>
                <w:rFonts w:ascii="Arial" w:cs="Arial" w:eastAsia="Arial" w:hAnsi="Arial"/>
                <w:sz w:val="14"/>
                <w:szCs w:val="14"/>
                <w:b w:val="1"/>
                <w:bCs w:val="1"/>
                <w:color w:val="auto"/>
              </w:rPr>
              <w:t>Region</w:t>
            </w: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Population</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Product</w:t>
            </w:r>
          </w:p>
        </w:tc>
        <w:tc>
          <w:tcPr>
            <w:tcW w:w="680" w:type="dxa"/>
            <w:vAlign w:val="bottom"/>
            <w:gridSpan w:val="2"/>
          </w:tcPr>
          <w:p>
            <w:pPr>
              <w:jc w:val="center"/>
              <w:ind w:right="20"/>
              <w:spacing w:after="0" w:line="176" w:lineRule="exact"/>
              <w:rPr>
                <w:sz w:val="20"/>
                <w:szCs w:val="20"/>
                <w:color w:val="auto"/>
              </w:rPr>
            </w:pPr>
            <w:r>
              <w:rPr>
                <w:rFonts w:ascii="Arial" w:cs="Arial" w:eastAsia="Arial" w:hAnsi="Arial"/>
                <w:sz w:val="13"/>
                <w:szCs w:val="13"/>
                <w:b w:val="1"/>
                <w:bCs w:val="1"/>
                <w:color w:val="auto"/>
                <w:w w:val="88"/>
              </w:rPr>
              <w:t>Product</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Northern</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26.9%</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Ps. 106.1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22.9</w:t>
            </w: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Ps.  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Thousands of pesos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Source: FEMSA Cerveza estimates based on figures published by the Mexican Institute of Statistics (INEGI) and CAPEM Oxford Economics Forecasting.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Mexican federal government regulates beer consumption in Mexico primarily through taxation while local governments in Mexico regulate primarily through the issuance of licenses that authorize retailers to sell alcoholic beverages.</w:t>
      </w:r>
    </w:p>
    <w:p>
      <w:pPr>
        <w:spacing w:after="0" w:line="13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Prior to 2005, federal taxes on beer consisted of a 15% value-added tax and an excise tax which is the higher of (1) 25% and (2) Ps. 3 per liter for non-returnable presentation or Ps. 1.74 for returnable presentations, as part of an environmental initiative by the Mexican governmental to encourage returnable presentations. The tax component of retail beer prices is significantly higher in Mexico than in the United States.</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number of retail outlets authorized to sell beer is controlled by local jurisdictions, which issue licenses authorizing the sale of alcoholic beverages. Other regulations regarding beer consumption in Mexico vary according to local jurisdiction and include limitations on the hours during which restaurants, bars and other retail outlets are allowed to sell beer and other alcoholic beverages.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FEMSA Cerveza has been engaged in addressing these limitations at various levels, including efforts with governmental and civil authorities to promote better education for the responsible consumption of beer. For instance, as part of its ongoing community activities, FEMSA Cerveza has been an active sponsor of a nationwide designated driver program in Mexico.</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Since July 1984, Mexican federal regulation has required that all forms of beer packaging carry a warning advising that excessive consumption of beer is hazardous to one’s health. In addition, the </w:t>
      </w:r>
      <w:r>
        <w:rPr>
          <w:rFonts w:ascii="Arial" w:cs="Arial" w:eastAsia="Arial" w:hAnsi="Arial"/>
          <w:sz w:val="18"/>
          <w:szCs w:val="18"/>
          <w:i w:val="1"/>
          <w:iCs w:val="1"/>
          <w:color w:val="auto"/>
        </w:rPr>
        <w:t>Ley General de Salud</w:t>
      </w:r>
      <w:r>
        <w:rPr>
          <w:rFonts w:ascii="Arial" w:cs="Arial" w:eastAsia="Arial" w:hAnsi="Arial"/>
          <w:sz w:val="18"/>
          <w:szCs w:val="18"/>
          <w:color w:val="auto"/>
        </w:rPr>
        <w:t xml:space="preserve"> (the General Health Law), requires that all beers sold in Mexico maintain a sanitation registration with the </w:t>
      </w:r>
      <w:r>
        <w:rPr>
          <w:rFonts w:ascii="Arial" w:cs="Arial" w:eastAsia="Arial" w:hAnsi="Arial"/>
          <w:sz w:val="18"/>
          <w:szCs w:val="18"/>
          <w:i w:val="1"/>
          <w:iCs w:val="1"/>
          <w:color w:val="auto"/>
        </w:rPr>
        <w:t>Secretaría de Salud</w:t>
      </w:r>
      <w:r>
        <w:rPr>
          <w:rFonts w:ascii="Arial" w:cs="Arial" w:eastAsia="Arial" w:hAnsi="Arial"/>
          <w:sz w:val="18"/>
          <w:szCs w:val="18"/>
          <w:color w:val="auto"/>
        </w:rPr>
        <w:t xml:space="preserve"> (the Ministry of Health).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Demographics of beer drinking population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estimate that annual per capita beer consumption for the total Mexican population reached approximately 59 liters in 2007. The legal drinking age is 18 in Mexico. We consider the population segment of men between the ages of 18 and 45 to be FEMSA Cerveza’s primary market. At least 38% of the Mexican population is under the age of 18 and, therefore, is not considered to be part of the beer drinking population.</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Based on historical trends and what management perceives as the continued social acceptance of beer consumption, FEMSA Cerveza believes that general population growth will result in an increase in the number of beer consumers in Mexico. Based on historical trends as measured by the Mexican Institute of Statistics, we expect the Mexican population to grow at an average annual rate of approximately 0.8% per year over the period from 2008 to 2012. We estimate that over the next 10 years approximately in excess of 1.5 million additional people per year will become potential beer consumers due to the natural aging of the Mexican population.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2007, estimated annual per capita beer consumption was approximately 59 liters in Mexico, as compared to approximately 82 liters in the United States.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Macroeconomic influences affecting beer consumption</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believe that consumption activity in the Mexican beer market is heavily influenced by the general level of economic activity in Mexico, the country’s gross wage base, changes in real disposable income and employment levels. As a result, the beer industry reacts sharply to economic change. The industry generally experiences high volume growth in periods of economic strength and slower volume growth or volume contraction in periods of economic weakness. Domestic beer sales declined in Mexico in 1982, 1983 and 1995. These sales decreases correspond to periods in which the Mexican economy experienced severe disruptions. Similarly, the economic slowdown observed in 2002 corresponded to a reduction in domestic beer sales in 2002. In 2003, given the effect of a continued economic slowdown on consumers, FEMSA Cerveza decided not to increase prices. The reduction in prices in real terms (after giving effect to inflation) was the main driver for increasing sales volumes during 2003. In 2004, growth in Mexico’s gross domestic product was the main driver for increasing beer sales volume, despite price increases in nominal terms in the Mexican beer industry. In 2005, 2006 and 2007, beer sales volume growth outpaced growth in Mexico’s gross domestic product. In 2006, beer sales volume growth was the highest in the last ten years due to the strong economy, which boosted consumption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Prices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2005, FEMSA Cerveza increased prices in Mexico in line with inflation. In 2006, FEMSA Cerveza again increased prices, however, the increase in prices in 2006 was below the average increase registered in the Mexican consumer price index. During 2007, FEMSA Cerveza increased prices to partially compensate for the increase in raw material prices.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According to the Bank of Mexico’s consumer beer price index, for the Mexican beer industry as a whole, average consumer beer prices increased 2.9% in nominal terms in 2007, which means that the prices were flat in real terms. The following table shows relative real average retail prices since 2003 for the Mexican beer industry: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Mexican Beer Industry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Real Consumer Beer Price Index: 2003-2007</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3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2007</w:t>
            </w:r>
          </w:p>
        </w:tc>
        <w:tc>
          <w:tcPr>
            <w:tcW w:w="2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2006</w:t>
            </w:r>
          </w:p>
        </w:tc>
        <w:tc>
          <w:tcPr>
            <w:tcW w:w="27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2005</w:t>
            </w:r>
          </w:p>
        </w:tc>
        <w:tc>
          <w:tcPr>
            <w:tcW w:w="27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2004</w:t>
            </w:r>
          </w:p>
        </w:tc>
        <w:tc>
          <w:tcPr>
            <w:tcW w:w="2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5000" w:type="dxa"/>
            <w:vAlign w:val="bottom"/>
            <w:gridSpan w:val="3"/>
            <w:shd w:val="clear" w:color="auto" w:fill="CCEEFF"/>
          </w:tcPr>
          <w:p>
            <w:pPr>
              <w:jc w:val="right"/>
              <w:ind w:right="2280"/>
              <w:spacing w:after="0"/>
              <w:rPr>
                <w:sz w:val="20"/>
                <w:szCs w:val="20"/>
                <w:color w:val="auto"/>
              </w:rPr>
            </w:pPr>
            <w:r>
              <w:rPr>
                <w:rFonts w:ascii="Arial" w:cs="Arial" w:eastAsia="Arial" w:hAnsi="Arial"/>
                <w:sz w:val="18"/>
                <w:szCs w:val="18"/>
                <w:color w:val="auto"/>
              </w:rPr>
              <w:t>98.0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Source: Bank of México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Overview</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As of December 31, 2007, in Mexico FEMSA Cerveza produced and/or distributed 21 brands of beer in 14 different presentations resulting in a portfolio of 102 different product offerings. The most important brands in FEMSA Cerveza’s Mexican portfolio include: </w:t>
      </w:r>
      <w:r>
        <w:rPr>
          <w:rFonts w:ascii="Arial" w:cs="Arial" w:eastAsia="Arial" w:hAnsi="Arial"/>
          <w:sz w:val="16"/>
          <w:szCs w:val="16"/>
          <w:i w:val="1"/>
          <w:iCs w:val="1"/>
          <w:color w:val="auto"/>
        </w:rPr>
        <w:t>Tecate, Sol, Carta Blanca</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Indio.</w:t>
      </w:r>
      <w:r>
        <w:rPr>
          <w:rFonts w:ascii="Arial" w:cs="Arial" w:eastAsia="Arial" w:hAnsi="Arial"/>
          <w:sz w:val="16"/>
          <w:szCs w:val="16"/>
          <w:color w:val="auto"/>
        </w:rPr>
        <w:t xml:space="preserve"> These four brands, all of which are distributed nationwide in Mexico, accounted for approximately 89% of FEMSA Cerveza’s Mexico beer sales volume in 2007.</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Per capita information, product segments, relative prices and packaging information with respect to FEMSA Cerveza have been computed and are based upon our statistics and 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Presentations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its Mexican operations, FEMSA Cerveza produces and distributes beer in returnable glass bottles and kegs and in non-returnable aluminum cans and glass bottles. FEMSA Cerveza uses the term presentation to reflect these packaging options.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Returnable presentations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most popular form of packaging in the Mexican beer market is the returnable bottle. FEMSA Cerveza believes that the popularity of the returnable bottle is attributable to its lower price to the consumer. Returnable bottles may be reused an average of 30 times before being recycled. As a result, beer producers are able to charge lower prices for beer in returnable bottles. During periods when the Mexican economy is weak, returnable sales volume generally increase at a faster rate relative to non-returnable sales volume, given that non-returnable bottles are a more expensive presentation.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Non-returnable presentations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FEMSA Cerveza’s presentation mix in Mexico has been growing in non-returnable presentations in the last few years, as we tailor our offering to consumer preferences and provide different convenient alternatives. However, we believe that demand for these presentations is highly sensitive to economic factors because of their higher prices. The vast majority of export sales are in non-returnable presentations.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Pricing</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Returnable bottles and kegs are the least expensive beer presentation on a per-milliliter basis. Cans and non-returnable bottles have historically been priced higher than returnable bottles. The consumer preference for presentations in cans has varied considerably over the past 20 years, rising in periods of economic prosperity and declining in periods of economic austerity, reflecting the price differential between these forms of packaging.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Demand for FEMSA Cerveza’s beer is highest in the Mexican summer season, and consequently, brewery utilization rates are at their highest during this period. Demand for FEMSA Cerveza’s products also tends to increase in the month of December, reflecting consumption during the holiday season. Demand for FEMSA Cerveza’s products decreases during the months of November, January and February primarily as a result of colder weather in the northern regions of Mexico.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96"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FEMSA Cerveza’s primary distribution in Mexico is from its production facilities to its distribution centers’ warehouses. FEMSA Cerveza delivers to a combination of company-owned and third party distributors. In an effort to improve the efficiency and alignment of the distribution network, FEMSA Cerveza has adjusted its relationship with independent distributors by implementing franchise agreements and as a result, has achieved economies of scale through integration with FEMSA Cerveza’s operating systems. In recent years, FEMSA Cerveza has achieved infrastructure and personnel efficiencies through the integration of company-owned distribution centers. The results of these efficiencies have been partially diminished by the acquisition of third party distribution centers. FEMSA Cerveza has increased its directly distributed volume in respect of its Mexican beer sales volume to 85%, operating through 234 company-owned distribution centers. The remaining 15% of the beer sales volume was sold through 68 third party distribution centers, most of them operating under franchise agreements with FEMSA Cerveza. A franchise agreement is offered only to those distributors that meet certain standards of operating capabilities, performance and alignment. FEMSA Cerveza has historically and intends to continue in the future to acquire those distributors that do not meet these standards. Through this initiative FEMSA Cerveza will continue to seek to increase its Mexico beer sales volume through company-owned distribution centers.</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addition to distributing its own brands, on June 22, 2004, FEMSA Cerveza’s brewing subsidiary and Coors Brewing Company entered into an agreement pursuant to which FEMSA Cerveza’s subsidiary was appointed the exclusive importer, distributor, marketer and seller of </w:t>
      </w:r>
      <w:r>
        <w:rPr>
          <w:rFonts w:ascii="Arial" w:cs="Arial" w:eastAsia="Arial" w:hAnsi="Arial"/>
          <w:sz w:val="16"/>
          <w:szCs w:val="16"/>
          <w:i w:val="1"/>
          <w:iCs w:val="1"/>
          <w:color w:val="auto"/>
        </w:rPr>
        <w:t>Coors Light</w:t>
      </w:r>
      <w:r>
        <w:rPr>
          <w:rFonts w:ascii="Arial" w:cs="Arial" w:eastAsia="Arial" w:hAnsi="Arial"/>
          <w:sz w:val="16"/>
          <w:szCs w:val="16"/>
          <w:color w:val="auto"/>
        </w:rPr>
        <w:t xml:space="preserve"> beer in Mexico.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Distribution</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main sales outlets for beer in Mexico are small, independently-owned “mom and pop” grocery stores, dedicated beer stores or “depósitos,” liquor stores and bars. Supermarkets account for only a small percentage of beer sales in Mexico. In addition, FEMSA Comercio operates a chain of more than 5,500 convenience stores under the trade name OXXO that exclusively sell FEMSA Cerveza’s brands.</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Mexican retail market is fragmented and characterized by a preponderance of small outlets that are unable and unwilling to maintain meaningful inventory levels. Consequently, FEMSA Cerveza must make frequent product deliveries to its retailers. In recent years, FEMSA Cerveza has implemented the pre-sale process of distribution in its markets to improve its distribution practices. FEMSA Cerveza has completed the pre-sale process in all of its company-owned distribution centers. The pre-sale process is a distribution method in which the sales and delivery functions are separated and trucks are loaded with the actual mix of products that retailers have previously ordered. One of the primary objectives of pre-sale is to separate sales from distribution to ensure more reliable market access and to enhance efficiency by reducing the number of secondary distribution routes in otherwise highly fragmented markets. Where pre-sale has been implemented, we have experienced a significant reduction in unsold product and a net reduction in distribution personnel. The existence of the pre-sale process facilitates systematic product delivery and helps discipline product inventory at the point-of-sale. Furthermore, pre-sale has enabled FEMSA Cerveza to collect customer and consumer information directly from the marketplace, which then becomes valuable in defining brand portfolios by channel. See “— Marketing Strategy.”</w:t>
      </w:r>
    </w:p>
    <w:p>
      <w:pPr>
        <w:spacing w:after="0" w:line="12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December 31, 2007, FEMSA Cerveza serves more than 340,000 retailers in Mexico and its distribution network operates approximately 2,137 retail distribution routes.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Resource Planning</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FEMSA Cerveza operates an Enterprise Resource Planning system, or ERP, that provides an information and control platform to support commercial activities nationwide in Mexico and correlate them with the administrative and business development decision-making process occurring in FEMSA Cerveza’s central office. The Mexican beer sales volume of all FEMSA Cerveza’s company-owned distribution centers, including our main third party distributors, operates through ERP.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Strategy</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FEMSA Cerveza focuses on the consumer by segmenting markets and positioning its brands, accordingly, striving to develop brand and packaging portfolios that provide the best alternatives for every consumption occasion at the appropriate price. By segmenting its markets, we refer to the technique whereby we design and execute relevant and distinctive positioning and communication strategies that allow us to satisfy different consumer needs. Continuous market research provides feedback that is used to develop and adapt our product offerings to best satisfy our consumers’ needs. We are increasingly focused on micro-segmentation, where we use our market research and our information technology systems to target smaller market segments, including in some cases the individual point-of-sale.</w:t>
      </w:r>
    </w:p>
    <w:p>
      <w:pPr>
        <w:spacing w:after="0" w:line="144"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FEMSA Cerveza also focuses on the retailer by designing and implementing channel marketing at the point-of-sale, such as promotional programs providing merchandising materials and, where appropriate, refrigeration equipment. A channel refers to a point-of-sale category, or sub-category, such as a supermarket, beer depot or restaurants. Furthermore, we are always attempting to develop new channels in order to capture incremental consumption opportunities for our brands.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order to coordinate the brand and channel strategies, we are developing and implementing integrated marketing programs, which aim to improve brand value through the simultaneous use of mass media advertising and targeted marketing efforts at the point-of-sale as well as event sponsorships. Our marketing program for a particular brand seeks to emphasize in a consistent manner the distinctive attributes of that brand.</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FEMSA Cerveza has implemented a program called Innovation to efficiently enable corporate growth strategies. This program, which relies on our extensive consumer and market research practices, seeks the development of new packaging and product alternatives that allow us to capture new consumers and to strengthen the presence of our brands through brand line extensions. Innovation has been a key priority at FEMSA Cerveza and has been implemented throughout the value chain with the objective of allowing FEMSA Cerveza to continue to offer different options to consumers.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9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FEMSA Cerveza currently operates six breweries in Mexico with an aggregate monthly production capacity of 2.88 million hectoliters, equivalent to approximately 34.6 million hectoliters of annual capacity. Each of FEMSA Cerveza’s Mexican breweries have received ISO 9001 and 9002 certification and a Clean Industry Certification (</w:t>
      </w:r>
      <w:r>
        <w:rPr>
          <w:rFonts w:ascii="Arial" w:cs="Arial" w:eastAsia="Arial" w:hAnsi="Arial"/>
          <w:sz w:val="16"/>
          <w:szCs w:val="16"/>
          <w:i w:val="1"/>
          <w:iCs w:val="1"/>
          <w:color w:val="auto"/>
        </w:rPr>
        <w:t>Industria Limpia</w:t>
      </w:r>
      <w:r>
        <w:rPr>
          <w:rFonts w:ascii="Arial" w:cs="Arial" w:eastAsia="Arial" w:hAnsi="Arial"/>
          <w:sz w:val="16"/>
          <w:szCs w:val="16"/>
          <w:color w:val="auto"/>
        </w:rPr>
        <w:t>) given by Mexican environmental authorities. A key consideration in the selection of a site for a brewery is its proximity to potential markets, as the cost of transportation is a critical component of the overall cost of beer to the consumer. FEMSA Cerveza’s Mexican breweries are strategically located across the country, as shown in the table below, to better serve FEMSA Cerveza’s distribution system.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205740</wp:posOffset>
            </wp:positionV>
            <wp:extent cx="4416425" cy="3524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16425"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980" w:type="dxa"/>
            <w:vAlign w:val="bottom"/>
            <w:gridSpan w:val="3"/>
          </w:tcPr>
          <w:p>
            <w:pPr>
              <w:jc w:val="right"/>
              <w:ind w:right="2800"/>
              <w:spacing w:after="0"/>
              <w:rPr>
                <w:sz w:val="20"/>
                <w:szCs w:val="20"/>
                <w:color w:val="auto"/>
              </w:rPr>
            </w:pPr>
            <w:r>
              <w:rPr>
                <w:rFonts w:ascii="Arial" w:cs="Arial" w:eastAsia="Arial" w:hAnsi="Arial"/>
                <w:sz w:val="18"/>
                <w:szCs w:val="18"/>
                <w:b w:val="1"/>
                <w:bCs w:val="1"/>
                <w:color w:val="auto"/>
                <w:w w:val="95"/>
              </w:rPr>
              <w:t>FEMSA Cerveza Mexico Facility Capacity Summary</w:t>
            </w:r>
          </w:p>
        </w:tc>
      </w:tr>
      <w:tr>
        <w:trPr>
          <w:trHeight w:val="378"/>
        </w:trPr>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980" w:type="dxa"/>
            <w:vAlign w:val="bottom"/>
            <w:gridSpan w:val="3"/>
          </w:tcPr>
          <w:p>
            <w:pPr>
              <w:jc w:val="right"/>
              <w:ind w:right="3620"/>
              <w:spacing w:after="0"/>
              <w:rPr>
                <w:sz w:val="20"/>
                <w:szCs w:val="20"/>
                <w:color w:val="auto"/>
              </w:rPr>
            </w:pPr>
            <w:r>
              <w:rPr>
                <w:rFonts w:ascii="Arial" w:cs="Arial" w:eastAsia="Arial" w:hAnsi="Arial"/>
                <w:sz w:val="18"/>
                <w:szCs w:val="18"/>
                <w:b w:val="1"/>
                <w:bCs w:val="1"/>
                <w:color w:val="auto"/>
              </w:rPr>
              <w:t>Year Ended December 31, 2007</w:t>
            </w:r>
          </w:p>
        </w:tc>
      </w:tr>
      <w:tr>
        <w:trPr>
          <w:trHeight w:val="340"/>
        </w:trPr>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Annualized</w:t>
            </w:r>
          </w:p>
        </w:tc>
      </w:tr>
      <w:tr>
        <w:trPr>
          <w:trHeight w:val="16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Brewery</w:t>
            </w:r>
          </w:p>
        </w:tc>
        <w:tc>
          <w:tcPr>
            <w:tcW w:w="60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Capacity</w:t>
            </w:r>
          </w:p>
        </w:tc>
      </w:tr>
      <w:tr>
        <w:trPr>
          <w:trHeight w:val="129"/>
        </w:trPr>
        <w:tc>
          <w:tcPr>
            <w:tcW w:w="540" w:type="dxa"/>
            <w:vAlign w:val="bottom"/>
            <w:tcBorders>
              <w:top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1"/>
                <w:szCs w:val="11"/>
                <w:color w:val="auto"/>
              </w:rPr>
            </w:pPr>
          </w:p>
        </w:tc>
      </w:tr>
      <w:tr>
        <w:trPr>
          <w:trHeight w:val="175"/>
        </w:trPr>
        <w:tc>
          <w:tcPr>
            <w:tcW w:w="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of hectoliters)</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Orizaba</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40" w:type="dxa"/>
            <w:vAlign w:val="bottom"/>
            <w:shd w:val="clear" w:color="auto" w:fill="CCEEFF"/>
          </w:tcPr>
          <w:p>
            <w:pPr>
              <w:spacing w:after="0"/>
              <w:rPr>
                <w:sz w:val="18"/>
                <w:szCs w:val="18"/>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Monterrey</w:t>
            </w: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7,800</w:t>
            </w:r>
          </w:p>
        </w:tc>
        <w:tc>
          <w:tcPr>
            <w:tcW w:w="140" w:type="dxa"/>
            <w:vAlign w:val="bottom"/>
          </w:tcPr>
          <w:p>
            <w:pPr>
              <w:spacing w:after="0"/>
              <w:rPr>
                <w:sz w:val="18"/>
                <w:szCs w:val="18"/>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Toluca</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40" w:type="dxa"/>
            <w:vAlign w:val="bottom"/>
            <w:shd w:val="clear" w:color="auto" w:fill="CCEEFF"/>
          </w:tcPr>
          <w:p>
            <w:pPr>
              <w:spacing w:after="0"/>
              <w:rPr>
                <w:sz w:val="18"/>
                <w:szCs w:val="18"/>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Navojoa</w:t>
            </w: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18"/>
                <w:szCs w:val="18"/>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Tecate</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r>
      <w:tr>
        <w:trPr>
          <w:trHeight w:val="223"/>
        </w:trPr>
        <w:tc>
          <w:tcPr>
            <w:tcW w:w="2600" w:type="dxa"/>
            <w:vAlign w:val="bottom"/>
            <w:gridSpan w:val="2"/>
          </w:tcPr>
          <w:p>
            <w:pPr>
              <w:spacing w:after="0"/>
              <w:rPr>
                <w:sz w:val="20"/>
                <w:szCs w:val="20"/>
                <w:color w:val="auto"/>
              </w:rPr>
            </w:pPr>
            <w:r>
              <w:rPr>
                <w:rFonts w:ascii="Arial" w:cs="Arial" w:eastAsia="Arial" w:hAnsi="Arial"/>
                <w:sz w:val="18"/>
                <w:szCs w:val="18"/>
                <w:color w:val="auto"/>
              </w:rPr>
              <w:t>Guadalajara</w:t>
            </w:r>
          </w:p>
        </w:tc>
        <w:tc>
          <w:tcPr>
            <w:tcW w:w="6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40" w:type="dxa"/>
            <w:vAlign w:val="bottom"/>
          </w:tcPr>
          <w:p>
            <w:pPr>
              <w:spacing w:after="0"/>
              <w:rPr>
                <w:sz w:val="19"/>
                <w:szCs w:val="19"/>
                <w:color w:val="auto"/>
              </w:rPr>
            </w:pPr>
          </w:p>
        </w:tc>
      </w:tr>
      <w:tr>
        <w:trPr>
          <w:trHeight w:val="216"/>
        </w:trPr>
        <w:tc>
          <w:tcPr>
            <w:tcW w:w="2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140" w:type="dxa"/>
            <w:vAlign w:val="bottom"/>
            <w:shd w:val="clear" w:color="auto" w:fill="CCEEFF"/>
          </w:tcPr>
          <w:p>
            <w:pPr>
              <w:spacing w:after="0"/>
              <w:rPr>
                <w:sz w:val="18"/>
                <w:szCs w:val="18"/>
                <w:color w:val="auto"/>
              </w:rPr>
            </w:pPr>
          </w:p>
        </w:tc>
      </w:tr>
      <w:tr>
        <w:trPr>
          <w:trHeight w:val="222"/>
        </w:trPr>
        <w:tc>
          <w:tcPr>
            <w:tcW w:w="2600" w:type="dxa"/>
            <w:vAlign w:val="bottom"/>
            <w:gridSpan w:val="2"/>
          </w:tcPr>
          <w:p>
            <w:pPr>
              <w:ind w:left="440"/>
              <w:spacing w:after="0"/>
              <w:rPr>
                <w:sz w:val="20"/>
                <w:szCs w:val="20"/>
                <w:color w:val="auto"/>
              </w:rPr>
            </w:pPr>
            <w:r>
              <w:rPr>
                <w:rFonts w:ascii="Arial" w:cs="Arial" w:eastAsia="Arial" w:hAnsi="Arial"/>
                <w:sz w:val="18"/>
                <w:szCs w:val="18"/>
                <w:color w:val="auto"/>
                <w:w w:val="98"/>
              </w:rPr>
              <w:t>Average capacity utilization</w:t>
            </w:r>
          </w:p>
        </w:tc>
        <w:tc>
          <w:tcPr>
            <w:tcW w:w="6980" w:type="dxa"/>
            <w:vAlign w:val="bottom"/>
            <w:gridSpan w:val="3"/>
          </w:tcPr>
          <w:p>
            <w:pPr>
              <w:jc w:val="right"/>
              <w:spacing w:after="0"/>
              <w:rPr>
                <w:sz w:val="20"/>
                <w:szCs w:val="20"/>
                <w:color w:val="auto"/>
              </w:rPr>
            </w:pPr>
            <w:r>
              <w:rPr>
                <w:rFonts w:ascii="Arial" w:cs="Arial" w:eastAsia="Arial" w:hAnsi="Arial"/>
                <w:sz w:val="18"/>
                <w:szCs w:val="18"/>
                <w:color w:val="auto"/>
              </w:rPr>
              <w:t>85.7%</w:t>
            </w:r>
          </w:p>
        </w:tc>
      </w:tr>
      <w:tr>
        <w:trPr>
          <w:trHeight w:val="20"/>
        </w:trPr>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Between 2003 and 2007, FEMSA Cerveza increased its average monthly production capacity by approximately 175,000 hectoliters through additional investments in existing facilities.</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40"/>
          </w:cols>
          <w:pgMar w:left="240" w:top="459" w:right="6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2005, FEMSA Cerveza opened a new malt production facility in Puebla, Mexico, increasing its malting capacity by 16% to 154,000 tons per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facility covers an area of 18,000 square meters and is one of the largest and most technologically advanced in the world.</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Cerveza operates seven effluent water treatment systems in Mexico to treat the water used by the breweries, all of which are wholly owned by FEMSA Cerveza except for the effluent treatment system at the Orizaba brewery, which is a joint venture among FEMSA Cerveza, several other local companies and the government of the state of Veracruz.</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November 2007, FEMSA Cerveza announced an investment of US$275 million for the construction of a new brewery in Meoqui, Chihuahua, in Northern Mexico, which will begin operating in 2010. In its first stage, the new brewery will have an annual production capacity of 5 million hectoliters, an increase of 15% over FEMSA Cerveza’s current capacity in its Mexican territories.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Glass Bottles and Cans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FEMSA Cerveza produces (1) beverage cans and can ends, (2) glass bottles and (3) crown caps for glass bottle presentations principally to meet the packaging needs of its Mexican operations. The packaging operations include a silica sand mine, which provides materials necessary for the production of glass bottles. The following table provides a summary of the facilities for these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Mexico Glass Bottle and Beverage Can Operations Product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7"/>
              </w:rPr>
              <w:t>Annual Production</w:t>
            </w:r>
          </w:p>
        </w:tc>
        <w:tc>
          <w:tcPr>
            <w:tcW w:w="60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 Average Capacity</w:t>
            </w:r>
          </w:p>
        </w:tc>
        <w:tc>
          <w:tcPr>
            <w:tcW w:w="0" w:type="dxa"/>
            <w:vAlign w:val="bottom"/>
          </w:tcPr>
          <w:p>
            <w:pPr>
              <w:spacing w:after="0"/>
              <w:rPr>
                <w:sz w:val="1"/>
                <w:szCs w:val="1"/>
                <w:color w:val="auto"/>
              </w:rPr>
            </w:pPr>
          </w:p>
        </w:tc>
      </w:tr>
      <w:tr>
        <w:trPr>
          <w:trHeight w:val="176"/>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3000" w:type="dxa"/>
            <w:vAlign w:val="bottom"/>
          </w:tcPr>
          <w:p>
            <w:pPr>
              <w:spacing w:after="0"/>
              <w:rPr>
                <w:sz w:val="15"/>
                <w:szCs w:val="15"/>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Location</w:t>
            </w:r>
          </w:p>
        </w:tc>
        <w:tc>
          <w:tcPr>
            <w:tcW w:w="580" w:type="dxa"/>
            <w:vAlign w:val="bottom"/>
          </w:tcPr>
          <w:p>
            <w:pPr>
              <w:spacing w:after="0"/>
              <w:rPr>
                <w:sz w:val="15"/>
                <w:szCs w:val="15"/>
                <w:color w:val="auto"/>
              </w:rPr>
            </w:pPr>
          </w:p>
        </w:tc>
        <w:tc>
          <w:tcPr>
            <w:tcW w:w="1120" w:type="dxa"/>
            <w:vAlign w:val="bottom"/>
          </w:tcPr>
          <w:p>
            <w:pPr>
              <w:jc w:val="right"/>
              <w:ind w:right="175"/>
              <w:spacing w:after="0" w:line="176" w:lineRule="exact"/>
              <w:rPr>
                <w:sz w:val="20"/>
                <w:szCs w:val="20"/>
                <w:color w:val="auto"/>
              </w:rPr>
            </w:pPr>
            <w:r>
              <w:rPr>
                <w:rFonts w:ascii="Arial" w:cs="Arial" w:eastAsia="Arial" w:hAnsi="Arial"/>
                <w:sz w:val="13"/>
                <w:szCs w:val="13"/>
                <w:b w:val="1"/>
                <w:bCs w:val="1"/>
                <w:color w:val="auto"/>
              </w:rPr>
              <w:t>Capacity</w:t>
            </w:r>
            <w:r>
              <w:rPr>
                <w:rFonts w:ascii="Arial" w:cs="Arial" w:eastAsia="Arial" w:hAnsi="Arial"/>
                <w:sz w:val="20"/>
                <w:szCs w:val="20"/>
                <w:b w:val="1"/>
                <w:bCs w:val="1"/>
                <w:color w:val="auto"/>
                <w:vertAlign w:val="superscript"/>
              </w:rPr>
              <w:t>(1)</w:t>
            </w:r>
          </w:p>
        </w:tc>
        <w:tc>
          <w:tcPr>
            <w:tcW w:w="600" w:type="dxa"/>
            <w:vAlign w:val="bottom"/>
          </w:tcPr>
          <w:p>
            <w:pPr>
              <w:spacing w:after="0"/>
              <w:rPr>
                <w:sz w:val="15"/>
                <w:szCs w:val="15"/>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Utilization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cans</w:t>
            </w:r>
          </w:p>
        </w:tc>
        <w:tc>
          <w:tcPr>
            <w:tcW w:w="374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88"/>
              </w:rPr>
              <w:t>Ensenada</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740" w:type="dxa"/>
            <w:vAlign w:val="bottom"/>
            <w:gridSpan w:val="2"/>
          </w:tcPr>
          <w:p>
            <w:pPr>
              <w:ind w:left="3000"/>
              <w:spacing w:after="0"/>
              <w:rPr>
                <w:sz w:val="20"/>
                <w:szCs w:val="20"/>
                <w:color w:val="auto"/>
              </w:rPr>
            </w:pPr>
            <w:r>
              <w:rPr>
                <w:rFonts w:ascii="Arial" w:cs="Arial" w:eastAsia="Arial" w:hAnsi="Arial"/>
                <w:sz w:val="18"/>
                <w:szCs w:val="18"/>
                <w:color w:val="auto"/>
              </w:rPr>
              <w:t>Toluca</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Can ends</w:t>
            </w:r>
          </w:p>
        </w:tc>
        <w:tc>
          <w:tcPr>
            <w:tcW w:w="3740" w:type="dxa"/>
            <w:vAlign w:val="bottom"/>
            <w:gridSpan w:val="2"/>
          </w:tcPr>
          <w:p>
            <w:pPr>
              <w:ind w:left="3000"/>
              <w:spacing w:after="0"/>
              <w:rPr>
                <w:sz w:val="20"/>
                <w:szCs w:val="20"/>
                <w:color w:val="auto"/>
              </w:rPr>
            </w:pPr>
            <w:r>
              <w:rPr>
                <w:rFonts w:ascii="Arial" w:cs="Arial" w:eastAsia="Arial" w:hAnsi="Arial"/>
                <w:sz w:val="18"/>
                <w:szCs w:val="18"/>
                <w:color w:val="auto"/>
                <w:w w:val="88"/>
              </w:rPr>
              <w:t>Monterrey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Crown cap</w:t>
            </w:r>
          </w:p>
        </w:tc>
        <w:tc>
          <w:tcPr>
            <w:tcW w:w="374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88"/>
              </w:rPr>
              <w:t>Monterrey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Glass bottles</w:t>
            </w:r>
          </w:p>
        </w:tc>
        <w:tc>
          <w:tcPr>
            <w:tcW w:w="3740" w:type="dxa"/>
            <w:vAlign w:val="bottom"/>
            <w:gridSpan w:val="2"/>
          </w:tcPr>
          <w:p>
            <w:pPr>
              <w:ind w:left="3000"/>
              <w:spacing w:after="0"/>
              <w:rPr>
                <w:sz w:val="20"/>
                <w:szCs w:val="20"/>
                <w:color w:val="auto"/>
              </w:rPr>
            </w:pPr>
            <w:r>
              <w:rPr>
                <w:rFonts w:ascii="Arial" w:cs="Arial" w:eastAsia="Arial" w:hAnsi="Arial"/>
                <w:sz w:val="18"/>
                <w:szCs w:val="18"/>
                <w:color w:val="auto"/>
              </w:rPr>
              <w:t>Orizaba</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Bottle decoration</w:t>
            </w:r>
          </w:p>
        </w:tc>
        <w:tc>
          <w:tcPr>
            <w:tcW w:w="374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Nogales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Silica sand</w:t>
            </w:r>
          </w:p>
        </w:tc>
        <w:tc>
          <w:tcPr>
            <w:tcW w:w="3740" w:type="dxa"/>
            <w:vAlign w:val="bottom"/>
            <w:gridSpan w:val="2"/>
          </w:tcPr>
          <w:p>
            <w:pPr>
              <w:ind w:left="3000"/>
              <w:spacing w:after="0"/>
              <w:rPr>
                <w:sz w:val="20"/>
                <w:szCs w:val="20"/>
                <w:color w:val="auto"/>
              </w:rPr>
            </w:pPr>
            <w:r>
              <w:rPr>
                <w:rFonts w:ascii="Arial" w:cs="Arial" w:eastAsia="Arial" w:hAnsi="Arial"/>
                <w:sz w:val="18"/>
                <w:szCs w:val="18"/>
                <w:color w:val="auto"/>
                <w:w w:val="91"/>
              </w:rPr>
              <w:t>Acayucan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are expressed in millions of units of each product, except for silica sand which is expressed in thousands of tons.</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Two plants produce aluminum beverage can bodies at production facilities in Ensenada and Toluca, and another plant produces can ends at a production facility in Monterrey. During 2007, 60.3% of the beverage can volume produced by these plants was used by FEMSA Cerveza and the remaining amount was sold to third parties.</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Glass bottles are produced at a glass production facility in Orizaba, Veracruz and bottles are decorated at a plant in Nogales, Veracruz. During 2007, 82.8% of the glass bottle volume produced by these plants was used by FEMSA Cerveza, and the remaining 17.2% was sold to Coca-Cola FEMSA.</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to the construction of the new brewery in Meoqui, Chihuaha, FEMSA Cerveza announced a US$117 million investment for the construction of a new glass bottle facility in Meoqui, which will also begin operations in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Malted barley, hops, certain grains, yeast and water are the principal ingredients used in manufacturing FEMSA Cerveza’s beer products. The principal raw materials used by FEMSA Cerveza’s packaging operations include aluminum, steel and silica sand. All of these raw materials are generally available in the open market. FEMSA Cerveza satisfies its commodity requirements through purchases from various sources, including purchases pursuant to contractual arrangements and purchases in the open market.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Aluminum and steel are two of the most significant raw materials used in FEMSA Cerveza’s packaging operations to make aluminum cans, can ends and bottle caps. FEMSA Cerveza purchases aluminum and steel directly from international and local suppliers on a contractual basis. These contracts generally have terms of six months or one year and specify prices free-on-board at FEMSA Cerveza’s facilities. Companies such as Alcoa, Nittetsu-Shoji, Noreli, CSN, Rasselstein and AHMSA have been selected as suppliers. Prices of aluminum and steel are generally quoted in U.S. dollars, and FEMSA Cerveza’s cost is therefore affected by changes in exchange rates. For example, a depreciation of the Mexican peso against the U.S. dollar will increase the cost to FEMSA Cerveza of aluminum and steel, and will decrease FEMSA Cerveza’s margins as its sales are generally denominated in Mexican pesos. To date, FEMSA Cerveza’s silica sand mine has been able to satisfy all of the silica sand requirements of its glass bottle operations.</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Barley is FEMSA Cerveza’s most significant raw material for the production of its beer products. International markets determine the prices and supply sources of agricultural raw materials, which are affected by the level of crop production, inventories, weather conditions, domestic and export demand, as well as government regulations affecting agriculture. The principal source of barley for the Mexican beer industry is the domestic harvest. If domestic production in Mexico is insufficient to meet the industry’s requirements, barley (or its equivalent in malt) can be obtained from international markets. Raw material prices have increased in recent years, and in particular the price for barley due to the fact that for two consecutive years the harvests of Europe and Australia (two of the largest producers) have fallen because of droughts and untimely rains. Additionally, the price of wheat, which is not an ingredient of our beers, but competes for land with barley and other grains, has increased drastically due to fallen harvests, and therefore, the price of wheat is adding pressure to the price of grains worldwide.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Hops are the only ingredient that is not available domestically in Mexico. FEMSA Cerveza imports hops primarily from the United States and Europe.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Brazilian Beer Market</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Brazilian beer market was the fifth largest beer market in the world in terms of industry sales volume in 2007 and is characterized by (1) concentrated domestic beer production, (2) favorable demographics in the beer drinking population, and (3) a fragmented retail channel.</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Concentrated Brazilian beer production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Brazilian beer market is comprised of one large producer holding substantial market share, three medium sized producers, and some minor regional brewers. The large producer is Companhia de Bebidas das Americas or AmBev, a publicly traded company based in Sao Paulo that is majority-owned by the Belgian brewer Inbev. AmBev’s principal beer brands are </w:t>
      </w:r>
      <w:r>
        <w:rPr>
          <w:rFonts w:ascii="Arial" w:cs="Arial" w:eastAsia="Arial" w:hAnsi="Arial"/>
          <w:sz w:val="16"/>
          <w:szCs w:val="16"/>
          <w:i w:val="1"/>
          <w:iCs w:val="1"/>
          <w:color w:val="auto"/>
        </w:rPr>
        <w:t>Skol, Brahma</w:t>
      </w:r>
      <w:r>
        <w:rPr>
          <w:rFonts w:ascii="Arial" w:cs="Arial" w:eastAsia="Arial" w:hAnsi="Arial"/>
          <w:sz w:val="16"/>
          <w:szCs w:val="16"/>
          <w:color w:val="auto"/>
        </w:rPr>
        <w:t xml:space="preserve"> and </w:t>
      </w:r>
      <w:r>
        <w:rPr>
          <w:rFonts w:ascii="Arial" w:cs="Arial" w:eastAsia="Arial" w:hAnsi="Arial"/>
          <w:sz w:val="16"/>
          <w:szCs w:val="16"/>
          <w:i w:val="1"/>
          <w:iCs w:val="1"/>
          <w:color w:val="auto"/>
        </w:rPr>
        <w:t>Antarctica.</w:t>
      </w:r>
      <w:r>
        <w:rPr>
          <w:rFonts w:ascii="Arial" w:cs="Arial" w:eastAsia="Arial" w:hAnsi="Arial"/>
          <w:sz w:val="16"/>
          <w:szCs w:val="16"/>
          <w:color w:val="auto"/>
        </w:rPr>
        <w:t xml:space="preserve"> AmBev is also a large bottler of sparkling beverages, with brands such as </w:t>
      </w:r>
      <w:r>
        <w:rPr>
          <w:rFonts w:ascii="Arial" w:cs="Arial" w:eastAsia="Arial" w:hAnsi="Arial"/>
          <w:sz w:val="16"/>
          <w:szCs w:val="16"/>
          <w:i w:val="1"/>
          <w:iCs w:val="1"/>
          <w:color w:val="auto"/>
        </w:rPr>
        <w:t xml:space="preserve">Guaraná Antarctica </w:t>
      </w:r>
      <w:r>
        <w:rPr>
          <w:rFonts w:ascii="Arial" w:cs="Arial" w:eastAsia="Arial" w:hAnsi="Arial"/>
          <w:sz w:val="16"/>
          <w:szCs w:val="16"/>
          <w:color w:val="auto"/>
        </w:rPr>
        <w:t>and</w:t>
      </w:r>
      <w:r>
        <w:rPr>
          <w:rFonts w:ascii="Arial" w:cs="Arial" w:eastAsia="Arial" w:hAnsi="Arial"/>
          <w:sz w:val="16"/>
          <w:szCs w:val="16"/>
          <w:i w:val="1"/>
          <w:iCs w:val="1"/>
          <w:color w:val="auto"/>
        </w:rPr>
        <w:t xml:space="preserve"> Pepsi Cola. </w:t>
      </w:r>
      <w:r>
        <w:rPr>
          <w:rFonts w:ascii="Arial" w:cs="Arial" w:eastAsia="Arial" w:hAnsi="Arial"/>
          <w:sz w:val="16"/>
          <w:szCs w:val="16"/>
          <w:color w:val="auto"/>
        </w:rPr>
        <w:t>The three medium sized producers are FEMSA Cerveza, Grupo Schincariol, whose main brand is</w:t>
      </w:r>
      <w:r>
        <w:rPr>
          <w:rFonts w:ascii="Arial" w:cs="Arial" w:eastAsia="Arial" w:hAnsi="Arial"/>
          <w:sz w:val="16"/>
          <w:szCs w:val="16"/>
          <w:i w:val="1"/>
          <w:iCs w:val="1"/>
          <w:color w:val="auto"/>
        </w:rPr>
        <w:t xml:space="preserve"> Nova Schin</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Cervejaria Petropolis, whose main brand is </w:t>
      </w:r>
      <w:r>
        <w:rPr>
          <w:rFonts w:ascii="Arial" w:cs="Arial" w:eastAsia="Arial" w:hAnsi="Arial"/>
          <w:sz w:val="16"/>
          <w:szCs w:val="16"/>
          <w:i w:val="1"/>
          <w:iCs w:val="1"/>
          <w:color w:val="auto"/>
        </w:rPr>
        <w:t>Crystal</w:t>
      </w:r>
      <w:r>
        <w:rPr>
          <w:rFonts w:ascii="Arial" w:cs="Arial" w:eastAsia="Arial" w:hAnsi="Arial"/>
          <w:sz w:val="16"/>
          <w:szCs w:val="16"/>
          <w:color w:val="auto"/>
        </w:rPr>
        <w:t>. FEMSA Cerveza’s sales in the Brazilian market depend on its ability to compete in a complex competitive environment with a large producer with predominant market share and two strong regional local brewers. Historically, beer imports have not been a significant factor in the Brazilian beer market, but are increasing as the super premium beer segment develops.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Demographics of beer drinking population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estimate that annual per capita beer consumption for the total Brazilian population reached approximately 54 liters in 2007. The legal drinking age is 18 in Brazil. We consider the population segment of men between the ages of 18 and 45 to be FEMSA Cerveza’s primary market. Approximately 37% of the Brazilian population is under the age of 18 and, therefore, is not considered to be part of the beer drinking population.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Based on historical trends and what management perceives as the continued social acceptance of beer consumption, FEMSA Cerveza believes that general population growth will result in an increase in the number of beer consumers in Brazil. Based on historical trends as measured by the </w:t>
      </w:r>
      <w:r>
        <w:rPr>
          <w:rFonts w:ascii="Arial" w:cs="Arial" w:eastAsia="Arial" w:hAnsi="Arial"/>
          <w:sz w:val="16"/>
          <w:szCs w:val="16"/>
          <w:i w:val="1"/>
          <w:iCs w:val="1"/>
          <w:color w:val="auto"/>
        </w:rPr>
        <w:t>Instituto Brasileiro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Geografia e Estadística </w:t>
      </w:r>
      <w:r>
        <w:rPr>
          <w:rFonts w:ascii="Arial" w:cs="Arial" w:eastAsia="Arial" w:hAnsi="Arial"/>
          <w:sz w:val="16"/>
          <w:szCs w:val="16"/>
          <w:color w:val="auto"/>
        </w:rPr>
        <w:t>(Brazilian Institute of Statistics), or IBGE, we expect the Brazilian population to grow at an average annual rate of approximately</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1.3% per year over the period from 2008 to 2012. We estimate that over the next 10 years approximately in excess of 3 million additional people per year will become potential beer consumers due to the natural aging of the Brazilian population.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As of December 31, 2007, in Brazil FEMSA Cerveza produced and/or distributed 12 brands of beer in 7 different presentations resulting in a portfolio of 37 different product offerings. The most important brands in FEMSA Cerveza’s Brazilian portfolio include: </w:t>
      </w:r>
      <w:r>
        <w:rPr>
          <w:rFonts w:ascii="Arial" w:cs="Arial" w:eastAsia="Arial" w:hAnsi="Arial"/>
          <w:sz w:val="16"/>
          <w:szCs w:val="16"/>
          <w:i w:val="1"/>
          <w:iCs w:val="1"/>
          <w:color w:val="auto"/>
        </w:rPr>
        <w:t>Kaiser, Bavaria, Sol, Heineken</w:t>
      </w:r>
      <w:r>
        <w:rPr>
          <w:rFonts w:ascii="Arial" w:cs="Arial" w:eastAsia="Arial" w:hAnsi="Arial"/>
          <w:sz w:val="16"/>
          <w:szCs w:val="16"/>
          <w:color w:val="auto"/>
        </w:rPr>
        <w:t xml:space="preserve"> and </w:t>
      </w:r>
      <w:r>
        <w:rPr>
          <w:rFonts w:ascii="Arial" w:cs="Arial" w:eastAsia="Arial" w:hAnsi="Arial"/>
          <w:sz w:val="16"/>
          <w:szCs w:val="16"/>
          <w:i w:val="1"/>
          <w:iCs w:val="1"/>
          <w:color w:val="auto"/>
        </w:rPr>
        <w:t>Xingu.</w:t>
      </w:r>
      <w:r>
        <w:rPr>
          <w:rFonts w:ascii="Arial" w:cs="Arial" w:eastAsia="Arial" w:hAnsi="Arial"/>
          <w:sz w:val="16"/>
          <w:szCs w:val="16"/>
          <w:color w:val="auto"/>
        </w:rPr>
        <w:t xml:space="preserve"> These five brands, all of which are distributed nationwide in Brazil, accounted for approximately 98% of FEMSA Cerveza’s Brazil beer sales volume in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Presentations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its Brazilian breweries, FEMSA Cerveza produces and distributes beer in returnable glass bottles and kegs and in non-returnable aluminum cans and glass bottles. In the Brazilian beer market, the most popular presentation is the 600 ml returnable bottle because of the affordability of this presentation combined with its popularity in the on-premise segment. However, in the past years the sales volume mix has slightly shifted towards non-returnable presentations, which can be attributed in part to improvements in the Brazilian economy.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Cerveza’s primary distribution in Brazil is from its production facilities to the warehouses of the various Coca-Cola franchise bottlers in Brazil.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19 Coca-Cola bottlers across Brazil, each responsible for a certain geographic territory including subsidiaries of Coca-Cola FEMSA.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Sales and Distribution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FEMSA Cerveza relies on the 19 different bottlers of the Coca-Cola system across Brazil for the sale and secondary distribution of our beers. The bottlers leverage their infrastructure, sales force, expertise, distribution assets and refrigeration equipment at the point of sale to offer a broad portfolio of products to the retailer.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FEMSA Cerveza currently operates eight breweries in Brazil with an aggregate monthly production capacity of 1.7 million hectoliters, equivalent to approximately 20 million hectoliters of annual capacity. Six of FEMSA Cerveza’s eight Brazilian breweries have received ISO 9001 14.000 and OHASA 18.000 certifications. Two breweries were ISO 9001 certificated during 2007. A key consideration in the selection of a site for a brewery is its proximity to potential markets, as the cost of transportation is a critical component of the overall cost of beer to the consumer. FEMSA Cerveza’s Brazilian breweries are strategically located across the country, as shown in the table below, to better serve FEMSA Cerveza’s distribution system.</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FEMSA Cerveza Brazil Facility Allocation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109855</wp:posOffset>
            </wp:positionV>
            <wp:extent cx="3430270" cy="2889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3027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960" w:type="dxa"/>
            <w:vAlign w:val="bottom"/>
            <w:gridSpan w:val="3"/>
          </w:tcPr>
          <w:p>
            <w:pPr>
              <w:jc w:val="right"/>
              <w:ind w:right="2840"/>
              <w:spacing w:after="0"/>
              <w:rPr>
                <w:sz w:val="20"/>
                <w:szCs w:val="20"/>
                <w:color w:val="auto"/>
              </w:rPr>
            </w:pPr>
            <w:r>
              <w:rPr>
                <w:rFonts w:ascii="Arial" w:cs="Arial" w:eastAsia="Arial" w:hAnsi="Arial"/>
                <w:sz w:val="18"/>
                <w:szCs w:val="18"/>
                <w:b w:val="1"/>
                <w:bCs w:val="1"/>
                <w:color w:val="auto"/>
                <w:w w:val="96"/>
              </w:rPr>
              <w:t>FEMSA Cerveza Brazil Facility Capacity Summary</w:t>
            </w:r>
          </w:p>
        </w:tc>
      </w:tr>
      <w:tr>
        <w:trPr>
          <w:trHeight w:val="378"/>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960" w:type="dxa"/>
            <w:vAlign w:val="bottom"/>
            <w:gridSpan w:val="3"/>
          </w:tcPr>
          <w:p>
            <w:pPr>
              <w:jc w:val="right"/>
              <w:ind w:right="3620"/>
              <w:spacing w:after="0"/>
              <w:rPr>
                <w:sz w:val="20"/>
                <w:szCs w:val="20"/>
                <w:color w:val="auto"/>
              </w:rPr>
            </w:pPr>
            <w:r>
              <w:rPr>
                <w:rFonts w:ascii="Arial" w:cs="Arial" w:eastAsia="Arial" w:hAnsi="Arial"/>
                <w:sz w:val="18"/>
                <w:szCs w:val="18"/>
                <w:b w:val="1"/>
                <w:bCs w:val="1"/>
                <w:color w:val="auto"/>
              </w:rPr>
              <w:t>Year Ended December 31, 2007</w:t>
            </w:r>
          </w:p>
        </w:tc>
      </w:tr>
      <w:tr>
        <w:trPr>
          <w:trHeight w:val="340"/>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Annualized</w:t>
            </w:r>
          </w:p>
        </w:tc>
      </w:tr>
      <w:tr>
        <w:trPr>
          <w:trHeight w:val="16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Brewery</w:t>
            </w:r>
          </w:p>
        </w:tc>
        <w:tc>
          <w:tcPr>
            <w:tcW w:w="60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Capacity</w:t>
            </w:r>
          </w:p>
        </w:tc>
      </w:tr>
      <w:tr>
        <w:trPr>
          <w:trHeight w:val="129"/>
        </w:trPr>
        <w:tc>
          <w:tcPr>
            <w:tcW w:w="540" w:type="dxa"/>
            <w:vAlign w:val="bottom"/>
            <w:tcBorders>
              <w:top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1"/>
                <w:szCs w:val="11"/>
                <w:color w:val="auto"/>
              </w:rPr>
            </w:pPr>
          </w:p>
        </w:tc>
      </w:tr>
      <w:tr>
        <w:trPr>
          <w:trHeight w:val="175"/>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of hectoliters)</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Jacareí</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4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Ponta Grossa</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14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Araraquara</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4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Feira de Santana</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Pacatuba</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Gravataí</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Cuiabá</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color w:val="auto"/>
              </w:rPr>
              <w:t>Manaus</w:t>
            </w:r>
          </w:p>
        </w:tc>
        <w:tc>
          <w:tcPr>
            <w:tcW w:w="60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r>
      <w:tr>
        <w:trPr>
          <w:trHeight w:val="216"/>
        </w:trPr>
        <w:tc>
          <w:tcPr>
            <w:tcW w:w="2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r>
      <w:tr>
        <w:trPr>
          <w:trHeight w:val="222"/>
        </w:trPr>
        <w:tc>
          <w:tcPr>
            <w:tcW w:w="2620" w:type="dxa"/>
            <w:vAlign w:val="bottom"/>
            <w:gridSpan w:val="2"/>
          </w:tcPr>
          <w:p>
            <w:pPr>
              <w:ind w:left="440"/>
              <w:spacing w:after="0"/>
              <w:rPr>
                <w:sz w:val="20"/>
                <w:szCs w:val="20"/>
                <w:color w:val="auto"/>
              </w:rPr>
            </w:pPr>
            <w:r>
              <w:rPr>
                <w:rFonts w:ascii="Arial" w:cs="Arial" w:eastAsia="Arial" w:hAnsi="Arial"/>
                <w:sz w:val="18"/>
                <w:szCs w:val="18"/>
                <w:color w:val="auto"/>
                <w:w w:val="99"/>
              </w:rPr>
              <w:t>Average capacity utilization</w:t>
            </w:r>
          </w:p>
        </w:tc>
        <w:tc>
          <w:tcPr>
            <w:tcW w:w="696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FEMSA Cerveza’s principal export market is the United States and its export strategy focuses on that country. In particular, FEMSA Cerveza concentrates efforts on its core markets located in the sun-belt states bordering Mexico, while seeking to develop its brands in key imported beer markets located in the eastern United States. FEMSA Cerveza believes that these two regions of the United States represent one of its greatest potential market outside of Mexico.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January 1, 2005, Labatt USA was the importer of FEMSA Cerveza’s brands in the United States. On June 21, 2004, FEMSA Cerveza and two of its subsidiaries entered into distributor and sublicense agreements with Heineken USA. In accordance with these agreements, on January 1, 2005, Heineken USA became the exclusive importer, marketer and seller of FEMSA Cerveza’s brands in the United States. In April 2007, FEMSA Cerveza and Heineken USA entered into a new ten-year agreement pursuant to which Heineken USA will continue to be the exclusive importer, marketer and distributor of FEMSA Cerveza’s beer brands in the United States. This agreement went into effect on January 1, 2008.</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Export beer sales volume of 3.183 million hectoliters in 2007 represented 8.0% of FEMSA Cerveza’s total beer sales volume and accounted for 10.9%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FEMSA Cerveza’s total beer sales. The following table highlights FEMSA Cerveza’s export beer sales volumes and export beer sales: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Export Summary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210"/>
        </w:trPr>
        <w:tc>
          <w:tcPr>
            <w:tcW w:w="784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Export beer sales volume</w:t>
            </w:r>
            <w:r>
              <w:rPr>
                <w:rFonts w:ascii="Arial" w:cs="Arial" w:eastAsia="Arial" w:hAnsi="Arial"/>
                <w:sz w:val="22"/>
                <w:szCs w:val="22"/>
                <w:color w:val="auto"/>
                <w:vertAlign w:val="superscript"/>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3,183</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2,811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2,438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2,240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1,982</w:t>
            </w:r>
          </w:p>
        </w:tc>
      </w:tr>
      <w:tr>
        <w:trPr>
          <w:trHeight w:val="216"/>
        </w:trPr>
        <w:tc>
          <w:tcPr>
            <w:tcW w:w="7840" w:type="dxa"/>
            <w:vAlign w:val="bottom"/>
          </w:tcPr>
          <w:p>
            <w:pPr>
              <w:ind w:left="440"/>
              <w:spacing w:after="0" w:line="217" w:lineRule="exact"/>
              <w:rPr>
                <w:sz w:val="20"/>
                <w:szCs w:val="20"/>
                <w:color w:val="auto"/>
              </w:rPr>
            </w:pPr>
            <w:r>
              <w:rPr>
                <w:rFonts w:ascii="Arial" w:cs="Arial" w:eastAsia="Arial" w:hAnsi="Arial"/>
                <w:sz w:val="18"/>
                <w:szCs w:val="18"/>
                <w:color w:val="auto"/>
              </w:rPr>
              <w:t>Volume growth</w:t>
            </w:r>
            <w:r>
              <w:rPr>
                <w:rFonts w:ascii="Arial" w:cs="Arial" w:eastAsia="Arial" w:hAnsi="Arial"/>
                <w:sz w:val="22"/>
                <w:szCs w:val="22"/>
                <w:color w:val="auto"/>
                <w:vertAlign w:val="superscript"/>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8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Percent of total beer sales volumes</w:t>
            </w:r>
            <w:r>
              <w:rPr>
                <w:rFonts w:ascii="Arial" w:cs="Arial" w:eastAsia="Arial" w:hAnsi="Arial"/>
                <w:sz w:val="22"/>
                <w:szCs w:val="22"/>
                <w:color w:val="auto"/>
                <w:vertAlign w:val="superscript"/>
              </w:rPr>
              <w:t>(3)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40" w:type="dxa"/>
            <w:vAlign w:val="bottom"/>
          </w:tcPr>
          <w:p>
            <w:pPr>
              <w:ind w:left="440"/>
              <w:spacing w:after="0" w:line="217" w:lineRule="exact"/>
              <w:rPr>
                <w:sz w:val="20"/>
                <w:szCs w:val="20"/>
                <w:color w:val="auto"/>
              </w:rPr>
            </w:pPr>
            <w:r>
              <w:rPr>
                <w:rFonts w:ascii="Arial" w:cs="Arial" w:eastAsia="Arial" w:hAnsi="Arial"/>
                <w:sz w:val="18"/>
                <w:szCs w:val="18"/>
                <w:color w:val="auto"/>
              </w:rPr>
              <w:t>Mexican pesos</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(millions)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3,339</w:t>
            </w:r>
          </w:p>
        </w:tc>
        <w:tc>
          <w:tcPr>
            <w:tcW w:w="36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2,977</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2,717</w:t>
            </w:r>
          </w:p>
        </w:tc>
        <w:tc>
          <w:tcPr>
            <w:tcW w:w="3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2,008</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1,737</w:t>
            </w:r>
          </w:p>
        </w:tc>
      </w:tr>
      <w:tr>
        <w:trPr>
          <w:trHeight w:val="216"/>
        </w:trPr>
        <w:tc>
          <w:tcPr>
            <w:tcW w:w="78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U.S. dollars</w:t>
            </w:r>
            <w:r>
              <w:rPr>
                <w:rFonts w:ascii="Arial" w:cs="Arial" w:eastAsia="Arial" w:hAnsi="Arial"/>
                <w:sz w:val="22"/>
                <w:szCs w:val="22"/>
                <w:color w:val="auto"/>
                <w:vertAlign w:val="superscript"/>
              </w:rPr>
              <w:t>(5)</w:t>
            </w:r>
            <w:r>
              <w:rPr>
                <w:rFonts w:ascii="Arial" w:cs="Arial" w:eastAsia="Arial" w:hAnsi="Arial"/>
                <w:sz w:val="18"/>
                <w:szCs w:val="18"/>
                <w:color w:val="auto"/>
              </w:rPr>
              <w:t xml:space="preserve"> (millions)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r>
      <w:tr>
        <w:trPr>
          <w:trHeight w:val="216"/>
        </w:trPr>
        <w:tc>
          <w:tcPr>
            <w:tcW w:w="7840" w:type="dxa"/>
            <w:vAlign w:val="bottom"/>
          </w:tcPr>
          <w:p>
            <w:pPr>
              <w:ind w:left="440"/>
              <w:spacing w:after="0" w:line="217" w:lineRule="exact"/>
              <w:rPr>
                <w:sz w:val="20"/>
                <w:szCs w:val="20"/>
                <w:color w:val="auto"/>
              </w:rPr>
            </w:pPr>
            <w:r>
              <w:rPr>
                <w:rFonts w:ascii="Arial" w:cs="Arial" w:eastAsia="Arial" w:hAnsi="Arial"/>
                <w:sz w:val="18"/>
                <w:szCs w:val="18"/>
                <w:color w:val="auto"/>
              </w:rPr>
              <w:t>Revenue growth (US$)</w:t>
            </w:r>
            <w:r>
              <w:rPr>
                <w:rFonts w:ascii="Arial" w:cs="Arial" w:eastAsia="Arial" w:hAnsi="Arial"/>
                <w:sz w:val="22"/>
                <w:szCs w:val="22"/>
                <w:color w:val="auto"/>
                <w:vertAlign w:val="superscript"/>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45.8%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beer sales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Source:FEMSA Cerveza.</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Thousands of hectoliters.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 change over prior year.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prior to 2006 does not include Kaiser sales volume.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Constant Mexican pesos at December 31,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Export beer sales are invoiced and collected in U.S. dollars.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FEMSA Cerveza currently exports its products to 47 countries. The principal export market for FEMSA Cerveza is North America, which accounted for 89% of FEMSA Cerveza’s export beer sales volume in 2007.</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FEMSA Cerveza’s principal export brands are </w:t>
      </w:r>
      <w:r>
        <w:rPr>
          <w:rFonts w:ascii="Arial" w:cs="Arial" w:eastAsia="Arial" w:hAnsi="Arial"/>
          <w:sz w:val="18"/>
          <w:szCs w:val="18"/>
          <w:i w:val="1"/>
          <w:iCs w:val="1"/>
          <w:color w:val="auto"/>
        </w:rPr>
        <w:t>Tecate, XX Lager</w:t>
      </w:r>
      <w:r>
        <w:rPr>
          <w:rFonts w:ascii="Arial" w:cs="Arial" w:eastAsia="Arial" w:hAnsi="Arial"/>
          <w:sz w:val="18"/>
          <w:szCs w:val="18"/>
          <w:color w:val="auto"/>
        </w:rPr>
        <w:t xml:space="preserve">, </w:t>
      </w:r>
      <w:r>
        <w:rPr>
          <w:rFonts w:ascii="Arial" w:cs="Arial" w:eastAsia="Arial" w:hAnsi="Arial"/>
          <w:sz w:val="18"/>
          <w:szCs w:val="18"/>
          <w:i w:val="1"/>
          <w:iCs w:val="1"/>
          <w:color w:val="auto"/>
        </w:rPr>
        <w:t>Dos Equis (Amber)</w:t>
      </w:r>
      <w:r>
        <w:rPr>
          <w:rFonts w:ascii="Arial" w:cs="Arial" w:eastAsia="Arial" w:hAnsi="Arial"/>
          <w:sz w:val="18"/>
          <w:szCs w:val="18"/>
          <w:color w:val="auto"/>
        </w:rPr>
        <w:t xml:space="preserve"> and </w:t>
      </w:r>
      <w:r>
        <w:rPr>
          <w:rFonts w:ascii="Arial" w:cs="Arial" w:eastAsia="Arial" w:hAnsi="Arial"/>
          <w:sz w:val="18"/>
          <w:szCs w:val="18"/>
          <w:i w:val="1"/>
          <w:iCs w:val="1"/>
          <w:color w:val="auto"/>
        </w:rPr>
        <w:t>Sol</w:t>
      </w:r>
      <w:r>
        <w:rPr>
          <w:rFonts w:ascii="Arial" w:cs="Arial" w:eastAsia="Arial" w:hAnsi="Arial"/>
          <w:sz w:val="18"/>
          <w:szCs w:val="18"/>
          <w:color w:val="auto"/>
        </w:rPr>
        <w:t>. These brands collectively accounted for 93% of FEMSA Cerveza’s export sales volume for the year ended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FEMSA Comercio operates the largest chain of convenience stores in Mexico, measured in terms of number of stores as of December 31, 2007, under the trade name OXXO. As of December 31, 2007, FEMSA Comercio operated 5,563 OXXO stores located in 31 states of the country, with a particularly strong presence in the northern part of Mexico.</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FEMSA Comercio, the largest single customer of FEMSA Cerveza and of the Coca-Cola system in Mexico, was established by FEMSA in 1978 when two OXXO stores were opened in Monterrey, one store in Mexico City and another store in Guadalajara. The motivating factor behind FEMSA’s entrance into the retail industry was to enhance beer sales through company-owned retail outlets as well as to gather information on customer preferences. In 2007, sales of beer through OXXO represented 11% of FEMSA Cerveza’s domestic beer sales volume as well as approximately 13.4% of FEMSA Comercio’s revenues. In 2007, a typical OXXO store carried 1,800 different store keeping units (SKUs) in 31 main product categories.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recent years, FEMSA Comercio has gained importance as an effective distribution channel for our beverage products, as well as a rapidly growing point of contact with our consumers. Based on the belief that location plays a major role in the long-term success of a retail operation such as a convenience store, as well as a role in our continually improving ability to accelerate and streamline the new-store development process, FEMSA Comercio has focused on a strategy of rapid, profitable growth. FEMSA Comercio opened 675, 706 and 716 net new OXXO stores in 2005, 2006 and 2007, respectively. The accelerated expansion yielded total revenue growth of 14.3% to reach Ps. 42,103 million in 2007, while same store sales increased 3.3%, which was considerably higher than the retail industry average. FEMSA Comercio performed approximately 1,357 million transactions in 2007 compared to 1,168 million in 2006.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fundamental element of FEMSA Comercio’s business strategy is to utilize its position in the convenience store market to grow in a cost-effective and profitable manner. As a market leader in convenience store retailing, based on internal company surveys, management believes that FEMSA Comercio has an in-depth understanding of its markets and significant expertise in operating a national store chain. FEMSA Comercio intends to continue increasing its store base while capitalizing on the market knowledge gained at existing stores.</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FEMSA Comercio has developed proprietary models to assist in identifying appropriate store locations, store formats and product categories. Its model utilizes location-specific demographic data and FEMSA Comercio’s experience in similar locations to fine tune the store format and product offerings to the target market. Market segmentation is becoming an important strategic tool, and it should increasingly allow FEMSA Comercio to improve the operating efficiency of each location and the overall profitability of the chain.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FEMSA Comercio has made and will continue to make significant investments in information technology to improve its ability to capture customer information from its existing stores and to improve its overall operating performance. All products carried through OXXO stores are bar-coded, and all OXXO stores are equipped with point-of-sale systems that are integrated into a company-wide computer network. To implement revenue management strategies, FEMSA Comercio created a division in charge of product category management for products, such as beverages, fast food and perishables, to enhance and better utilize its consumer information base and market intelligence capabilities. FEMSA Comercio has implemented an ERP system, which will allow FEMSA Comercio to redesign its key operating processes and enhance the usefulness of its market information going forward.</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FEMSA Comercio has adopted innovative promotional strategies in order to increase store traffic and sales. In particular, FEMSA Comercio sells high-frequency items such as beverages, snacks and cigarettes at competitive prices. FEMSA Comercio’s ability to implement this strategy profitably is partly attributable to the size of the OXXO chain, as FEMSA Comercio is able to work together with its suppliers to implement their revenue-management strategies through differentiated promotions. OXXO’s national and local marketing and promotional strategies are an effective revenue driver and a means of reaching new segments of the population while strengthening the </w:t>
      </w:r>
      <w:r>
        <w:rPr>
          <w:rFonts w:ascii="Arial" w:cs="Arial" w:eastAsia="Arial" w:hAnsi="Arial"/>
          <w:sz w:val="16"/>
          <w:szCs w:val="16"/>
          <w:i w:val="1"/>
          <w:iCs w:val="1"/>
          <w:color w:val="auto"/>
        </w:rPr>
        <w:t>OXXO</w:t>
      </w:r>
      <w:r>
        <w:rPr>
          <w:rFonts w:ascii="Arial" w:cs="Arial" w:eastAsia="Arial" w:hAnsi="Arial"/>
          <w:sz w:val="16"/>
          <w:szCs w:val="16"/>
          <w:color w:val="auto"/>
        </w:rPr>
        <w:t xml:space="preserve"> brand. For example, the organization has refined its expertise in executing cross promotions (discounts on multi-packs or sales of complementary products at a special price) and targeted promotions to attract new customer segments, such as housewives, by expanding the offerings in the grocery product category in certain stores.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Locations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With 5,563 OXXO stores in Mexico as of December 31, 2007, FEMSA Comercio operates the largest convenience store chain in Latin America measured by number of stores. OXXO stores are concentrated in the northern part of Mexico, but also have a growing presence in central Mexico and the Gulf coast.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205740</wp:posOffset>
            </wp:positionV>
            <wp:extent cx="4159250" cy="2898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5925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has aggressively expanded its number of stores over the past several years. The average investment required to open a new store varies, depending on location and format and whether the store is opened in an existing retail location or requires construction of a new store. FEMSA Comercio is generally able to use supplier credit to fund the initial inventory of new stores.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Growth in Total OXXO Stores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OXXO stores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5,563</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4,847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4,141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3,466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2,798</w:t>
            </w: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Store growth (% change over previous year)</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26.3%</w:t>
            </w:r>
          </w:p>
        </w:tc>
      </w:tr>
    </w:tbl>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currently expects to continue the growth trend established over the past several years by emphasizing growth in areas of high economic potential in existing markets and by expanding in underserved and unexploited markets. Management believes that the southeast part of Mexico is particularly underserved by the convenience store industry.</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identification of locations and pre-opening planning in order to optimize the results of new stores are important elements in FEMSA Comercio’s growth plan. FEMSA Comercio continuously reviews store performance against certain operating and financial benchmarks to optimize the overall performance of the chain. Stores unable to maintain benchmark standards are generally closed. Between December 31, 2003 and 2007, the total number of OXXO stores increased by 2,765, which resulted from the opening of 2,874 new stores and the closing of 109 existing stores.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OXXO competes in the convenience store segment of the retail market with 7-Eleven, Super Extra, Super City, Circle-K and AM/PM, as well as other local convenience stores. The format of these stores is similar to the format of the OXXO stores. OXXO competes both for consumers and for new locations for stores and the managers to operate those stores. Based on an internal market survey conducted by FEMSA Comercio, management believes that, as of December 31, 2007, there were approximately 8,898 stores in Mexico that could be considered part of the convenience store segment of the retail market. OXXO is the largest chain in Mexico, operating more than half of these stores. Furthermore, FEMSA Comercio operates in 31 states and has much broader geographical coverage than any of its competitors in Mexico.</w:t>
      </w:r>
    </w:p>
    <w:p>
      <w:pPr>
        <w:spacing w:after="0" w:line="195" w:lineRule="exact"/>
        <w:rPr>
          <w:sz w:val="20"/>
          <w:szCs w:val="20"/>
          <w:color w:val="auto"/>
        </w:rPr>
      </w:pPr>
    </w:p>
    <w:p>
      <w:pPr>
        <w:jc w:val="center"/>
        <w:ind w:right="8880"/>
        <w:spacing w:after="0"/>
        <w:rPr>
          <w:sz w:val="20"/>
          <w:szCs w:val="20"/>
          <w:color w:val="auto"/>
        </w:rPr>
      </w:pPr>
      <w:r>
        <w:rPr>
          <w:rFonts w:ascii="Arial" w:cs="Arial" w:eastAsia="Arial" w:hAnsi="Arial"/>
          <w:sz w:val="16"/>
          <w:szCs w:val="16"/>
          <w:b w:val="1"/>
          <w:bCs w:val="1"/>
          <w:color w:val="auto"/>
        </w:rPr>
        <w:t>Market and Store Characteristics</w:t>
      </w:r>
    </w:p>
    <w:p>
      <w:pPr>
        <w:spacing w:after="0" w:line="119" w:lineRule="exact"/>
        <w:rPr>
          <w:sz w:val="20"/>
          <w:szCs w:val="20"/>
          <w:color w:val="auto"/>
        </w:rPr>
      </w:pPr>
    </w:p>
    <w:p>
      <w:pPr>
        <w:jc w:val="center"/>
        <w:ind w:right="8860"/>
        <w:spacing w:after="0"/>
        <w:rPr>
          <w:sz w:val="20"/>
          <w:szCs w:val="20"/>
          <w:color w:val="auto"/>
        </w:rPr>
      </w:pPr>
      <w:r>
        <w:rPr>
          <w:rFonts w:ascii="Arial" w:cs="Arial" w:eastAsia="Arial" w:hAnsi="Arial"/>
          <w:sz w:val="18"/>
          <w:szCs w:val="18"/>
          <w:i w:val="1"/>
          <w:iCs w:val="1"/>
          <w:color w:val="auto"/>
        </w:rPr>
        <w:t>Market Characteristics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FEMSA Comercio is placing increased emphasis on market segmentation and differentiation of store formats to more appropriately serve the needs of customers on a location-by-location basis. The principal segments include residential neighborhoods, commercial and office locations and stores near schools and universities, along with other types of specialized locations.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Approximately 67% of OXXO’s customers are between the ages of 15 and 35. FEMSA Comercio also segments the market according to demographic criteria, including income level.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Store Characteristics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average size of an OXXO store is approximately 111 square meters of selling space, excluding space dedicated to refrigeration, storage or parking. The average constructed area of a store is approximately 186 square meters and, when parking areas are included, the average store size increases to approximately 440 square meters.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Comercio—Operating Indicators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(percentage</w:t>
            </w:r>
          </w:p>
        </w:tc>
        <w:tc>
          <w:tcPr>
            <w:tcW w:w="2200" w:type="dxa"/>
            <w:vAlign w:val="bottom"/>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increase compared to previous year)</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FEMSA Comercio 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14.3%</w:t>
            </w:r>
          </w:p>
        </w:tc>
        <w:tc>
          <w:tcPr>
            <w:tcW w:w="11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18.7%</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21.8%</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7440" w:type="dxa"/>
            <w:vAlign w:val="bottom"/>
          </w:tcPr>
          <w:p>
            <w:pPr>
              <w:spacing w:after="0" w:line="217" w:lineRule="exact"/>
              <w:rPr>
                <w:sz w:val="20"/>
                <w:szCs w:val="20"/>
                <w:color w:val="auto"/>
              </w:rPr>
            </w:pPr>
            <w:r>
              <w:rPr>
                <w:rFonts w:ascii="Arial" w:cs="Arial" w:eastAsia="Arial" w:hAnsi="Arial"/>
                <w:sz w:val="18"/>
                <w:szCs w:val="18"/>
                <w:color w:val="auto"/>
              </w:rPr>
              <w:t>OXXO same-store sales</w:t>
            </w:r>
            <w:r>
              <w:rPr>
                <w:rFonts w:ascii="Arial" w:cs="Arial" w:eastAsia="Arial" w:hAnsi="Arial"/>
                <w:sz w:val="22"/>
                <w:szCs w:val="22"/>
                <w:color w:val="auto"/>
                <w:vertAlign w:val="superscript"/>
              </w:rPr>
              <w:t>(1)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180" w:type="dxa"/>
            <w:vAlign w:val="bottom"/>
            <w:gridSpan w:val="3"/>
          </w:tcPr>
          <w:p>
            <w:pPr>
              <w:jc w:val="right"/>
              <w:ind w:right="252"/>
              <w:spacing w:after="0"/>
              <w:rPr>
                <w:sz w:val="20"/>
                <w:szCs w:val="20"/>
                <w:color w:val="auto"/>
              </w:rPr>
            </w:pPr>
            <w:r>
              <w:rPr>
                <w:rFonts w:ascii="Arial" w:cs="Arial" w:eastAsia="Arial" w:hAnsi="Arial"/>
                <w:sz w:val="18"/>
                <w:szCs w:val="18"/>
                <w:color w:val="auto"/>
              </w:rPr>
              <w:t>8.2%</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149"/>
        </w:trPr>
        <w:tc>
          <w:tcPr>
            <w:tcW w:w="7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3"/>
              </w:rPr>
              <w:t>(percentage of total)</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Beer-related data: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Beer sales as % of total store sales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w:t>
            </w:r>
          </w:p>
        </w:tc>
        <w:tc>
          <w:tcPr>
            <w:tcW w:w="11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13.5%</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13.0%</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OXXO store sales as a % of FEMSA Cerveza’s volume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11.0%</w:t>
            </w:r>
          </w:p>
        </w:tc>
        <w:tc>
          <w:tcPr>
            <w:tcW w:w="1180" w:type="dxa"/>
            <w:vAlign w:val="bottom"/>
            <w:gridSpan w:val="3"/>
          </w:tcPr>
          <w:p>
            <w:pPr>
              <w:jc w:val="right"/>
              <w:ind w:right="252"/>
              <w:spacing w:after="0"/>
              <w:rPr>
                <w:sz w:val="20"/>
                <w:szCs w:val="20"/>
                <w:color w:val="auto"/>
              </w:rPr>
            </w:pPr>
            <w:r>
              <w:rPr>
                <w:rFonts w:ascii="Arial" w:cs="Arial" w:eastAsia="Arial" w:hAnsi="Arial"/>
                <w:sz w:val="18"/>
                <w:szCs w:val="18"/>
                <w:color w:val="auto"/>
              </w:rPr>
              <w:t>9.9%</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5.4%</w:t>
            </w:r>
          </w:p>
        </w:tc>
      </w:tr>
    </w:tbl>
    <w:p>
      <w:pPr>
        <w:spacing w:after="0" w:line="66" w:lineRule="exact"/>
        <w:rPr>
          <w:sz w:val="20"/>
          <w:szCs w:val="20"/>
          <w:color w:val="auto"/>
        </w:rPr>
      </w:pPr>
    </w:p>
    <w:p>
      <w:pPr>
        <w:ind w:left="460" w:right="38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Same-store sales growth is calculated by comparing the sales of stores for each year that have been in operation for at least 13 months with the sales of those same stores during the previous year.</w:t>
      </w:r>
    </w:p>
    <w:p>
      <w:pPr>
        <w:spacing w:after="0" w:line="132"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 xml:space="preserve">Beer, telephone cards, soft drinks and cigarettes represent the main product categories for OXXO stores. FEMSA Comercio has a distribution agreement with FEMSA Cerveza. As a result of this agreement, OXXO stores only carry beer brands produced and distributed by FEMSA Cerveza. Prior to 2001, OXXO stores had informal agreements with Coca-Cola bottlers, including Coca-Cola FEMSA’s territories in central Mexico, to sell only their products. Since 2001, a limited number of OXXO stores began selling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in certain cities in northern Mexico, as part of a defensive competitive strategy.</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Approximately 76% of OXXO stores are operated by independent managers responsible for all aspects of store operations. The managers are commission agents and are not employees of FEMSA Comercio. Each store manager is the legal employer of the store’s staff, which typically numbers six people per store. FEMSA Comercio continually invests in on-site operating personnel, with the objective of promoting loyalty, customer-service and low personnel turnover in the stores.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FEMSA Comercio’s marketing efforts include both specific product promotions and image advertising campaigns. These strategies seek to increase store traffic and sales, and to reinforce the OXXO name and market position.</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FEMSA Comercio manages its advertising on three levels depending on the nature and scope of the specific campaign: local or store-specific, regional and national. Store-specific and regional campaigns are closely monitored to ensure consistency with the overall corporate image of OXXO stores and to avoid conflicts with national campaigns. FEMSA Comercio primarily uses point of purchase materials, flyers, handbills and print and radio media for promotional campaigns, although television is used occasionally for the introduction of new products and services. The OXXO chain’s image and brand name are presented consistently across all stores, irrespective of location.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Purchasing</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FEMSA Comercio has placed considerable emphasis on improving operating performance. As part of these efforts, FEMSA Comercio continues to invest in extensive information management systems to improve inventory management. Electronic data collection has enabled FEMSA Comercio to reduce average inventory levels. Inventory replenishment decisions are carried out on a store-by-store basis.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Management believes that the OXXO chain’s scale of operations provides FEMSA Comercio with a competitive advantage in its ability to realize strategic alliances with suppliers. General category offerings are determined on a national level, although purchasing decisions are implemented on a local, regional or national level, depending on the nature of the product category. Given the fragmented nature of the retail industry in Mexico in general, Mexican producers of beer, soft drinks, bread, dairy products, snacks, cigarettes and other high-frequency products have established proprietary distribution systems with extensive direct distribution routes. As a result, approximately 56% of the products carried by the OXXO chain are delivered directly to the stores by suppliers. Other products with longer shelf lives are distributed to stores by FEMSA Comercio’s distribution system, which includes nine regional warehouses located in Monterrey, Mexico City, Guadalajara, Mexicali, Mérida, León, Obregón, Puebla and Chihuahua. The distribution centers operate a fleet of approximately 242 trucks that make deliveries to each store approximately every week.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OXXO stores experience periods of high demand in December, as a result of the holidays, and in July and August, as a result of increased consumption of beer and soft drinks during the hot summer months. The months of November and February are generally the weakest sales months for OXXO stores. In general, colder weather during these months reduces store traffic and consumption of cold beverages.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FEMSA Comercio also operates other stores under the names Bara, Six and Matador.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business consists of the following smaller operations that support our core operations:</w:t>
      </w:r>
    </w:p>
    <w:p>
      <w:pPr>
        <w:spacing w:after="0" w:line="90" w:lineRule="exact"/>
        <w:rPr>
          <w:sz w:val="20"/>
          <w:szCs w:val="20"/>
          <w:color w:val="auto"/>
        </w:rPr>
      </w:pPr>
    </w:p>
    <w:p>
      <w:pPr>
        <w:ind w:left="900" w:hanging="446"/>
        <w:spacing w:after="0" w:line="253"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commercial refrigerators, labels and flexible packaging subsidiaries. The refrigeration business produces vertical and horizontal commercial refrigerators for the soft drink, beer and food industries, with an annual capacity of 180,300 units at December 31, 2007. In 2007, this business sold 161,519 refrigeration units, 16.0 % of which were sold to FEMSA Cerveza, 32.3% of which were sold to Coca-Cola FEMSA and the remainder of which were sold to third parties. The labeling and flexible packaging business has its facility in Monterrey with an annual production capacity of 335,081 thousands meters of flexible packaging. In 2007, this business sold 46% of its label sales volume to FEMSA Cerveza, 21% to Coca-Cola FEMSA and 33% to third parties. Management believes that growth at these businesses will continue to reflect the marketing strategies of Coca-Cola FEMSA and FEMSA Cerveza.</w:t>
      </w:r>
    </w:p>
    <w:p>
      <w:pPr>
        <w:spacing w:after="0" w:line="66" w:lineRule="exact"/>
        <w:rPr>
          <w:rFonts w:ascii="Arial" w:cs="Arial" w:eastAsia="Arial" w:hAnsi="Arial"/>
          <w:sz w:val="18"/>
          <w:szCs w:val="18"/>
          <w:color w:val="auto"/>
        </w:rPr>
      </w:pPr>
    </w:p>
    <w:p>
      <w:pPr>
        <w:ind w:left="900" w:hanging="446"/>
        <w:spacing w:after="0" w:line="335"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logistics services subsidiary provides logistics services to Coca-Cola FEMSA, FEMSA Empaques, the packaging operations of FEMSA Cerveza, FEMSA Comercio and third party clients that either supply or participate directly in the Mexican beverage industry or in other industries. This business provides integrated logistics support for its clients’ supply chain, including the management of carriers and other supply chain services.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One of our subsidiaries is the owner of the </w:t>
      </w:r>
      <w:r>
        <w:rPr>
          <w:rFonts w:ascii="Arial" w:cs="Arial" w:eastAsia="Arial" w:hAnsi="Arial"/>
          <w:sz w:val="18"/>
          <w:szCs w:val="18"/>
          <w:i w:val="1"/>
          <w:iCs w:val="1"/>
          <w:color w:val="auto"/>
        </w:rPr>
        <w:t>Mundet</w:t>
      </w:r>
      <w:r>
        <w:rPr>
          <w:rFonts w:ascii="Arial" w:cs="Arial" w:eastAsia="Arial" w:hAnsi="Arial"/>
          <w:sz w:val="18"/>
          <w:szCs w:val="18"/>
          <w:color w:val="auto"/>
        </w:rPr>
        <w:t xml:space="preserve"> brands of soft drinks and certain concentrate production equipment, which are licensed to and produced and distributed by Coca-Cola FEMSA.</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corporate services subsidiary employs all of our corporate staff, including the personnel managing the areas of finance, corporate accounting, taxation, legal, financial and strategic planning, human resources and internal audit. Through this subsidiary, we direct, control, supervise and review the operations of our sub-holding companies. FEMSA Cerveza, FEMSA Comercio and our packaging subsidiaries pay management fees for the services provided to them. In addition, FEMSA Cerveza and Coca-Cola FEMSA have each entered into a services agreement pursuant to which they pay for specific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 Plant and Equipment</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2007, we owned all of our manufacturing facilities and substantially all of our warehouses and distribution centers. Our properties primarily consisted of production and distribution facilities for our beer and soft drink operations and office space. In addition, FEMSA Comercio owns approximately 12.7% of the OXXO store locations, while the other stores are located in properties that are rented under long-term lease arrangements with third parties.</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table below sets forth the location, principal use and production area of our production facilities, and the sub-holding company that owns such facilities.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Facilities of FEMSA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Sub-holding Company</w:t>
            </w:r>
          </w:p>
        </w:tc>
        <w:tc>
          <w:tcPr>
            <w:tcW w:w="2620" w:type="dxa"/>
            <w:vAlign w:val="bottom"/>
          </w:tcPr>
          <w:p>
            <w:pPr>
              <w:ind w:left="1060"/>
              <w:spacing w:after="0"/>
              <w:rPr>
                <w:sz w:val="20"/>
                <w:szCs w:val="20"/>
                <w:color w:val="auto"/>
              </w:rPr>
            </w:pPr>
            <w:r>
              <w:rPr>
                <w:rFonts w:ascii="Arial" w:cs="Arial" w:eastAsia="Arial" w:hAnsi="Arial"/>
                <w:sz w:val="14"/>
                <w:szCs w:val="14"/>
                <w:b w:val="1"/>
                <w:bCs w:val="1"/>
                <w:color w:val="auto"/>
              </w:rPr>
              <w:t>Location</w:t>
            </w:r>
          </w:p>
        </w:tc>
        <w:tc>
          <w:tcPr>
            <w:tcW w:w="440" w:type="dxa"/>
            <w:vAlign w:val="bottom"/>
          </w:tcPr>
          <w:p>
            <w:pPr>
              <w:spacing w:after="0"/>
              <w:rPr>
                <w:sz w:val="14"/>
                <w:szCs w:val="14"/>
                <w:color w:val="auto"/>
              </w:rPr>
            </w:pPr>
          </w:p>
        </w:tc>
        <w:tc>
          <w:tcPr>
            <w:tcW w:w="2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Principal Use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Production Area</w:t>
            </w:r>
          </w:p>
        </w:tc>
        <w:tc>
          <w:tcPr>
            <w:tcW w:w="0" w:type="dxa"/>
            <w:vAlign w:val="bottom"/>
          </w:tcPr>
          <w:p>
            <w:pPr>
              <w:spacing w:after="0"/>
              <w:rPr>
                <w:sz w:val="1"/>
                <w:szCs w:val="1"/>
                <w:color w:val="auto"/>
              </w:rPr>
            </w:pPr>
          </w:p>
        </w:tc>
      </w:tr>
      <w:tr>
        <w:trPr>
          <w:trHeight w:val="129"/>
        </w:trPr>
        <w:tc>
          <w:tcPr>
            <w:tcW w:w="1400" w:type="dxa"/>
            <w:vAlign w:val="bottom"/>
            <w:tcBorders>
              <w:top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26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74"/>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Coca-Cola FEMSA</w:t>
            </w: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of sq. meters)</w:t>
            </w:r>
          </w:p>
        </w:tc>
        <w:tc>
          <w:tcPr>
            <w:tcW w:w="0" w:type="dxa"/>
            <w:vAlign w:val="bottom"/>
          </w:tcPr>
          <w:p>
            <w:pPr>
              <w:spacing w:after="0"/>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Mexico</w:t>
            </w:r>
          </w:p>
        </w:tc>
        <w:tc>
          <w:tcPr>
            <w:tcW w:w="2620" w:type="dxa"/>
            <w:vAlign w:val="bottom"/>
          </w:tcPr>
          <w:p>
            <w:pPr>
              <w:spacing w:after="0"/>
              <w:rPr>
                <w:sz w:val="20"/>
                <w:szCs w:val="20"/>
                <w:color w:val="auto"/>
              </w:rPr>
            </w:pPr>
            <w:r>
              <w:rPr>
                <w:rFonts w:ascii="Arial" w:cs="Arial" w:eastAsia="Arial" w:hAnsi="Arial"/>
                <w:sz w:val="18"/>
                <w:szCs w:val="18"/>
                <w:color w:val="auto"/>
                <w:w w:val="88"/>
              </w:rPr>
              <w:t>San Cristóbal de las Casas, Chiapas</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Cedro, Distrito Federal</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Cuautitlán, Estado de México</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88"/>
              </w:rPr>
              <w:t>Los Reyes la Paz, Estado de México</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242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Celaya, Guanajuato</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León, Guanajuato</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Morelia, Michoacan</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Ixtacomitán, Tabasco</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Apizaco, Tlaxcala</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Coatepec, Veracruz</w:t>
            </w:r>
          </w:p>
        </w:tc>
        <w:tc>
          <w:tcPr>
            <w:tcW w:w="440" w:type="dxa"/>
            <w:vAlign w:val="bottom"/>
          </w:tcPr>
          <w:p>
            <w:pPr>
              <w:spacing w:after="0"/>
              <w:rPr>
                <w:sz w:val="19"/>
                <w:szCs w:val="19"/>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142</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Guatemala</w:t>
            </w:r>
          </w:p>
        </w:tc>
        <w:tc>
          <w:tcPr>
            <w:tcW w:w="2620" w:type="dxa"/>
            <w:vAlign w:val="bottom"/>
          </w:tcPr>
          <w:p>
            <w:pPr>
              <w:spacing w:after="0"/>
              <w:rPr>
                <w:sz w:val="20"/>
                <w:szCs w:val="20"/>
                <w:color w:val="auto"/>
              </w:rPr>
            </w:pPr>
            <w:r>
              <w:rPr>
                <w:rFonts w:ascii="Arial" w:cs="Arial" w:eastAsia="Arial" w:hAnsi="Arial"/>
                <w:sz w:val="18"/>
                <w:szCs w:val="18"/>
                <w:color w:val="auto"/>
              </w:rPr>
              <w:t>Guatemala City</w:t>
            </w:r>
          </w:p>
        </w:tc>
        <w:tc>
          <w:tcPr>
            <w:tcW w:w="440" w:type="dxa"/>
            <w:vAlign w:val="bottom"/>
          </w:tcPr>
          <w:p>
            <w:pPr>
              <w:spacing w:after="0"/>
              <w:rPr>
                <w:sz w:val="24"/>
                <w:szCs w:val="24"/>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Nicaragua</w:t>
            </w:r>
          </w:p>
        </w:tc>
        <w:tc>
          <w:tcPr>
            <w:tcW w:w="2620" w:type="dxa"/>
            <w:vAlign w:val="bottom"/>
          </w:tcPr>
          <w:p>
            <w:pPr>
              <w:spacing w:after="0"/>
              <w:rPr>
                <w:sz w:val="20"/>
                <w:szCs w:val="20"/>
                <w:color w:val="auto"/>
              </w:rPr>
            </w:pPr>
            <w:r>
              <w:rPr>
                <w:rFonts w:ascii="Arial" w:cs="Arial" w:eastAsia="Arial" w:hAnsi="Arial"/>
                <w:sz w:val="18"/>
                <w:szCs w:val="18"/>
                <w:color w:val="auto"/>
              </w:rPr>
              <w:t>Managua</w:t>
            </w:r>
          </w:p>
        </w:tc>
        <w:tc>
          <w:tcPr>
            <w:tcW w:w="440" w:type="dxa"/>
            <w:vAlign w:val="bottom"/>
          </w:tcPr>
          <w:p>
            <w:pPr>
              <w:spacing w:after="0"/>
              <w:rPr>
                <w:sz w:val="24"/>
                <w:szCs w:val="24"/>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Costa Rica</w:t>
            </w:r>
          </w:p>
        </w:tc>
        <w:tc>
          <w:tcPr>
            <w:tcW w:w="2620" w:type="dxa"/>
            <w:vAlign w:val="bottom"/>
          </w:tcPr>
          <w:p>
            <w:pPr>
              <w:spacing w:after="0"/>
              <w:rPr>
                <w:sz w:val="20"/>
                <w:szCs w:val="20"/>
                <w:color w:val="auto"/>
              </w:rPr>
            </w:pPr>
            <w:r>
              <w:rPr>
                <w:rFonts w:ascii="Arial" w:cs="Arial" w:eastAsia="Arial" w:hAnsi="Arial"/>
                <w:sz w:val="18"/>
                <w:szCs w:val="18"/>
                <w:color w:val="auto"/>
              </w:rPr>
              <w:t>San José</w:t>
            </w:r>
          </w:p>
        </w:tc>
        <w:tc>
          <w:tcPr>
            <w:tcW w:w="440" w:type="dxa"/>
            <w:vAlign w:val="bottom"/>
          </w:tcPr>
          <w:p>
            <w:pPr>
              <w:spacing w:after="0"/>
              <w:rPr>
                <w:sz w:val="24"/>
                <w:szCs w:val="24"/>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Panama</w:t>
            </w:r>
          </w:p>
        </w:tc>
        <w:tc>
          <w:tcPr>
            <w:tcW w:w="2620" w:type="dxa"/>
            <w:vAlign w:val="bottom"/>
          </w:tcPr>
          <w:p>
            <w:pPr>
              <w:spacing w:after="0"/>
              <w:rPr>
                <w:sz w:val="20"/>
                <w:szCs w:val="20"/>
                <w:color w:val="auto"/>
              </w:rPr>
            </w:pPr>
            <w:r>
              <w:rPr>
                <w:rFonts w:ascii="Arial" w:cs="Arial" w:eastAsia="Arial" w:hAnsi="Arial"/>
                <w:sz w:val="18"/>
                <w:szCs w:val="18"/>
                <w:color w:val="auto"/>
              </w:rPr>
              <w:t>Panama City</w:t>
            </w:r>
          </w:p>
        </w:tc>
        <w:tc>
          <w:tcPr>
            <w:tcW w:w="440" w:type="dxa"/>
            <w:vAlign w:val="bottom"/>
          </w:tcPr>
          <w:p>
            <w:pPr>
              <w:spacing w:after="0"/>
              <w:rPr>
                <w:sz w:val="24"/>
                <w:szCs w:val="24"/>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426"/>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Colombia</w:t>
            </w:r>
          </w:p>
        </w:tc>
        <w:tc>
          <w:tcPr>
            <w:tcW w:w="2620" w:type="dxa"/>
            <w:vAlign w:val="bottom"/>
          </w:tcPr>
          <w:p>
            <w:pPr>
              <w:spacing w:after="0"/>
              <w:rPr>
                <w:sz w:val="20"/>
                <w:szCs w:val="20"/>
                <w:color w:val="auto"/>
              </w:rPr>
            </w:pPr>
            <w:r>
              <w:rPr>
                <w:rFonts w:ascii="Arial" w:cs="Arial" w:eastAsia="Arial" w:hAnsi="Arial"/>
                <w:sz w:val="18"/>
                <w:szCs w:val="18"/>
                <w:color w:val="auto"/>
              </w:rPr>
              <w:t>Barranquilla</w:t>
            </w:r>
          </w:p>
        </w:tc>
        <w:tc>
          <w:tcPr>
            <w:tcW w:w="440" w:type="dxa"/>
            <w:vAlign w:val="bottom"/>
          </w:tcPr>
          <w:p>
            <w:pPr>
              <w:spacing w:after="0"/>
              <w:rPr>
                <w:sz w:val="24"/>
                <w:szCs w:val="24"/>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Bogotá</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Bucaramanga</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Cali</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Manantial</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Medellín</w:t>
            </w:r>
          </w:p>
        </w:tc>
        <w:tc>
          <w:tcPr>
            <w:tcW w:w="440" w:type="dxa"/>
            <w:vAlign w:val="bottom"/>
          </w:tcPr>
          <w:p>
            <w:pPr>
              <w:spacing w:after="0"/>
              <w:rPr>
                <w:sz w:val="19"/>
                <w:szCs w:val="19"/>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426"/>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Venezuela</w:t>
            </w:r>
          </w:p>
        </w:tc>
        <w:tc>
          <w:tcPr>
            <w:tcW w:w="2620" w:type="dxa"/>
            <w:vAlign w:val="bottom"/>
          </w:tcPr>
          <w:p>
            <w:pPr>
              <w:spacing w:after="0"/>
              <w:rPr>
                <w:sz w:val="20"/>
                <w:szCs w:val="20"/>
                <w:color w:val="auto"/>
              </w:rPr>
            </w:pPr>
            <w:r>
              <w:rPr>
                <w:rFonts w:ascii="Arial" w:cs="Arial" w:eastAsia="Arial" w:hAnsi="Arial"/>
                <w:sz w:val="18"/>
                <w:szCs w:val="18"/>
                <w:color w:val="auto"/>
              </w:rPr>
              <w:t>Antimano</w:t>
            </w:r>
          </w:p>
        </w:tc>
        <w:tc>
          <w:tcPr>
            <w:tcW w:w="440" w:type="dxa"/>
            <w:vAlign w:val="bottom"/>
          </w:tcPr>
          <w:p>
            <w:pPr>
              <w:spacing w:after="0"/>
              <w:rPr>
                <w:sz w:val="24"/>
                <w:szCs w:val="24"/>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Barcelona</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141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Maracaibo</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Valencia</w:t>
            </w:r>
          </w:p>
        </w:tc>
        <w:tc>
          <w:tcPr>
            <w:tcW w:w="440" w:type="dxa"/>
            <w:vAlign w:val="bottom"/>
          </w:tcPr>
          <w:p>
            <w:pPr>
              <w:spacing w:after="0"/>
              <w:rPr>
                <w:sz w:val="19"/>
                <w:szCs w:val="19"/>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426"/>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Brazil</w:t>
            </w:r>
          </w:p>
        </w:tc>
        <w:tc>
          <w:tcPr>
            <w:tcW w:w="2620" w:type="dxa"/>
            <w:vAlign w:val="bottom"/>
          </w:tcPr>
          <w:p>
            <w:pPr>
              <w:spacing w:after="0"/>
              <w:rPr>
                <w:sz w:val="20"/>
                <w:szCs w:val="20"/>
                <w:color w:val="auto"/>
              </w:rPr>
            </w:pPr>
            <w:r>
              <w:rPr>
                <w:rFonts w:ascii="Arial" w:cs="Arial" w:eastAsia="Arial" w:hAnsi="Arial"/>
                <w:sz w:val="18"/>
                <w:szCs w:val="18"/>
                <w:color w:val="auto"/>
              </w:rPr>
              <w:t>Campo Grande</w:t>
            </w:r>
          </w:p>
        </w:tc>
        <w:tc>
          <w:tcPr>
            <w:tcW w:w="440" w:type="dxa"/>
            <w:vAlign w:val="bottom"/>
          </w:tcPr>
          <w:p>
            <w:pPr>
              <w:spacing w:after="0"/>
              <w:rPr>
                <w:sz w:val="24"/>
                <w:szCs w:val="24"/>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Jundiaí</w:t>
            </w:r>
          </w:p>
        </w:tc>
        <w:tc>
          <w:tcPr>
            <w:tcW w:w="440" w:type="dxa"/>
            <w:vAlign w:val="bottom"/>
          </w:tcPr>
          <w:p>
            <w:pPr>
              <w:spacing w:after="0"/>
              <w:rPr>
                <w:sz w:val="18"/>
                <w:szCs w:val="18"/>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191</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Moji das Cruzes</w:t>
            </w:r>
          </w:p>
        </w:tc>
        <w:tc>
          <w:tcPr>
            <w:tcW w:w="440" w:type="dxa"/>
            <w:vAlign w:val="bottom"/>
          </w:tcPr>
          <w:p>
            <w:pPr>
              <w:spacing w:after="0"/>
              <w:rPr>
                <w:sz w:val="19"/>
                <w:szCs w:val="19"/>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Argentina</w:t>
            </w:r>
          </w:p>
        </w:tc>
        <w:tc>
          <w:tcPr>
            <w:tcW w:w="2620" w:type="dxa"/>
            <w:vAlign w:val="bottom"/>
          </w:tcPr>
          <w:p>
            <w:pPr>
              <w:spacing w:after="0"/>
              <w:rPr>
                <w:sz w:val="20"/>
                <w:szCs w:val="20"/>
                <w:color w:val="auto"/>
              </w:rPr>
            </w:pPr>
            <w:r>
              <w:rPr>
                <w:rFonts w:ascii="Arial" w:cs="Arial" w:eastAsia="Arial" w:hAnsi="Arial"/>
                <w:sz w:val="18"/>
                <w:szCs w:val="18"/>
                <w:color w:val="auto"/>
              </w:rPr>
              <w:t>Alcorta</w:t>
            </w:r>
          </w:p>
        </w:tc>
        <w:tc>
          <w:tcPr>
            <w:tcW w:w="440" w:type="dxa"/>
            <w:vAlign w:val="bottom"/>
          </w:tcPr>
          <w:p>
            <w:pPr>
              <w:spacing w:after="0"/>
              <w:rPr>
                <w:sz w:val="24"/>
                <w:szCs w:val="24"/>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Soft Drink Bottling Plant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365"/>
        </w:trPr>
        <w:tc>
          <w:tcPr>
            <w:tcW w:w="1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20" w:type="dxa"/>
            <w:vAlign w:val="bottom"/>
          </w:tcPr>
          <w:p>
            <w:pPr>
              <w:ind w:left="50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Sub-holding Company</w:t>
            </w:r>
          </w:p>
        </w:tc>
        <w:tc>
          <w:tcPr>
            <w:tcW w:w="3960" w:type="dxa"/>
            <w:vAlign w:val="bottom"/>
          </w:tcPr>
          <w:p>
            <w:pPr>
              <w:spacing w:after="0"/>
              <w:rPr>
                <w:sz w:val="14"/>
                <w:szCs w:val="14"/>
                <w:color w:val="auto"/>
              </w:rPr>
            </w:pPr>
          </w:p>
        </w:tc>
        <w:tc>
          <w:tcPr>
            <w:tcW w:w="23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Location</w:t>
            </w:r>
          </w:p>
        </w:tc>
        <w:tc>
          <w:tcPr>
            <w:tcW w:w="460" w:type="dxa"/>
            <w:vAlign w:val="bottom"/>
          </w:tcPr>
          <w:p>
            <w:pPr>
              <w:spacing w:after="0"/>
              <w:rPr>
                <w:sz w:val="14"/>
                <w:szCs w:val="14"/>
                <w:color w:val="auto"/>
              </w:rPr>
            </w:pPr>
          </w:p>
        </w:tc>
        <w:tc>
          <w:tcPr>
            <w:tcW w:w="1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Principal Use</w:t>
            </w:r>
          </w:p>
        </w:tc>
        <w:tc>
          <w:tcPr>
            <w:tcW w:w="4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Production Area</w:t>
            </w:r>
          </w:p>
        </w:tc>
        <w:tc>
          <w:tcPr>
            <w:tcW w:w="0" w:type="dxa"/>
            <w:vAlign w:val="bottom"/>
          </w:tcPr>
          <w:p>
            <w:pPr>
              <w:spacing w:after="0"/>
              <w:rPr>
                <w:sz w:val="1"/>
                <w:szCs w:val="1"/>
                <w:color w:val="auto"/>
              </w:rPr>
            </w:pPr>
          </w:p>
        </w:tc>
      </w:tr>
      <w:tr>
        <w:trPr>
          <w:trHeight w:val="129"/>
        </w:trPr>
        <w:tc>
          <w:tcPr>
            <w:tcW w:w="1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74"/>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FEMSA Cerveza</w:t>
            </w:r>
          </w:p>
        </w:tc>
        <w:tc>
          <w:tcPr>
            <w:tcW w:w="39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of sq. meters)</w:t>
            </w:r>
          </w:p>
        </w:tc>
        <w:tc>
          <w:tcPr>
            <w:tcW w:w="0" w:type="dxa"/>
            <w:vAlign w:val="bottom"/>
          </w:tcPr>
          <w:p>
            <w:pPr>
              <w:spacing w:after="0"/>
              <w:rPr>
                <w:sz w:val="1"/>
                <w:szCs w:val="1"/>
                <w:color w:val="auto"/>
              </w:rPr>
            </w:pPr>
          </w:p>
        </w:tc>
      </w:tr>
      <w:tr>
        <w:trPr>
          <w:trHeight w:val="215"/>
        </w:trPr>
        <w:tc>
          <w:tcPr>
            <w:tcW w:w="140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vMerge w:val="restart"/>
          </w:tcPr>
          <w:p>
            <w:pPr>
              <w:spacing w:after="0"/>
              <w:rPr>
                <w:sz w:val="20"/>
                <w:szCs w:val="20"/>
                <w:color w:val="auto"/>
              </w:rPr>
            </w:pPr>
            <w:r>
              <w:rPr>
                <w:rFonts w:ascii="Arial" w:cs="Arial" w:eastAsia="Arial" w:hAnsi="Arial"/>
                <w:sz w:val="18"/>
                <w:szCs w:val="18"/>
                <w:color w:val="auto"/>
                <w:w w:val="98"/>
              </w:rPr>
              <w:t>Tecate, Baja California Norte</w:t>
            </w:r>
          </w:p>
        </w:tc>
        <w:tc>
          <w:tcPr>
            <w:tcW w:w="460" w:type="dxa"/>
            <w:vAlign w:val="bottom"/>
          </w:tcPr>
          <w:p>
            <w:pPr>
              <w:spacing w:after="0"/>
              <w:rPr>
                <w:sz w:val="18"/>
                <w:szCs w:val="18"/>
                <w:color w:val="auto"/>
              </w:rPr>
            </w:pPr>
          </w:p>
        </w:tc>
        <w:tc>
          <w:tcPr>
            <w:tcW w:w="1860" w:type="dxa"/>
            <w:vAlign w:val="bottom"/>
            <w:vMerge w:val="restart"/>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vMerge w:val="restart"/>
          </w:tcPr>
          <w:p>
            <w:pPr>
              <w:jc w:val="center"/>
              <w:ind w:left="372"/>
              <w:spacing w:after="0"/>
              <w:rPr>
                <w:sz w:val="20"/>
                <w:szCs w:val="20"/>
                <w:color w:val="auto"/>
              </w:rPr>
            </w:pPr>
            <w:r>
              <w:rPr>
                <w:rFonts w:ascii="Arial" w:cs="Arial" w:eastAsia="Arial" w:hAnsi="Arial"/>
                <w:sz w:val="18"/>
                <w:szCs w:val="18"/>
                <w:color w:val="auto"/>
                <w:w w:val="86"/>
              </w:rPr>
              <w:t>586</w:t>
            </w: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6"/>
              </w:rPr>
              <w:t>375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Guadalajara, Jalisco</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Monterrey, Nuevo León</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6"/>
              </w:rPr>
              <w:t>445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Navojoa, Sonora</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6"/>
              </w:rPr>
              <w:t>548</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Orizaba, Veracruz</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6"/>
              </w:rPr>
              <w:t>281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Pachuca, Hidalgo</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Malt Plant</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San Marcos, Puebla</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Malt Plant</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88"/>
              </w:rPr>
              <w:t>Ensenada, Baja California Norte</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Beverage Cans</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Beverage Cans</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Monterrey, Nuevo León</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87"/>
              </w:rPr>
              <w:t>Crown Caps and Can Lids</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Acayucan, Veracruz</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Silica Sand Mine</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Nogales, Veracruz</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Bottle Decoration</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22"/>
        </w:trPr>
        <w:tc>
          <w:tcPr>
            <w:tcW w:w="1400" w:type="dxa"/>
            <w:vAlign w:val="bottom"/>
            <w:vMerge w:val="restart"/>
          </w:tcPr>
          <w:p>
            <w:pPr>
              <w:spacing w:after="0"/>
              <w:rPr>
                <w:sz w:val="20"/>
                <w:szCs w:val="20"/>
                <w:color w:val="auto"/>
              </w:rPr>
            </w:pPr>
            <w:r>
              <w:rPr>
                <w:rFonts w:ascii="Arial" w:cs="Arial" w:eastAsia="Arial" w:hAnsi="Arial"/>
                <w:sz w:val="18"/>
                <w:szCs w:val="18"/>
                <w:i w:val="1"/>
                <w:iCs w:val="1"/>
                <w:color w:val="auto"/>
              </w:rPr>
              <w:t>Brazil</w:t>
            </w:r>
          </w:p>
        </w:tc>
        <w:tc>
          <w:tcPr>
            <w:tcW w:w="396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Orizaba, Veracruz</w:t>
            </w:r>
          </w:p>
        </w:tc>
        <w:tc>
          <w:tcPr>
            <w:tcW w:w="46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Glass Bottles</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vMerge w:val="restart"/>
          </w:tcPr>
          <w:p>
            <w:pPr>
              <w:spacing w:after="0"/>
              <w:rPr>
                <w:sz w:val="20"/>
                <w:szCs w:val="20"/>
                <w:color w:val="auto"/>
              </w:rPr>
            </w:pPr>
            <w:r>
              <w:rPr>
                <w:rFonts w:ascii="Arial" w:cs="Arial" w:eastAsia="Arial" w:hAnsi="Arial"/>
                <w:sz w:val="18"/>
                <w:szCs w:val="18"/>
                <w:color w:val="auto"/>
              </w:rPr>
              <w:t>Jacareí</w:t>
            </w:r>
          </w:p>
        </w:tc>
        <w:tc>
          <w:tcPr>
            <w:tcW w:w="460" w:type="dxa"/>
            <w:vAlign w:val="bottom"/>
          </w:tcPr>
          <w:p>
            <w:pPr>
              <w:spacing w:after="0"/>
              <w:rPr>
                <w:sz w:val="18"/>
                <w:szCs w:val="18"/>
                <w:color w:val="auto"/>
              </w:rPr>
            </w:pPr>
          </w:p>
        </w:tc>
        <w:tc>
          <w:tcPr>
            <w:tcW w:w="1860" w:type="dxa"/>
            <w:vAlign w:val="bottom"/>
            <w:vMerge w:val="restart"/>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vMerge w:val="restart"/>
          </w:tcPr>
          <w:p>
            <w:pPr>
              <w:jc w:val="center"/>
              <w:ind w:left="372"/>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Ponta Grossa</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Araraquara</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Feira de Santana</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Pacatuba</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Gravataí</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Cuiabá</w:t>
            </w:r>
          </w:p>
        </w:tc>
        <w:tc>
          <w:tcPr>
            <w:tcW w:w="4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Manaus</w:t>
            </w:r>
          </w:p>
        </w:tc>
        <w:tc>
          <w:tcPr>
            <w:tcW w:w="46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Brewery</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We maintain an “all risk” insurance policy covering our properties (owned and leased), machinery and equipment and inventories as well as losses due to business interruptions. The policy covers damages caused by natural disaster, including hurricane, hail, earthquake and damages caused by human acts, including explosion, fire, vandalism, riot and losses incurred in connection with goods in transit. In addition, we maintain an “all risk” liability insurance policy that covers product liability. We purchase our insurance coverage through an insurance broker. The policies are issued by </w:t>
      </w:r>
      <w:r>
        <w:rPr>
          <w:rFonts w:ascii="Arial" w:cs="Arial" w:eastAsia="Arial" w:hAnsi="Arial"/>
          <w:sz w:val="18"/>
          <w:szCs w:val="18"/>
          <w:i w:val="1"/>
          <w:iCs w:val="1"/>
          <w:color w:val="auto"/>
        </w:rPr>
        <w:t>Allianz México, S.A., Aseguradora</w:t>
      </w:r>
      <w:r>
        <w:rPr>
          <w:rFonts w:ascii="Arial" w:cs="Arial" w:eastAsia="Arial" w:hAnsi="Arial"/>
          <w:sz w:val="18"/>
          <w:szCs w:val="18"/>
          <w:color w:val="auto"/>
        </w:rPr>
        <w:t>, and the coverage is partially reinsured in the international reinsurance market. We believe that our coverage is consistent with the coverage maintained by similar companies operating in Mexico.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Divestitures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consolidated capital expenditures for the years ended December 31, 2007, 2006, and 2005 were Ps. 11,257 million, Ps. 9,422 million and Ps. 7,508 million respectively, and were for the most part financed from cash from operations generated by our subsidiaries. These amounts were invested in the following manner: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6"/>
              </w:rPr>
              <w:t>Year Ended 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8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w w:val="71"/>
              </w:rPr>
              <w:t>millions</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of constant</w:t>
            </w: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72"/>
              </w:rPr>
              <w:t>Mexican</w:t>
            </w:r>
          </w:p>
        </w:tc>
        <w:tc>
          <w:tcPr>
            <w:tcW w:w="760" w:type="dxa"/>
            <w:vAlign w:val="bottom"/>
            <w:gridSpan w:val="2"/>
          </w:tcPr>
          <w:p>
            <w:pPr>
              <w:jc w:val="right"/>
              <w:ind w:right="256"/>
              <w:spacing w:after="0" w:line="142" w:lineRule="exact"/>
              <w:rPr>
                <w:sz w:val="20"/>
                <w:szCs w:val="20"/>
                <w:color w:val="auto"/>
              </w:rPr>
            </w:pPr>
            <w:r>
              <w:rPr>
                <w:rFonts w:ascii="Arial" w:cs="Arial" w:eastAsia="Arial" w:hAnsi="Arial"/>
                <w:sz w:val="14"/>
                <w:szCs w:val="14"/>
                <w:b w:val="1"/>
                <w:bCs w:val="1"/>
                <w:color w:val="auto"/>
                <w:w w:val="88"/>
              </w:rPr>
              <w:t>pesos)</w:t>
            </w:r>
          </w:p>
        </w:tc>
        <w:tc>
          <w:tcPr>
            <w:tcW w:w="2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6"/>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4"/>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FEMSA Cerveza</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5,373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4,419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3,197</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0" w:type="dxa"/>
            <w:vAlign w:val="bottom"/>
          </w:tcPr>
          <w:p>
            <w:pPr>
              <w:spacing w:after="0"/>
              <w:rPr>
                <w:sz w:val="18"/>
                <w:szCs w:val="18"/>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50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9"/>
                <w:szCs w:val="19"/>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6"/>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4"/>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 w:type="dxa"/>
            <w:vAlign w:val="bottom"/>
          </w:tcPr>
          <w:p>
            <w:pPr>
              <w:spacing w:after="0"/>
              <w:rPr>
                <w:sz w:val="18"/>
                <w:szCs w:val="18"/>
                <w:color w:val="auto"/>
              </w:rPr>
            </w:pPr>
          </w:p>
        </w:tc>
      </w:tr>
      <w:tr>
        <w:trPr>
          <w:trHeight w:val="363"/>
        </w:trPr>
        <w:tc>
          <w:tcPr>
            <w:tcW w:w="3500" w:type="dxa"/>
            <w:vAlign w:val="bottom"/>
          </w:tcPr>
          <w:p>
            <w:pPr>
              <w:spacing w:after="0"/>
              <w:rPr>
                <w:sz w:val="24"/>
                <w:szCs w:val="24"/>
                <w:color w:val="auto"/>
              </w:rPr>
            </w:pPr>
          </w:p>
        </w:tc>
        <w:tc>
          <w:tcPr>
            <w:tcW w:w="5020" w:type="dxa"/>
            <w:vAlign w:val="bottom"/>
          </w:tcPr>
          <w:p>
            <w:pPr>
              <w:jc w:val="right"/>
              <w:ind w:right="2632"/>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2007, Coca-Cola FEMSA’s capital expenditures focused on investments in returnable bottles and cases, increasing plant operating capacity, placing refrigeration equipment with retailers and improving the efficiency of distribution infrastructure. Capital expenditures in Mexico were approximately Ps.1,945 million and accounted for approximately 50% of Coca-Cola FEMSA’s capital expenditures.</w:t>
      </w:r>
    </w:p>
    <w:p>
      <w:pPr>
        <w:spacing w:after="0" w:line="215" w:lineRule="exact"/>
        <w:rPr>
          <w:sz w:val="20"/>
          <w:szCs w:val="20"/>
          <w:color w:val="auto"/>
        </w:rPr>
      </w:pPr>
    </w:p>
    <w:p>
      <w:pPr>
        <w:jc w:val="right"/>
        <w:ind w:right="10120"/>
        <w:spacing w:after="0"/>
        <w:rPr>
          <w:sz w:val="20"/>
          <w:szCs w:val="20"/>
          <w:color w:val="auto"/>
        </w:rPr>
      </w:pPr>
      <w:r>
        <w:rPr>
          <w:rFonts w:ascii="Arial" w:cs="Arial" w:eastAsia="Arial" w:hAnsi="Arial"/>
          <w:sz w:val="16"/>
          <w:szCs w:val="16"/>
          <w:b w:val="1"/>
          <w:bCs w:val="1"/>
          <w:color w:val="auto"/>
        </w:rPr>
        <w:t>FEMSA Cerveza</w:t>
      </w:r>
    </w:p>
    <w:p>
      <w:pPr>
        <w:spacing w:after="0" w:line="119" w:lineRule="exact"/>
        <w:rPr>
          <w:sz w:val="20"/>
          <w:szCs w:val="20"/>
          <w:color w:val="auto"/>
        </w:rPr>
      </w:pPr>
    </w:p>
    <w:p>
      <w:pPr>
        <w:jc w:val="right"/>
        <w:ind w:right="10160"/>
        <w:spacing w:after="0"/>
        <w:rPr>
          <w:sz w:val="20"/>
          <w:szCs w:val="20"/>
          <w:color w:val="auto"/>
        </w:rPr>
      </w:pPr>
      <w:r>
        <w:rPr>
          <w:rFonts w:ascii="Arial" w:cs="Arial" w:eastAsia="Arial" w:hAnsi="Arial"/>
          <w:sz w:val="18"/>
          <w:szCs w:val="18"/>
          <w:i w:val="1"/>
          <w:iCs w:val="1"/>
          <w:color w:val="auto"/>
        </w:rPr>
        <w:t>Production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2007, FEMSA Cerveza invested approximately Ps. 643 million on equipment substitution and upgrades in its facilities. FEMSA Cerveza’s monthly installed capacity as of December 31, 2007 was 4.55 million hectoliters, equivalent to an annualized installed capacity of 54.6 million hectoliters. In addition, FEMSA Cerveza invested Ps. 645 million in plant improvements and equipment upgrades for its beverage can and glass bottle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2007, FEMSA Cerveza invested Ps. 778 million in its distribution network. Approximately Ps. 213 million of this amount was invested in the replacement of trucks in its distribution fleet, Ps. 353 million in land, buildings and improvements to leased properties dedicated to various distribution functions, and the remaining Ps. 212 million in other distribution-related investments.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Market-related Investments</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During 2007, FEMSA Cerveza invested Ps. 3,198 million in market-related activities and brand support in the domestic market. Approximately 53% of these investments were directed to customer agreements with retailers and commercial support to owned and third party distributors. Investments in retail agreements that exceed a one-year term are capitalized and amortized over the life of the agreement. In general, FEMSA Cerveza’s retail agreements are for a period of four to five years. Other market-related investments include the purchase of refrigeration equipment, coolers, plastic furniture and other promotional items. These items are placed with retailers as a mean of facilitating the retailers’ ability to service consumers and to promote the image and profile of FEMSA Cerveza’s brands.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Technology 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during 2007, FEMSA Cerveza invested Ps. 109 million in system software projects.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FEMSA Comercio’s principal investment activity is the construction and opening of new stores. During 2007, FEMSA Comercio opened 716 net new OXXO stores. FEMSA Comercio invested Ps. 2,112 million in 2007 in the addition of new stores, warehouses and improvements to leased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Legislation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Ley Federal de Competencia Económica</w:t>
      </w:r>
      <w:r>
        <w:rPr>
          <w:rFonts w:ascii="Arial" w:cs="Arial" w:eastAsia="Arial" w:hAnsi="Arial"/>
          <w:sz w:val="16"/>
          <w:szCs w:val="16"/>
          <w:color w:val="auto"/>
        </w:rPr>
        <w:t xml:space="preserve"> (the Federal Economic Competition Law or the Mexican Competition Law) became effective on June 22, 1993. The Mexican Competition Law and the </w:t>
      </w:r>
      <w:r>
        <w:rPr>
          <w:rFonts w:ascii="Arial" w:cs="Arial" w:eastAsia="Arial" w:hAnsi="Arial"/>
          <w:sz w:val="16"/>
          <w:szCs w:val="16"/>
          <w:i w:val="1"/>
          <w:iCs w:val="1"/>
          <w:color w:val="auto"/>
        </w:rPr>
        <w:t>Reglamento de la Ley Federal de Competencia Económica</w:t>
      </w:r>
      <w:r>
        <w:rPr>
          <w:rFonts w:ascii="Arial" w:cs="Arial" w:eastAsia="Arial" w:hAnsi="Arial"/>
          <w:sz w:val="16"/>
          <w:szCs w:val="16"/>
          <w:color w:val="auto"/>
        </w:rPr>
        <w:t xml:space="preserve"> (the Regulations under the Mexican Competition Law), effective as of March 9, 1998, regulate monopolies and monopolistic practices and require Mexican government approval of certain mergers and acquisitions. The Mexican Competition Law subjects the activities of certain Mexican companies, including us, to regulatory scrutiny. In addition, the Regulations under the Mexican Competition Law prohibit members of any trade association from reaching any agreement relating to the price of their products. Management believes that we are currently in compliance in all material respects with Mexican competition legislation.</w:t>
      </w:r>
    </w:p>
    <w:p>
      <w:pPr>
        <w:spacing w:after="0" w:line="12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Mexico and in some of the other countries in which we operate, we are involved in different ongoing competition related proceedings. We believe that the outcome of these proceedings will not have a material adverse effect on our financial position or results of operations. See “Item 8. Financial Information— Legal Proceedings—Coca-Cola FEMSA—Antitrust Matters” and “Item 8. Financial Information—Legal Proceedings—FEMSA Cerveza—Antitrust Matters.”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of the countries where we operate, our businesses are subject to federal and state laws and regulations relating to the protection of the environment.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Mexico, the principal legislation is the </w:t>
      </w:r>
      <w:r>
        <w:rPr>
          <w:rFonts w:ascii="Arial" w:cs="Arial" w:eastAsia="Arial" w:hAnsi="Arial"/>
          <w:sz w:val="16"/>
          <w:szCs w:val="16"/>
          <w:i w:val="1"/>
          <w:iCs w:val="1"/>
          <w:color w:val="auto"/>
        </w:rPr>
        <w:t>Ley General del Equilibrio Ecológico y la Protección al Ambiente</w:t>
      </w:r>
      <w:r>
        <w:rPr>
          <w:rFonts w:ascii="Arial" w:cs="Arial" w:eastAsia="Arial" w:hAnsi="Arial"/>
          <w:sz w:val="16"/>
          <w:szCs w:val="16"/>
          <w:color w:val="auto"/>
        </w:rPr>
        <w:t xml:space="preserve"> (the Federal General Law for Ecological Equilibrium and Environmental Protection) or the Mexican Environmental Law and the </w:t>
      </w:r>
      <w:r>
        <w:rPr>
          <w:rFonts w:ascii="Arial" w:cs="Arial" w:eastAsia="Arial" w:hAnsi="Arial"/>
          <w:sz w:val="16"/>
          <w:szCs w:val="16"/>
          <w:i w:val="1"/>
          <w:iCs w:val="1"/>
          <w:color w:val="auto"/>
        </w:rPr>
        <w:t>Ley General para la Prevención y Gestión Integral de los Residuos</w:t>
      </w:r>
      <w:r>
        <w:rPr>
          <w:rFonts w:ascii="Arial" w:cs="Arial" w:eastAsia="Arial" w:hAnsi="Arial"/>
          <w:sz w:val="16"/>
          <w:szCs w:val="16"/>
          <w:color w:val="auto"/>
        </w:rPr>
        <w:t xml:space="preserve"> (the General Law for the Prevention and Integral Management of Waste), which are enforced by the </w:t>
      </w:r>
      <w:r>
        <w:rPr>
          <w:rFonts w:ascii="Arial" w:cs="Arial" w:eastAsia="Arial" w:hAnsi="Arial"/>
          <w:sz w:val="16"/>
          <w:szCs w:val="16"/>
          <w:i w:val="1"/>
          <w:iCs w:val="1"/>
          <w:color w:val="auto"/>
        </w:rPr>
        <w:t>Secretaría de Medio Ambiente y Recursos Naturales</w:t>
      </w:r>
      <w:r>
        <w:rPr>
          <w:rFonts w:ascii="Arial" w:cs="Arial" w:eastAsia="Arial" w:hAnsi="Arial"/>
          <w:sz w:val="16"/>
          <w:szCs w:val="16"/>
          <w:color w:val="auto"/>
        </w:rPr>
        <w:t xml:space="preserve"> (the Ministry of the Environment and Natural Resources) or SEMARNAT. SEMARNAT can bring administrative and criminal proceedings against companies that violate environmental laws, and it also has the power to close non-complying facilities. Under the Mexican Environmental Law, rules have been promulgated concerning water, air and noise pollution and hazardous substances. In particular, Mexican environmental laws and regulations require that we file periodic reports with respect to air and water emissions and hazardous wastes and set forth standards for waste water discharge that apply to our operations. We are also subject to certain minimal restrictions on the operation of delivery trucks in Mexico City. We have implemented several programs designed to facilitate compliance with air, waste, noise and energy standards established by current Mexican federal and state environmental laws, including a program that installs catalytic converters and liquid petroleum gas in delivery trucks for our operations in Mexico City. See “—Coca-Cola FEMSA—Product Distribution.”</w:t>
      </w:r>
    </w:p>
    <w:p>
      <w:pPr>
        <w:spacing w:after="0" w:line="12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In addition, we are subject to the </w:t>
      </w:r>
      <w:r>
        <w:rPr>
          <w:rFonts w:ascii="Arial" w:cs="Arial" w:eastAsia="Arial" w:hAnsi="Arial"/>
          <w:sz w:val="18"/>
          <w:szCs w:val="18"/>
          <w:i w:val="1"/>
          <w:iCs w:val="1"/>
          <w:color w:val="auto"/>
        </w:rPr>
        <w:t>Ley Federal de Derechos</w:t>
      </w:r>
      <w:r>
        <w:rPr>
          <w:rFonts w:ascii="Arial" w:cs="Arial" w:eastAsia="Arial" w:hAnsi="Arial"/>
          <w:sz w:val="18"/>
          <w:szCs w:val="18"/>
          <w:color w:val="auto"/>
        </w:rPr>
        <w:t xml:space="preserve"> (the Federal Law of Governmental Fees), also enforced by SEMARNAT. Adopted in January 1993, the law provides that plants located in Mexico City that use deep water wells to supply their water requirements must pay a fee to the city for the discharge of residual waste water to drainage. In 1995, certain municipal authorities began to test the quality of the waste water discharge and charge plants an additional fee for measurements that exceed certain standards published by SEMARNAT. All of our bottler plants located in Mexico City, as well as the Toluca plant, met these new standards as of 2001.</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Coca-Cola FEMSA’s Mexican operations, Coca-Cola FEMSA built a PET recycling plant in 2004 in partnership with The Coca-Cola Company and ALPLA, which manufactures plastic bottles for Coca-Cola FEMSA in Mexico. This plant, located in Toluca, Mexico, started operations in 2005 and has a recycling capacity of 25,000 metric tons per year from which 15,000 metric tons can be used in PET bottles for food packaging purposes. Coca-Cola FEMSA has also continued contributing funds to a nationwide recycling company ECOCE or Ecología y Compromiso Empresarial (Environmentally Committed Companies).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Coca-Cola FEMSA’s Central American operations are subject to several federal and state laws and regulations relating to the protection of the environment, which have been enacted in the last ten years, as awareness has increased in this region about the protection of the environment and the disposal of dangerous and toxic materials as well as water usage. In some countries in Central America, Coca-Cola FEMSA is in the process of bringing its operations into compliance with new environmental laws. Also, Coca-Cola FEMSA’s Costa Rica operations have participated in a joint effort along with the local division of The Coca-Cola Company called </w:t>
      </w:r>
      <w:r>
        <w:rPr>
          <w:rFonts w:ascii="Arial" w:cs="Arial" w:eastAsia="Arial" w:hAnsi="Arial"/>
          <w:sz w:val="16"/>
          <w:szCs w:val="16"/>
          <w:i w:val="1"/>
          <w:iCs w:val="1"/>
          <w:color w:val="auto"/>
        </w:rPr>
        <w:t>Misión Planeta</w:t>
      </w:r>
      <w:r>
        <w:rPr>
          <w:rFonts w:ascii="Arial" w:cs="Arial" w:eastAsia="Arial" w:hAnsi="Arial"/>
          <w:sz w:val="16"/>
          <w:szCs w:val="16"/>
          <w:color w:val="auto"/>
        </w:rPr>
        <w:t xml:space="preserve"> (Mission Planet) for the collection and recycling of non-returnable plastic bottles.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Coca-Cola FEMSA’s Colombian operations are subject to several Colombian federal, state and municipal laws and regulations related to the protection of the environment and the disposal of treated water toxic and dangerous materials. These laws include the control of atmospheric emissions, noise emissions, disposal of treated water and strict limitations on the use of chlorofluorocarbons. Coca-Cola FEMSA is also engaged in nationwide campaigns for the collection and recycling of glass and plastic bottles.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Coca-Cola FEMSA’s Venezuelan operations are subject to several Venezuelan federal, state and municipal laws and regulations related to the protection of the environment. The most relevant of these laws are the </w:t>
      </w:r>
      <w:r>
        <w:rPr>
          <w:rFonts w:ascii="Arial" w:cs="Arial" w:eastAsia="Arial" w:hAnsi="Arial"/>
          <w:sz w:val="18"/>
          <w:szCs w:val="18"/>
          <w:i w:val="1"/>
          <w:iCs w:val="1"/>
          <w:color w:val="auto"/>
        </w:rPr>
        <w:t>Ley Orgánica del Ambiente</w:t>
      </w:r>
      <w:r>
        <w:rPr>
          <w:rFonts w:ascii="Arial" w:cs="Arial" w:eastAsia="Arial" w:hAnsi="Arial"/>
          <w:sz w:val="18"/>
          <w:szCs w:val="18"/>
          <w:color w:val="auto"/>
        </w:rPr>
        <w:t xml:space="preserve"> (the Organic Environmental Law), the </w:t>
      </w:r>
      <w:r>
        <w:rPr>
          <w:rFonts w:ascii="Arial" w:cs="Arial" w:eastAsia="Arial" w:hAnsi="Arial"/>
          <w:sz w:val="18"/>
          <w:szCs w:val="18"/>
          <w:i w:val="1"/>
          <w:iCs w:val="1"/>
          <w:color w:val="auto"/>
        </w:rPr>
        <w:t>Ley Sobre Sustancias, Materiales 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Desechos Peligrosos </w:t>
      </w:r>
      <w:r>
        <w:rPr>
          <w:rFonts w:ascii="Arial" w:cs="Arial" w:eastAsia="Arial" w:hAnsi="Arial"/>
          <w:sz w:val="18"/>
          <w:szCs w:val="18"/>
          <w:color w:val="auto"/>
        </w:rPr>
        <w:t>(the Substance, Material and Dangerous Waste Law) and the</w:t>
      </w:r>
      <w:r>
        <w:rPr>
          <w:rFonts w:ascii="Arial" w:cs="Arial" w:eastAsia="Arial" w:hAnsi="Arial"/>
          <w:sz w:val="18"/>
          <w:szCs w:val="18"/>
          <w:i w:val="1"/>
          <w:iCs w:val="1"/>
          <w:color w:val="auto"/>
        </w:rPr>
        <w:t xml:space="preserve"> Ley Penal del Ambiente </w:t>
      </w:r>
      <w:r>
        <w:rPr>
          <w:rFonts w:ascii="Arial" w:cs="Arial" w:eastAsia="Arial" w:hAnsi="Arial"/>
          <w:sz w:val="18"/>
          <w:szCs w:val="18"/>
          <w:color w:val="auto"/>
        </w:rPr>
        <w:t>(the Criminal Environment Law). Since the enactment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Organic Environmental Law in 1995, Coca-Cola FEMSA’s Venezuelan subsidiary has presented the proper authorities with plans to bring their production facilities and distribution centers into compliance with the law. While the laws provide certain grace periods for compliance with the new environmental standards, Coca-Cola FEMSA has had to adjust some of the originally proposed timelines presented to the authorities because of delays in the completion of some of these projects.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FEMSA Cerveza’s and Coca-Cola FEMSA’s Brazilian operations are subject to several federal, state and municipal laws and regulations related to the protection of the environment. Among the most relevant laws and regulations are those dealing with the emission of toxic and dangerous gases and disposal of wastewater, which impose penalties, such as fines, facility closures or criminal charges depending upon the level of non-compliance.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Coca-Cola FEMSA’s production plant located in Jundiaí has been recognized by the Brazilian authorities for its compliance with environmental regulations and for having standards well above those imposed by the law. The plant has been certified for the (i) ISO 9001 since March 1995; (ii) and the ISO 14001 since March 1997; (iii) norm OHSAS 18001 since 2005; and iv) ISO 22000 since 2007.</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Brazil it is necessary to obtain concessions from the government to cast drainage. All of Coca-Cola FEMSA’s plants in Brazil have been granted this concession, except Mogi das Cruzes, but Coca-Cola FEMSA is in the process of obtaining one.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Coca-Cola FEMSA’s Argentine operations are subject to federal and provincial laws and regulations relating to the protection of the environment. The most significant of these are regulations concerning waste water discharge, which are enforced by the </w:t>
      </w:r>
      <w:r>
        <w:rPr>
          <w:rFonts w:ascii="Arial" w:cs="Arial" w:eastAsia="Arial" w:hAnsi="Arial"/>
          <w:sz w:val="16"/>
          <w:szCs w:val="16"/>
          <w:i w:val="1"/>
          <w:iCs w:val="1"/>
          <w:color w:val="auto"/>
        </w:rPr>
        <w:t>Secretaría de Ambiente y Desarrollo Sustentable</w:t>
      </w:r>
      <w:r>
        <w:rPr>
          <w:rFonts w:ascii="Arial" w:cs="Arial" w:eastAsia="Arial" w:hAnsi="Arial"/>
          <w:sz w:val="16"/>
          <w:szCs w:val="16"/>
          <w:color w:val="auto"/>
        </w:rPr>
        <w:t xml:space="preserve"> (the Ministry of Natural Resources and Sustainable Development) and the </w:t>
      </w:r>
      <w:r>
        <w:rPr>
          <w:rFonts w:ascii="Arial" w:cs="Arial" w:eastAsia="Arial" w:hAnsi="Arial"/>
          <w:sz w:val="16"/>
          <w:szCs w:val="16"/>
          <w:i w:val="1"/>
          <w:iCs w:val="1"/>
          <w:color w:val="auto"/>
        </w:rPr>
        <w:t>Organismo Provincial para el Desarrollo Sostenible</w:t>
      </w:r>
      <w:r>
        <w:rPr>
          <w:rFonts w:ascii="Arial" w:cs="Arial" w:eastAsia="Arial" w:hAnsi="Arial"/>
          <w:sz w:val="16"/>
          <w:szCs w:val="16"/>
          <w:color w:val="auto"/>
        </w:rPr>
        <w:t xml:space="preserve"> (the Provincial Organization for Sustainable Development) for the province of Buenos Aires. Coca-Cola FEMSA’s Alcorta plant is in compliance with environmental standards.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expended, and may be required to expend in the future, funds for compliance with and remediation under local environmental laws and regulations. Currently, we do not believe that such costs will have a material adverse effect on our results of operations, or financial condition. However, since environmental laws and regulations and their enforcement are becoming increasingly more stringent in our territories, and there is increased awareness by local authorities of higher environmental standards in the countries where we operate, changes in current regulations may result in an increase in costs, which may have an adverse effect on our future results of operations or financial condition. Management is not aware of any pending regulatory changes that would require a significant amount of additional remedial capital expenditures.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Supply Law</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FEMSA Cerveza and Coca-Cola FEMSA purchase water in Mexico directly from municipal water companies and pump water from their own wells pursuant to concessions obtained from the Mexican government on a plant-by-plant basis. Water use in Mexico is regulated primarily by the </w:t>
      </w:r>
      <w:r>
        <w:rPr>
          <w:rFonts w:ascii="Arial" w:cs="Arial" w:eastAsia="Arial" w:hAnsi="Arial"/>
          <w:sz w:val="16"/>
          <w:szCs w:val="16"/>
          <w:i w:val="1"/>
          <w:iCs w:val="1"/>
          <w:color w:val="auto"/>
        </w:rPr>
        <w:t>Ley de Aguas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Nacionales de 1992 </w:t>
      </w:r>
      <w:r>
        <w:rPr>
          <w:rFonts w:ascii="Arial" w:cs="Arial" w:eastAsia="Arial" w:hAnsi="Arial"/>
          <w:sz w:val="16"/>
          <w:szCs w:val="16"/>
          <w:color w:val="auto"/>
        </w:rPr>
        <w:t>(the 1992 Water Law), and regulations issued thereunder, which created the</w:t>
      </w:r>
      <w:r>
        <w:rPr>
          <w:rFonts w:ascii="Arial" w:cs="Arial" w:eastAsia="Arial" w:hAnsi="Arial"/>
          <w:sz w:val="16"/>
          <w:szCs w:val="16"/>
          <w:i w:val="1"/>
          <w:iCs w:val="1"/>
          <w:color w:val="auto"/>
        </w:rPr>
        <w:t xml:space="preserve"> Comisión Nacional del Agua </w:t>
      </w:r>
      <w:r>
        <w:rPr>
          <w:rFonts w:ascii="Arial" w:cs="Arial" w:eastAsia="Arial" w:hAnsi="Arial"/>
          <w:sz w:val="16"/>
          <w:szCs w:val="16"/>
          <w:color w:val="auto"/>
        </w:rPr>
        <w:t>(the National Water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The National Water Commission is charged with overseeing the national system of water use. Under the 1992 Water Law, concessions for the use of a specific volume of ground or surface water generally run for five, ten, fifteen and up to thirty-year terms, depending on the supply of groundwater in each region as projected by the National Water Commission. Concessionaires may request concession terms to be extended upon termination. These extensions are given for the same period of time given in the original concession. The Mexican government is authorized to reduce the volume of ground or surface water granted for use by a concession by whatever volume of water is not used by the concessionaire for three consecutive years. However, because the current concessions for each of FEMSA Cerveza and Coca-Cola FEMSA’s plants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Mexico do not match each plant’s projected needs for water in future years, we successfully negotiated with the Mexican government the right to transfer the unused volume under concessions from certain plants to other plants anticipating greater water usage in the future. These concessions may be terminated if, among other things, we use more water than permitted or we fail to pay required concession-related fees and do not cure such situations in a timely manner. We believe that we are in compliance with the terms of our existing concessions.</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Although we have not undertaken independent studies to confirm the sufficiency of the existing or future groundwater supply, we believe that our existing concessions satisfy our current water requirements in Mexico. We can give no assurances, however, that groundwater will be available in sufficient quantities to meet our future production needs or that we will be able to maintain our current concessions.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According to the Brazilian Constitution, water is considered an asset of the government and may only be exploited in the national interest, by Brazilians or companies constituted under Brazilian law. Concessionaires have the responsibility for any damage to the environment. The exploitation and utilization of water is regulated by the Código de Mineração (Decree Law nº. 227/67), by the Código de Águas Minerais (Decree Law nº. 7841/45) and also by regulations issued thereunder. The companies which exploit water are supervised by the Departamento Nacional de Produção Mineral - DNPM in connection with sanitary, federal, state and municipal authorities (Ministério da Saúde and Secretarias da Saúde). We believe we are currently in compliance with these regulations at both Mogi das Cruzes and Jacareí.</w:t>
      </w:r>
    </w:p>
    <w:p>
      <w:pPr>
        <w:spacing w:after="0" w:line="144"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do not currently require a permit to obtain water in our other territories. In Nicaragua, Costa Rica and some plants in Colombia and Venezuela, we own private water wells. However, in Colombia, we require a specific license filed before the environmental authorities. In the remainder of our territories, we obtain water from governmental agencies or municipalities. We can give no assurances that water will be available in sufficient quantities to meet our future production needs or that additional regulations relating to water use will not be adopted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discussion should be read in conjunction with, and is entirely qualified by reference to, our audited consolidated financial statements and the notes to those financial statements. Our audited consolidated financial statements were prepared in accordance with Mexican Financial Reporting Standards, which differ in certain significant respects from U.S. GAAP. Notes 26 and 27 to our audited consolidated financial statements provide a description of the principal differences between Mexican Financial Reporting Standards and U.S. GAAP as they relate to us, as well as U.S. GAAP consolidated balance sheets, statements of income and comprehensive income, changes in stockholders’ equity and cash flows for the same periods presented for Mexican Financial Reporting Standards purposes and a reconciliation to U.S. GAAP of net income and stockholders’ equity. See “—U.S. GAAP Reconciliation.”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Events, Trends and Uncertainties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results of operations and financial position during the periods discussed in this section:</w:t>
      </w:r>
    </w:p>
    <w:p>
      <w:pPr>
        <w:spacing w:after="0" w:line="51" w:lineRule="exact"/>
        <w:rPr>
          <w:sz w:val="20"/>
          <w:szCs w:val="20"/>
          <w:color w:val="auto"/>
        </w:rPr>
      </w:pPr>
    </w:p>
    <w:p>
      <w:pPr>
        <w:ind w:left="900" w:right="5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While Coca-Cola FEMSA’s Mexican operations continue growing at a steady but moderate pace, operations in Central and South America are growing at accelerated rates.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continues to deliver the majority of volume growth.</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FEMSA Cerveza, total beer sales volumes have increased in Mexico, Brazil and in the export market. The high price of raw materials, particularly aluminum and barley, represent an uncertainty in our cost structure. Heineken USA has been distributing FEMSA Cerveza’s beer brands in the United States since January 1, 2005 with very encouraging results, and we have signed a new agreement that extends this commercial relationship until December 2017.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FEMSA Comercio continues to increase the number of OXXO stores and to grow in terms of total revenues and as a percentage of our consolidated total revenues. FEMSA Comercio has lower operating margins than our beverage businesses. We expect to continue to expand the OXXO chain during 2008.</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results of operations and financial position are affected by the economic and market conditions in the countries where our subsidiaries conduct their operations, particularly in Mexico. Changes in these conditions are influenced by a number of factors, including those discussed in “Item 3. Key Information— Risk Factors.”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0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Share and Unit Structure Extended</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On April 22, 2008, FEMSA shareholders approved a proposal to amend our bylaws in order to preserve the unit structure for our shares that has been in place since May 1998, and to maintain our existing share structure beyond May 11, 2008. Our bylaws previously provided that on May 11, 2008 our Series D-B Shares would convert into Series B Shares, and our Series D-L Shares would convert into Series L Shares with limited voting rights. In addition, our bylaws provided that our current unit structure would cease to exist and each of our B Units would be unbundled into five Series B Shares, while each BD Unit would unbundle into three Series B Shares and two newly issued Series L Shares. Following the April 22, 2008 shareholder approvals, the automatic conversion of our share and unit structures will no longer exist, and, absent shareholder action, our share structure will continue to be comprised of Series B Shares, which must represent up to 51% of our outstanding capital stock, and Series D-B and Series D-L Shares, which together may represent up to 49% of our outstanding capital stock. Our Unit structure, absent shareholder action, will continue to consist of B Units, which bundle five Series B Shares, and BD Units, which bundle one Series B Share, two Series D-B Shares and two Series D-L Shares. See “The Offer and Listing – Description of Securities.”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Brazilian Beverage Industry Tax</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24, 2008, the president of Brazil approved Provisional Measure No. 413/08 which changes the tax collection applicable to the Brazilian beverage industry. This Provisional Measure was turned back to the Brazilian tax authority for its review. Neither the implementation scheme nor the period from which the new taxes will apply, has been published. We are still assessing the materiality of these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Mexican Financial Reporting Standards Affecting the Statement of Income</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Mexican Financial Reporting Standard B-3 (NIF B-3), beginning on January 1, 2007, generic standards were established for the presentation and structuring of the statement of income, whereby minimum content requirements and general disclosure standards were developed. In addition, under Mexican Reporting Standard Interpretation No. 4, or INIF 4, statutory employee profit sharing (PTU) is now required to be presented within “other expenses” on the income statement. We previously presented employee profit sharing within taxes. For comparability purposes, our historical information has been reclassified and presented according to the new standards.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Changes in Economic Conditions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results of operations are affected by changes in economic conditions in Mexico and in the other countries in which we operate. For the years ended December 31, 2007, 2006 and 2005, 72.0%, 73.0% and 76.0%, respectively, of our total sales were attributable to Mexico. After the acquisitions of Panamco and Kaiser, we have greater exposure to countries in which we have not historically conducted operations, particularly countries in Central America, Colombia, Venezuela and Brazil, although we continue to generate a substantial portion of our total sales from Mexico. The participation of these other countries as a percentage of our total sales is expected to increase in future periods.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future results may be significantly affected by the general economic and financial positions in the countries where we operate, including by levels of economic growth, by the devaluation of the local currency, by inflation and high interest rates or by political developments, and may result in lower demand for our products, lower real pricing or a shift to lower margin products. Because a large percentage of our costs are fixed costs, we may not be able to reduce costs and expenses, and our profit margins may suffer as a result of downturns in the economy of each country. In addition, an increase in interest rates in Mexico would increase our cost of Mexican peso-denominated variable interest rate indebtedness and would have an adverse effect on our financial position and results of operations. A depreciation of the Mexican peso relative to the U.S. dollar would increase our cost of those raw materials, the price of which is paid in or determined with reference to the U.S. dollar, and our debt obligations denominated in U.S. dollars, and thereby may negatively affect our financial position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Leverage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Companies with structural characteristics that result in margin expansion in excess of sales growth are referred to as having high “operating leverage.”</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operating subsidiaries of Coca-Cola FEMSA and FEMSA Cerveza are engaged, to varying degrees, in capital-intensive activities. The high utilization of the installed capacity of the production facilities results in better fixed cost absorption, as increased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output results in higher revenues without additional fixed costs. Absent significant increases in variable costs, gross profit margins will expand when production facilities are operated at higher utilization rates. Alternatively, higher fixed costs will result in lower gross profit margins in periods of lower output.</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commercial operations of Coca-Cola FEMSA and FEMSA Cerveza are carried out through extensive distribution networks, the principal fixed assets of which are warehouses and trucks. The distribution systems of both Coca-Cola FEMSA and FEMSA Cerveza are designed to handle large volumes of beverages. Fixed costs represent an important proportion of the total distribution expense of both Coca-Cola FEMSA and FEMSA Cerveza. Generally, the higher the volume that passes through the distribution system, the lower the fixed distribution cost as a percentage of the corresponding revenues. As a result, operating margins improve when the distribution capacity is operated at higher utilization rates. Alternatively, periods of decreased utilization because of lower volumes will negatively affect our operating margins.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preparation of our audited consolidated financial statements requires that we make estimates and assumptions that affect (1) the reported amounts of our assets and liabilities, (2) the disclosure of our contingent liabilities at the date of the financial statements and (3) the reported amounts of revenues and expenses during the reporting period. We base our estimates and judgments on our historical experience and on various other reasonable factors that together form the basis for making judgments about the carrying values of our assets and liabilities. Our actual results may differ from these estimates under different assumptions or conditions. We evaluate our estimates and judgments on an on-going basis. Our significant accounting policies are described in note 4 to our audited consolidated financial statements. We believe our most critical accounting policies that imply the application of estimates and/or judgments are the following:</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determine our allowance for doubtful accounts based on an evaluation of the aging of our receivable portfolio. The amount of the allowance considers our historical loss rate on receivables and the economic environment in which we operate. Our beer operations represent the most important part of the consolidated allowance for doubtful accounts as a result of the credit that FEMSA Cerveza extends to retailers, on terms and conditions in accordance with industry practices. Coca-Cola FEMSA and FEMSA Comercio sales are generally realized in cash.</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Bottles and cases; allowance for bottle breakage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Returnable bottles and cases are recorded at acquisition cost and restated to their replacement cost. For FEMSA Cerveza and Coca-Cola FEMSA, breakage is expensed as it is incurred. We compare quarterly the carrying value of bottle breakage expense with the calculated depreciation expense of our returnable bottles and cases in plant and distribution centers, estimating a useful life of five years for glass beer bottles, four years for returnable glass soft drink bottles and plastic cases and 18 months for returnable plastic bottles. These useful lives are determined in accordance with our business experience. The annual calculated depreciation expense has been similar to the annual carrying value of bottle breakage expense. Whenever we decide to discontinue a particular returnable presentation and retire it from the market, we write off the discontinued presentation through an increase in breakage expense. We determine depreciation of bottles and cases only for tax purposes.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Property, plant and equipment are depreciated over their estimated useful lives. The estimated useful lives represent the period we expect the assets to remain in service and to generate revenues. We base our estimates on the experience of our technical personnel.</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describe the methodology used to restate imported equipment in note 4(g) to our audited consolidated financial statements, which includes applying the exchange and inflation rates of the country of origin utilized as permitted by Mexican Financial Reporting Standards. We believe this method more accurately presents the fair value of the assets than restated cost determined by applying inflation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valued at fair value all fixed assets acquired, considering their operating conditions and the future cash flows expected to be generated based on their estimated remaining useful life as determined by management.</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Through 2005, all of our subsidiaries depreciated refrigeration equipment over a five-year estimated useful life. In 2006, we implemented a program to review the estimated useful lives of its refrigeration equipment. As of December 31, 2007, our subsidiaries in Mexico, Argentina, Brazil, Colombia, Costa Rica and Guatemala changed their accounting estimate from five to seven years, considering the maintenance and replacement plans of the equipment. The impact of the change in estimate for the years ended December 31, 2007 and 2006, which was accounted for prospectively, was a reduction in depreciation expense of Ps. 115 million and Ps. 132 million, respectively. The useful life of refrigeration equipment in Venezuela, Panama and Nicaragua remains at five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intangible assets and goodwill</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identify all intangible assets to reduce as much as possible the goodwill associated with business acquisitions. We separate intangible assets between those with a finite useful life and those with an indefinite useful life, in accordance with the period over which we expect to receive the benefits.</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determine the fair value of assets acquired and liabilities assumed as of the date of acquisition, and we assigned the excess purchase price over the fair value of the net assets. In certain circumstances this resulted in the recognition of an intangible asset. The intangible assets are subject to annual impairment tests. We have recorded intangible assets with indefinite lives, which consist of:</w:t>
      </w:r>
    </w:p>
    <w:p>
      <w:pPr>
        <w:spacing w:after="0" w:line="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Coca-Cola FEMSA’s rights to produce and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products for Ps.42,225 million as a result of the Panamco acquisition;</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Trademarks and distribution rights for Ps.11,299 million as a result of the acquisition of the 30% interest of FEMSA Cerveza and distribution rights acquired from a third-party distributor;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Trademarks and goodwill as a result of the acquisition of Kaiser for Ps.4,802 million;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intangible assets with indefinite lives that amounted to Ps.784 million.</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Mexican Financial Reporting Standards purposes, goodwill is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the inflation rate factors of the country of origin and the year-end exchange rate. Until December 31, 2004 under Mexican Financial Reporting Standards, goodwill was amortized using the straight-line method over a period of no more than 20 years. The amount of goodwill amortization in 2004 was Ps. 16 million. In 2005, Bulletin B-7, “</w:t>
      </w:r>
      <w:r>
        <w:rPr>
          <w:rFonts w:ascii="Arial" w:cs="Arial" w:eastAsia="Arial" w:hAnsi="Arial"/>
          <w:sz w:val="16"/>
          <w:szCs w:val="16"/>
          <w:i w:val="1"/>
          <w:iCs w:val="1"/>
          <w:color w:val="auto"/>
        </w:rPr>
        <w:t>Adquisiciones de Negocios</w:t>
      </w:r>
      <w:r>
        <w:rPr>
          <w:rFonts w:ascii="Arial" w:cs="Arial" w:eastAsia="Arial" w:hAnsi="Arial"/>
          <w:sz w:val="16"/>
          <w:szCs w:val="16"/>
          <w:color w:val="auto"/>
        </w:rPr>
        <w:t>” (Business Acquisitions), was issued, which establishes that goodwill is no longer subject to amortization, being subject instead to an annual impairment test.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 of goodwill and long-lived assets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annually review the carrying value of our goodwill and long-lived assets and whenever circumstances indicate that the carrying amount of the reporting unit might exceed its implied fair value. We review for impairment based on our estimated discounted future cash flows to be generated by those assets. While we believe that our estimates of future cash flows are reasonable, different assumptions regarding such cash flows could materially affect our evaluations.</w:t>
      </w:r>
    </w:p>
    <w:p>
      <w:pPr>
        <w:spacing w:after="0" w:line="10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Following our evaluations during 2007 and up to the date of this annual report, we do not have any information which leads to any impairment of goodwill or long-lived assets. We can give no assurance that our expectations will not change as a result of new information or developments. Future changes in economic or political conditions in any country in which we operate or in the industries in which we participate, however, may cause us to change our current assessment.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Executory contracts</w:t>
      </w:r>
    </w:p>
    <w:p>
      <w:pPr>
        <w:spacing w:after="0" w:line="90"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As part of the normal course of business, we frequently invest in the development of our beer distribution channels through a variety of commercial agreements with different retailers in order to generate sales volume. These agreements are considered to be executory contracts and accordingly the costs incurred under these contracts are recognized as performance under the contracts is received.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These agreements require cash disbursements to be made in advance to certain retailers in order to fund activities intended to generate sales volume. These advance cash disbursements are then compensated for as sales are invoiced. These disbursements are considered to be market-related investments, which are capitalized as other assets. The amortization of amounts capitalized is presented as a reduction of net sales in relation to the volume sold to each retailer. The period of amortization is between three and four years, which is the normal term of the commercial agreements.</w:t>
      </w:r>
    </w:p>
    <w:p>
      <w:pPr>
        <w:spacing w:after="0" w:line="113"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We periodically evaluate the carrying value of executory contracts. If the carrying value is considered to be impaired, these assets are written down as appropriate. The accuracy of the carrying value is based on our ability to predict certain key variables such as sales volume, prices and other industry and economic factors. Predicting these key variables involves assumptions based on future events. These assumptions are consistent with our internal projections.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liabilities</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Our labor liabilities are comprised of pension plan, seniority premium, post-retirement medical services and severance indemnities. The determination of our obligations and expenses for pension and other post-retirement benefits is dependent on our determination of certain assumptions used by independent actuaries in calculating such amounts. We evaluate our assumptions at least annually. In 2006, we decided to modify our pension and retirement plans. Through 2006 the pension and retirement plans provided for lifetime monthly payments as a complement to the pension payment received from the Mexican Social Security Institute. (Instituto Mexicano del Seguro Social or “IMSS”). The modified pension and retirement plans consist in a lump-sum payment to personal vesting on or after January 1, 2007.</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in 2006, we modified the long-term assumptions used in the actuarial calculations for Mexican subsidiaries based on changes in the company’s revised estimate of current prices for settling its related obligations as a result of recent stability in the Mexican economy. These assumptions are described in note 15 to our consolidated financial statements and include the discount rate, expected long-term rate of return on plan assets and rates of increase in compensation costs. All our assumptions depend on the economic circumstances of each country where we operate.</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changes were accounted for as unrecognized prior service costs and unrecognized actuarial net loss and will be amortized over the expected service period of the Company’s personnel. The net effect of the changes mentioned above was an increase in pension and retirement plan, seniority premium and severance indemnity liabilities of Ps.797 million, Ps.l9 million and Ps.23 million, respectively.</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2007, FEMSA Cerveza approved a plan to allow certain qualifying employees to retire early beginning in 2008. This plan consisted of allowing employees over the age of 55 with 20 years of service to take advantage of early retirement in order to obtain the same pension benefits they would have obtained had they retired at their regular retirement age. In addition, this plan authorized FEMSA Cerveza to make severance payments to certain employees who otherwise would not have met the criteria for eligibility. The plan is intended to improve the efficiency of FEMSA’s Cerveza operating structure. The total financial impact of the plan was Ps. 231 million, from which Ps.125 million was recorded in our consolidated income statement for 2007 as part of other expenses. (See note 18 to our audited consolidated financial statements) and Ps. 106 million recorded in 2008 consolidated results.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Mexican Financial Reporting Standards, actual results that differ from our assumptions (actuarial gains or losses) are accumulated and amortized over future periods and, therefore, generally affect our recognized expenses and recorded obligations in these future periods. While we believe that our assumptions are appropriate, significant differences in our actual experience or significant changes in our assumptions may materially affect our pension and other post-retirement obligations and our future expense. The following table is a summary of the three key assumptions to be used in determining 2007 annual labor liability expense, along with the impact on this expense of a 1% change in each assumed rate.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6"/>
              </w:rPr>
              <w:t>Assumption</w:t>
            </w:r>
          </w:p>
        </w:tc>
        <w:tc>
          <w:tcPr>
            <w:tcW w:w="6560" w:type="dxa"/>
            <w:vAlign w:val="bottom"/>
            <w:vMerge w:val="restart"/>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2008 Rate</w:t>
            </w:r>
            <w:r>
              <w:rPr>
                <w:rFonts w:ascii="Arial" w:cs="Arial" w:eastAsia="Arial" w:hAnsi="Arial"/>
                <w:sz w:val="22"/>
                <w:szCs w:val="22"/>
                <w:b w:val="1"/>
                <w:bCs w:val="1"/>
                <w:color w:val="auto"/>
                <w:w w:val="83"/>
                <w:vertAlign w:val="superscript"/>
              </w:rPr>
              <w:t>(1)</w:t>
            </w:r>
          </w:p>
        </w:tc>
        <w:tc>
          <w:tcPr>
            <w:tcW w:w="880" w:type="dxa"/>
            <w:vAlign w:val="bottom"/>
            <w:vMerge w:val="restart"/>
          </w:tcPr>
          <w:p>
            <w:pPr>
              <w:spacing w:after="0"/>
              <w:rPr>
                <w:sz w:val="21"/>
                <w:szCs w:val="21"/>
                <w:color w:val="auto"/>
              </w:rPr>
            </w:pPr>
          </w:p>
        </w:tc>
        <w:tc>
          <w:tcPr>
            <w:tcW w:w="204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Impact of Rate Change</w:t>
            </w:r>
            <w:r>
              <w:rPr>
                <w:rFonts w:ascii="Arial" w:cs="Arial" w:eastAsia="Arial" w:hAnsi="Arial"/>
                <w:sz w:val="22"/>
                <w:szCs w:val="22"/>
                <w:b w:val="1"/>
                <w:bCs w:val="1"/>
                <w:color w:val="auto"/>
                <w:vertAlign w:val="superscript"/>
              </w:rPr>
              <w:t>(2)</w:t>
            </w:r>
          </w:p>
        </w:tc>
        <w:tc>
          <w:tcPr>
            <w:tcW w:w="3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6560" w:type="dxa"/>
            <w:vAlign w:val="bottom"/>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(in real terms)</w:t>
            </w:r>
          </w:p>
        </w:tc>
        <w:tc>
          <w:tcPr>
            <w:tcW w:w="880" w:type="dxa"/>
            <w:vAlign w:val="bottom"/>
          </w:tcPr>
          <w:p>
            <w:pPr>
              <w:spacing w:after="0"/>
              <w:rPr>
                <w:sz w:val="12"/>
                <w:szCs w:val="12"/>
                <w:color w:val="auto"/>
              </w:rPr>
            </w:pPr>
          </w:p>
        </w:tc>
        <w:tc>
          <w:tcPr>
            <w:tcW w:w="5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(in</w:t>
            </w: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1"/>
              </w:rPr>
              <w:t>millions of Mexican pesos)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Mexican and Foreign Subsidiaries:</w:t>
            </w: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Discount rate</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(668)</w:t>
            </w:r>
          </w:p>
        </w:tc>
        <w:tc>
          <w:tcPr>
            <w:tcW w:w="1020" w:type="dxa"/>
            <w:vAlign w:val="bottom"/>
            <w:gridSpan w:val="2"/>
          </w:tcPr>
          <w:p>
            <w:pPr>
              <w:jc w:val="right"/>
              <w:ind w:right="372"/>
              <w:spacing w:after="0"/>
              <w:rPr>
                <w:sz w:val="20"/>
                <w:szCs w:val="20"/>
                <w:color w:val="auto"/>
              </w:rPr>
            </w:pPr>
            <w:r>
              <w:rPr>
                <w:rFonts w:ascii="Arial" w:cs="Arial" w:eastAsia="Arial" w:hAnsi="Arial"/>
                <w:sz w:val="18"/>
                <w:szCs w:val="18"/>
                <w:color w:val="auto"/>
              </w:rPr>
              <w:t>Ps.</w:t>
            </w:r>
          </w:p>
        </w:tc>
        <w:tc>
          <w:tcPr>
            <w:tcW w:w="34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Salary increase</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486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(385)</w:t>
            </w:r>
          </w:p>
        </w:tc>
        <w:tc>
          <w:tcPr>
            <w:tcW w:w="0" w:type="dxa"/>
            <w:vAlign w:val="bottom"/>
          </w:tcPr>
          <w:p>
            <w:pPr>
              <w:spacing w:after="0"/>
              <w:rPr>
                <w:sz w:val="1"/>
                <w:szCs w:val="1"/>
                <w:color w:val="auto"/>
              </w:rPr>
            </w:pPr>
          </w:p>
        </w:tc>
      </w:tr>
      <w:tr>
        <w:trPr>
          <w:trHeight w:val="222"/>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Return on assets</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jc w:val="right"/>
              <w:ind w:right="392"/>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using a measurement dated as of December 2007.</w:t>
      </w:r>
    </w:p>
    <w:p>
      <w:pPr>
        <w:spacing w:after="0" w:line="90" w:lineRule="exact"/>
        <w:rPr>
          <w:rFonts w:ascii="Arial" w:cs="Arial" w:eastAsia="Arial" w:hAnsi="Arial"/>
          <w:sz w:val="18"/>
          <w:szCs w:val="18"/>
          <w:color w:val="auto"/>
        </w:rPr>
      </w:pPr>
    </w:p>
    <w:p>
      <w:pPr>
        <w:ind w:left="460" w:right="3620" w:hanging="452"/>
        <w:spacing w:after="0" w:line="438" w:lineRule="auto"/>
        <w:tabs>
          <w:tab w:leader="none" w:pos="4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impact is not the same for an increase of 1% as for a decrease of 1% because the rates are not linear. </w:t>
      </w:r>
      <w:r>
        <w:rPr>
          <w:rFonts w:ascii="Arial" w:cs="Arial" w:eastAsia="Arial" w:hAnsi="Arial"/>
          <w:sz w:val="18"/>
          <w:szCs w:val="18"/>
          <w:i w:val="1"/>
          <w:iCs w:val="1"/>
          <w:color w:val="auto"/>
        </w:rPr>
        <w:t>Income taxes</w:t>
      </w:r>
    </w:p>
    <w:p>
      <w:pPr>
        <w:spacing w:after="0" w:line="1" w:lineRule="exact"/>
        <w:rPr>
          <w:sz w:val="20"/>
          <w:szCs w:val="20"/>
          <w:color w:val="auto"/>
        </w:rPr>
      </w:pPr>
    </w:p>
    <w:p>
      <w:pPr>
        <w:ind w:right="460" w:firstLine="456"/>
        <w:spacing w:after="0" w:line="255" w:lineRule="auto"/>
        <w:rPr>
          <w:sz w:val="20"/>
          <w:szCs w:val="20"/>
          <w:color w:val="auto"/>
        </w:rPr>
      </w:pPr>
      <w:r>
        <w:rPr>
          <w:rFonts w:ascii="Arial" w:cs="Arial" w:eastAsia="Arial" w:hAnsi="Arial"/>
          <w:sz w:val="18"/>
          <w:szCs w:val="18"/>
          <w:color w:val="auto"/>
        </w:rPr>
        <w:t xml:space="preserve">As we describe in note 23 to our audited consolidated financial statements, the most notable change following the 2007 Mexican Fiscal Reform is the introduction of the </w:t>
      </w:r>
      <w:r>
        <w:rPr>
          <w:rFonts w:ascii="Arial" w:cs="Arial" w:eastAsia="Arial" w:hAnsi="Arial"/>
          <w:sz w:val="18"/>
          <w:szCs w:val="18"/>
          <w:i w:val="1"/>
          <w:iCs w:val="1"/>
          <w:color w:val="auto"/>
        </w:rPr>
        <w:t>Impuesto Empresarial de Tasa Unica</w:t>
      </w:r>
      <w:r>
        <w:rPr>
          <w:rFonts w:ascii="Arial" w:cs="Arial" w:eastAsia="Arial" w:hAnsi="Arial"/>
          <w:sz w:val="18"/>
          <w:szCs w:val="18"/>
          <w:color w:val="auto"/>
        </w:rPr>
        <w:t xml:space="preserve"> (“IETU”) which functions similar to an alternative minimum corporate income tax, except that any amounts paid are not creditable against future income tax payments. Mexican taxpayers will be subject to the higher of the IETU or the income tax liability computed under Mexican Income Tax Law. This new tax is calculated on a cash-flow basis and the rates for 2008 and 2009 will be 16.5% and 17.0%, respectively.</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Based on our financial projections for our Mexican tax returns, we expect to pay corporate income tax in the future and do not expect to pay IETU. As such, the enactment of IETU did not impact our consolidated financial position or results of operations, as it only recognizes deferred income tax.</w:t>
      </w:r>
    </w:p>
    <w:p>
      <w:pPr>
        <w:spacing w:after="0" w:line="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recognize deferred tax assets and liabilities based on the differences between the financial statement carrying amounts and the tax basis of assets and liabilities. We regularly review our deferred taxes for recoverability and/or payment, and establish a valuation allowance based on historical taxable income, projected future taxable income and the expected timing of the reversals of existing temporary differences. If these estimates and related assumptions change in the future, we may be required to record additional valuation allowances against our deferred taxes resulting in an impact in net income.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statutory income tax rate in Mexico for 2007, 2006, 2005 was 28%, 29% and 30%, respectively.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and legal contingencies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are subject to various claims and contingencies related to tax and legal proceedings as described in note 24 to our audited consolidated financial statements. Due to their nature, such legal proceedings involve inherent uncertainties including, but not limited to, court rulings, negotiations between affected parties and governmental actions. Management periodically assesses the probability of loss for such contingencies and accrues a liability and/or discloses the relevant circumstances, as appropriate. If the potential loss from any claim or legal proceeding is considered probable and the amount can be reasonably estimated, we accrue a liability for the estimated loss.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we mention in note 4 (r) to our consolidated financial statements, beginning in 2005 we began to apply Bulletin C-10, “</w:t>
      </w:r>
      <w:r>
        <w:rPr>
          <w:rFonts w:ascii="Arial" w:cs="Arial" w:eastAsia="Arial" w:hAnsi="Arial"/>
          <w:sz w:val="16"/>
          <w:szCs w:val="16"/>
          <w:i w:val="1"/>
          <w:iCs w:val="1"/>
          <w:color w:val="auto"/>
        </w:rPr>
        <w:t>Instrumentos Financieros</w:t>
      </w:r>
      <w:r>
        <w:rPr>
          <w:rFonts w:ascii="Arial" w:cs="Arial" w:eastAsia="Arial" w:hAnsi="Arial"/>
          <w:sz w:val="16"/>
          <w:szCs w:val="16"/>
          <w:color w:val="auto"/>
        </w:rPr>
        <w:t xml:space="preserve"> </w:t>
      </w:r>
      <w:r>
        <w:rPr>
          <w:rFonts w:ascii="Arial" w:cs="Arial" w:eastAsia="Arial" w:hAnsi="Arial"/>
          <w:sz w:val="16"/>
          <w:szCs w:val="16"/>
          <w:i w:val="1"/>
          <w:iCs w:val="1"/>
          <w:color w:val="auto"/>
        </w:rPr>
        <w:t>Derivados y Operaciones de Cobertura</w:t>
      </w:r>
      <w:r>
        <w:rPr>
          <w:rFonts w:ascii="Arial" w:cs="Arial" w:eastAsia="Arial" w:hAnsi="Arial"/>
          <w:sz w:val="16"/>
          <w:szCs w:val="16"/>
          <w:color w:val="auto"/>
        </w:rPr>
        <w:t>” (Derivative Financial Instruments and Hedging Activities), which requires us to measure all derivative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at fair value and recognize them in the balance sheet as an asset or liability. Changes in the fair value of derivative financial instruments are recorded each year in net income or as a component of cumulative other comprehensive income, based on the type of hedging instrument and the ineffectiveness of the hedge. The fair values of derivative financial instruments are determined considering quoted prices in recognized markets. If such instruments are not traded, fair value is determined by applying techniques based upon technical models supported by sufficient reliable and verifiable data, recognized in the financial sector. We base our forward price curves upon market price quotations.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Although we are still in the process of assessing the effects of our adoption of the new accounting standards described below, we do not anticipate any significant impact on our consolidated balance sheet, results of operations, or significant changes to our financial position or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Under Mexican Financial Reporting Standards (Normas de Información Financiera, or NIF)</w:t>
      </w:r>
    </w:p>
    <w:p>
      <w:pPr>
        <w:spacing w:after="0" w:line="84"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NIF B-2, </w:t>
      </w:r>
      <w:r>
        <w:rPr>
          <w:rFonts w:ascii="Arial" w:cs="Arial" w:eastAsia="Arial" w:hAnsi="Arial"/>
          <w:sz w:val="18"/>
          <w:szCs w:val="18"/>
          <w:b w:val="1"/>
          <w:bCs w:val="1"/>
          <w:i w:val="1"/>
          <w:iCs w:val="1"/>
          <w:color w:val="auto"/>
        </w:rPr>
        <w:t>Estado de Flujo de Efectivo</w:t>
      </w:r>
      <w:r>
        <w:rPr>
          <w:rFonts w:ascii="Arial" w:cs="Arial" w:eastAsia="Arial" w:hAnsi="Arial"/>
          <w:sz w:val="18"/>
          <w:szCs w:val="18"/>
          <w:b w:val="1"/>
          <w:bCs w:val="1"/>
          <w:color w:val="auto"/>
        </w:rPr>
        <w:t xml:space="preserve"> (Statement of Cash Flows)</w:t>
      </w:r>
    </w:p>
    <w:p>
      <w:pPr>
        <w:spacing w:after="0" w:line="9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 xml:space="preserve">This NIF establishes general rules for the presentation, structure and preparation of statements of cash flow, as well as the disclosures supplementing these cash flow statements. NIF B-2 replaces prior Bulletin B-12, </w:t>
      </w:r>
      <w:r>
        <w:rPr>
          <w:rFonts w:ascii="Arial" w:cs="Arial" w:eastAsia="Arial" w:hAnsi="Arial"/>
          <w:sz w:val="16"/>
          <w:szCs w:val="16"/>
          <w:i w:val="1"/>
          <w:iCs w:val="1"/>
          <w:color w:val="auto"/>
        </w:rPr>
        <w:t>Estado de Cambios en la Situación Financiera</w:t>
      </w:r>
      <w:r>
        <w:rPr>
          <w:rFonts w:ascii="Arial" w:cs="Arial" w:eastAsia="Arial" w:hAnsi="Arial"/>
          <w:sz w:val="16"/>
          <w:szCs w:val="16"/>
          <w:color w:val="auto"/>
        </w:rPr>
        <w:t xml:space="preserve"> (Statements of Changes in Financial Position), which established guidelines with respect to statements of changes in financial position. N1F B-2 requires that the cash flow statement show the company’s cash inflows and outflows during the relevant period. Line-items should also be presented as gross items when appropriate. Cash flows from financing activities are now presented below those from investing activities, which represents a departure from Bulletin B-12. In addition, NIF B-2 allows entities to determine and present their cash flows from operating activities using either the direct or indirect method. NIF B-2 was effective starting January 1, 2008.</w:t>
      </w:r>
    </w:p>
    <w:p>
      <w:pPr>
        <w:spacing w:after="0" w:line="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NIF B-10, </w:t>
      </w:r>
      <w:r>
        <w:rPr>
          <w:rFonts w:ascii="Arial" w:cs="Arial" w:eastAsia="Arial" w:hAnsi="Arial"/>
          <w:sz w:val="18"/>
          <w:szCs w:val="18"/>
          <w:b w:val="1"/>
          <w:bCs w:val="1"/>
          <w:i w:val="1"/>
          <w:iCs w:val="1"/>
          <w:color w:val="auto"/>
        </w:rPr>
        <w:t>Efectos de la Inflación</w:t>
      </w:r>
      <w:r>
        <w:rPr>
          <w:rFonts w:ascii="Arial" w:cs="Arial" w:eastAsia="Arial" w:hAnsi="Arial"/>
          <w:sz w:val="18"/>
          <w:szCs w:val="18"/>
          <w:b w:val="1"/>
          <w:bCs w:val="1"/>
          <w:color w:val="auto"/>
        </w:rPr>
        <w:t xml:space="preserve"> (Effects of Inflation)</w:t>
      </w:r>
    </w:p>
    <w:p>
      <w:pPr>
        <w:spacing w:after="0" w:line="96" w:lineRule="exact"/>
        <w:rPr>
          <w:sz w:val="20"/>
          <w:szCs w:val="20"/>
          <w:color w:val="auto"/>
        </w:rPr>
      </w:pPr>
    </w:p>
    <w:p>
      <w:pPr>
        <w:ind w:left="920" w:right="60"/>
        <w:spacing w:after="0" w:line="288" w:lineRule="auto"/>
        <w:rPr>
          <w:sz w:val="20"/>
          <w:szCs w:val="20"/>
          <w:color w:val="auto"/>
        </w:rPr>
      </w:pPr>
      <w:r>
        <w:rPr>
          <w:rFonts w:ascii="Arial" w:cs="Arial" w:eastAsia="Arial" w:hAnsi="Arial"/>
          <w:sz w:val="16"/>
          <w:szCs w:val="16"/>
          <w:color w:val="auto"/>
        </w:rPr>
        <w:t>This NIF provides a separate set of guidelines to deal with accounting for inflation effects. If inflation for the three preceding years is 26% or more, cumulatively, the effects of inflation must be recognized using the comprehensive method. If cumulative inflation for the three preceding years is less than 26%, no inflationary effects need to be recognized in the company’s financial statements. Additionally, NIF B-10 eliminates the replacement cost and specific indexation methods for inventories and fixed assets, respectively, and requires that the cumulative gain or loss from holding non-monetary assets be reclassified to retained earnings, if such gain or loss is realized. The gain or loss that is not realized will be maintained in stockholders’ equity and charged to current earnings for the period in which the originating item is realized. NIF B-10 was effective starting January 1, 2008. As of December 31, 2007, the cumulative inflation rate for the three preceding years in Mexico, Colombia, Brazil, Panama and Guatemala was less than 26% and, accordingly we will not recognize inflation effects in 2008 for our subsidiaries located in these countries. For Costa Rica, Nicaragua, Argentina and Venezuela, we will continue to recognize inflation effects for our subsidiaries located in these countries.</w:t>
      </w:r>
    </w:p>
    <w:p>
      <w:pPr>
        <w:spacing w:after="0" w:line="33"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NIF B-15, </w:t>
      </w:r>
      <w:r>
        <w:rPr>
          <w:rFonts w:ascii="Arial" w:cs="Arial" w:eastAsia="Arial" w:hAnsi="Arial"/>
          <w:sz w:val="18"/>
          <w:szCs w:val="18"/>
          <w:b w:val="1"/>
          <w:bCs w:val="1"/>
          <w:i w:val="1"/>
          <w:iCs w:val="1"/>
          <w:color w:val="auto"/>
        </w:rPr>
        <w:t>Conversión de Moneda Extranjera</w:t>
      </w:r>
      <w:r>
        <w:rPr>
          <w:rFonts w:ascii="Arial" w:cs="Arial" w:eastAsia="Arial" w:hAnsi="Arial"/>
          <w:sz w:val="18"/>
          <w:szCs w:val="18"/>
          <w:b w:val="1"/>
          <w:bCs w:val="1"/>
          <w:color w:val="auto"/>
        </w:rPr>
        <w:t xml:space="preserve"> (Translation of Foreign Currencies)</w:t>
      </w:r>
    </w:p>
    <w:p>
      <w:pPr>
        <w:spacing w:after="0" w:line="9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NIF B-15 eliminates classification of integrated foreign operations and foreign entities and incorporates the concepts of accounting currency, functional currency and reporting currency. N1F B-15 establishes the procedures to translate the financial information of a foreign subsidiary: i) from the accounting to the functional currency, and ii) from the functional to the reporting currency, and allows entities to present their financial statements in a reporting currency other than their functional currency. NIF B-15 was effective starting January 1, 2008.</w:t>
      </w:r>
    </w:p>
    <w:p>
      <w:pPr>
        <w:spacing w:after="0" w:line="2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NIF D-3, </w:t>
      </w:r>
      <w:r>
        <w:rPr>
          <w:rFonts w:ascii="Arial" w:cs="Arial" w:eastAsia="Arial" w:hAnsi="Arial"/>
          <w:sz w:val="18"/>
          <w:szCs w:val="18"/>
          <w:b w:val="1"/>
          <w:bCs w:val="1"/>
          <w:i w:val="1"/>
          <w:iCs w:val="1"/>
          <w:color w:val="auto"/>
        </w:rPr>
        <w:t>Beneficios a lo Empleados</w:t>
      </w:r>
      <w:r>
        <w:rPr>
          <w:rFonts w:ascii="Arial" w:cs="Arial" w:eastAsia="Arial" w:hAnsi="Arial"/>
          <w:sz w:val="18"/>
          <w:szCs w:val="18"/>
          <w:b w:val="1"/>
          <w:bCs w:val="1"/>
          <w:color w:val="auto"/>
        </w:rPr>
        <w:t xml:space="preserve"> (Employee Benefits)</w:t>
      </w:r>
    </w:p>
    <w:p>
      <w:pPr>
        <w:spacing w:after="0" w:line="96"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 xml:space="preserve">This NIF applies to current and deferred Employee Profit Sharing (PTU). Deferred PTU should be calculated using the same methodology established in NIF D-4, </w:t>
      </w:r>
      <w:r>
        <w:rPr>
          <w:rFonts w:ascii="Arial" w:cs="Arial" w:eastAsia="Arial" w:hAnsi="Arial"/>
          <w:sz w:val="18"/>
          <w:szCs w:val="18"/>
          <w:i w:val="1"/>
          <w:iCs w:val="1"/>
          <w:color w:val="auto"/>
        </w:rPr>
        <w:t>Impuestos a la Utilidad</w:t>
      </w:r>
      <w:r>
        <w:rPr>
          <w:rFonts w:ascii="Arial" w:cs="Arial" w:eastAsia="Arial" w:hAnsi="Arial"/>
          <w:sz w:val="18"/>
          <w:szCs w:val="18"/>
          <w:color w:val="auto"/>
        </w:rPr>
        <w:t xml:space="preserve"> (Income Taxes). It also includes a career salary concept and the amortization period for most items has been reduced to five years. NIF D-3 was effective starting January 1, 2008.</w:t>
      </w:r>
    </w:p>
    <w:p>
      <w:pPr>
        <w:spacing w:after="0" w:line="53"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NIF D-4, </w:t>
      </w:r>
      <w:r>
        <w:rPr>
          <w:rFonts w:ascii="Arial" w:cs="Arial" w:eastAsia="Arial" w:hAnsi="Arial"/>
          <w:sz w:val="18"/>
          <w:szCs w:val="18"/>
          <w:b w:val="1"/>
          <w:bCs w:val="1"/>
          <w:i w:val="1"/>
          <w:iCs w:val="1"/>
          <w:color w:val="auto"/>
        </w:rPr>
        <w:t>Impuestos Sobre Utilidades</w:t>
      </w:r>
      <w:r>
        <w:rPr>
          <w:rFonts w:ascii="Arial" w:cs="Arial" w:eastAsia="Arial" w:hAnsi="Arial"/>
          <w:sz w:val="18"/>
          <w:szCs w:val="18"/>
          <w:b w:val="1"/>
          <w:bCs w:val="1"/>
          <w:color w:val="auto"/>
        </w:rPr>
        <w:t xml:space="preserve"> (Income Taxes)</w:t>
      </w:r>
    </w:p>
    <w:p>
      <w:pPr>
        <w:spacing w:after="0" w:line="96"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This NIF relocates accounting for current and deferred PTU to NIF D-3, eliminates the permanent difference concept and redefines and incorporates various definitions. NIF D-4 was effective starting January 1, 2008.</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Under US. GAAP</w:t>
      </w:r>
    </w:p>
    <w:p>
      <w:pPr>
        <w:spacing w:after="0" w:line="8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FASB Staff Position (FSP) FASB Interpretation No. 39 Offsetting of Amounts Related to Certain Contracts, or FSP FIN No. 39</w:t>
      </w:r>
    </w:p>
    <w:p>
      <w:pPr>
        <w:spacing w:after="0" w:line="119"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This FSP amends paragraph 3 of FASB Interpretation No. 39 to replace the terms “conditional contracts” and “exchange contracts” with the term “derivative instruments” as defined in SFAS No. 133. In addition, this FSP amends paragraph 10 of FASB Interpretation No. 39 to permit a reporting entity to offset fair value amounts recognized for the right to reclaim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cash collateral (a receivable) or the obligation to return cash collateral (a payable) against fair value amounts recognized for derivative instruments executed with the same counterparty under the same master netting arrangement that have been offset in accordance with that paragraph. This FSP is effective for fiscal years beginning after November 15, 2007.</w:t>
      </w:r>
    </w:p>
    <w:p>
      <w:pPr>
        <w:spacing w:after="0" w:line="53"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The Fair Value Option for Financial Assets and Financial Liabilities, or SFAS No. 159</w:t>
      </w:r>
    </w:p>
    <w:p>
      <w:pPr>
        <w:spacing w:after="0" w:line="96" w:lineRule="exact"/>
        <w:rPr>
          <w:sz w:val="20"/>
          <w:szCs w:val="20"/>
          <w:color w:val="auto"/>
        </w:rPr>
      </w:pPr>
    </w:p>
    <w:p>
      <w:pPr>
        <w:ind w:left="920" w:right="20"/>
        <w:spacing w:after="0" w:line="287" w:lineRule="auto"/>
        <w:rPr>
          <w:sz w:val="20"/>
          <w:szCs w:val="20"/>
          <w:color w:val="auto"/>
        </w:rPr>
      </w:pPr>
      <w:r>
        <w:rPr>
          <w:rFonts w:ascii="Arial" w:cs="Arial" w:eastAsia="Arial" w:hAnsi="Arial"/>
          <w:sz w:val="16"/>
          <w:szCs w:val="16"/>
          <w:color w:val="auto"/>
        </w:rPr>
        <w:t>This standard permits entities to choose to measure financial instruments and certain other items at fair value to mitigate volatility in reported earnings. According to SFAS No. 159, the following are eligible items for the use of the fair value measurement: (1) recognized financial assets and financial liabilities; (2) firm commitments that would otherwise not be recognized at inception and that involve only financial instruments; (3) non-financial insurance contracts and warranties that the insurer can settle by paying a third party to provide those goods or services; and (4) host financial instruments resulting from separation of an embedded non-financial derivative instrument from a nonfinancial hybrid instrument. The fair value option established by SFAS No. 159 permits all entities to choose to measure eligible items at fair value at specified election dates. A business entity shall report unrealized gains and losses on items for which the fair value option has been elected in earnings (or another performance indicator if the business entity does not report earnings) at each subsequent reporting date. SFAS No. 159 is effective as of the beginning of an entity’s first fiscal year that begins after November 15, 2007. We are in the process of determining the impact of adopting this new accounting principle on our consolidated financial position and results of operations.</w:t>
      </w:r>
    </w:p>
    <w:p>
      <w:pPr>
        <w:spacing w:after="0" w:line="3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 amendment of SFAS No. 141, or SFAS No. 141(R)</w:t>
      </w:r>
    </w:p>
    <w:p>
      <w:pPr>
        <w:spacing w:after="0" w:line="96"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This statement requires (a) a company to recognize acquired assets, assumed liabilities, and any non- controlling interest in the acquiree at fair value as of the acquisition date; and (b) an acquirer in preacquisition periods to expense all acquisition-related costs. SFAS No. 141(R) requires that any adjustments to an acquired entity’s deferred tax asset and liability balance that occur after the measurement period be recorded as a component of income tax expense. This accounting treatment is required for business combinations consummated before the effective date of SFAS No. 141(R) (non-prospective), otherwise SFAS No. 141(R) must be applied prospectively, meaning early adoption is prohibited. SFAS No. 141(R) is effective for fiscal years, and interim periods within those fiscal years, beginning on or after December 15, 2008.</w:t>
      </w:r>
    </w:p>
    <w:p>
      <w:pPr>
        <w:spacing w:after="0" w:line="33"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or SFAS No. 157</w:t>
      </w:r>
    </w:p>
    <w:p>
      <w:pPr>
        <w:spacing w:after="0" w:line="96" w:lineRule="exact"/>
        <w:rPr>
          <w:sz w:val="20"/>
          <w:szCs w:val="20"/>
          <w:color w:val="auto"/>
        </w:rPr>
      </w:pPr>
    </w:p>
    <w:p>
      <w:pPr>
        <w:ind w:left="920" w:right="40"/>
        <w:spacing w:after="0" w:line="287" w:lineRule="auto"/>
        <w:rPr>
          <w:sz w:val="20"/>
          <w:szCs w:val="20"/>
          <w:color w:val="auto"/>
        </w:rPr>
      </w:pPr>
      <w:r>
        <w:rPr>
          <w:rFonts w:ascii="Arial" w:cs="Arial" w:eastAsia="Arial" w:hAnsi="Arial"/>
          <w:sz w:val="16"/>
          <w:szCs w:val="16"/>
          <w:color w:val="auto"/>
        </w:rPr>
        <w:t>This statement establishes a framework for measuring fair value and expands disclosures about fair value measurements. SFAS No. 157 clarifies the definition of exchange price as the price between market participants in an orderly transaction to sell an asset or transfer a liability in the market in which the reporting entity would transact for the asset or liability, that is, the principal or most advantageous market for the asset or liability. The changes to current practices resulting from the application of this statement relate to the definition of fair value, the methods used to measure fair value, and the expanded disclosures about fair value measurements. SFAS No. 157 is effective for fiscal years beginning after November 15, 2007 and interim periods within those fiscal years. On February 12, 2008, the FASB issued FSP FAS 157-1 and FSP FAS 157-2, which remove leasing transactions accounted for under SFAS No. 13 “Accounting for Leases” from the scope of SFAS No. 157 and partially defer the effective date of SFAS No. 157 with respect to non-recurring fair value measurement of non-financial assets and non-financial liabilities until fiscal years beginning after November 15, 2008. We are in the process of determining the impact of adopting this new accounting principle on our consolidated financial position and results of operations.</w:t>
      </w:r>
    </w:p>
    <w:p>
      <w:pPr>
        <w:spacing w:after="0" w:line="3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in Consolidated Financial Statements, or SFAS No. 160</w:t>
      </w:r>
    </w:p>
    <w:p>
      <w:pPr>
        <w:spacing w:after="0" w:line="96" w:lineRule="exact"/>
        <w:rPr>
          <w:sz w:val="20"/>
          <w:szCs w:val="20"/>
          <w:color w:val="auto"/>
        </w:rPr>
      </w:pPr>
    </w:p>
    <w:p>
      <w:pPr>
        <w:ind w:left="920" w:right="80"/>
        <w:spacing w:after="0" w:line="318" w:lineRule="auto"/>
        <w:rPr>
          <w:sz w:val="20"/>
          <w:szCs w:val="20"/>
          <w:color w:val="auto"/>
        </w:rPr>
      </w:pPr>
      <w:r>
        <w:rPr>
          <w:rFonts w:ascii="Arial" w:cs="Arial" w:eastAsia="Arial" w:hAnsi="Arial"/>
          <w:sz w:val="15"/>
          <w:szCs w:val="15"/>
          <w:color w:val="auto"/>
        </w:rPr>
        <w:t>This statement has the following effects on an entity’s financial statements: (a) amends ARB No. 51 to establish accounting and reporting standards for the non-controlling interest in a subsidiary and the deconsolidation of a subsidiary; (b) changes the way the consolidated income statement is presented; (c) establishes a single method of accounting for changes in a parent’s ownership interest in a subsidiary that does not result in deconsolidation; (d) requires that a parent recognize a gain or loss in net income when a subsidiary is deconsolidated; and (e) requires expanded disclosures in the consolidated financial statements that clearly identify and distinguish between the interests of the parent company and the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306" w:lineRule="auto"/>
        <w:rPr>
          <w:sz w:val="20"/>
          <w:szCs w:val="20"/>
          <w:color w:val="auto"/>
        </w:rPr>
      </w:pPr>
      <w:r>
        <w:rPr>
          <w:rFonts w:ascii="Arial" w:cs="Arial" w:eastAsia="Arial" w:hAnsi="Arial"/>
          <w:sz w:val="16"/>
          <w:szCs w:val="16"/>
          <w:color w:val="auto"/>
        </w:rPr>
        <w:t>interests of the non-controlling owners of a subsidiary. SFAS No. 160 must be applied prospectively and early adoption is prohibited. SFAS No. 160 is effective for fiscal years, and interim periods within those fiscal years, beginning on or after December 15, 2008. We are in the process of determining the impact of adopting this new accounting principle on our consolidated financial position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income statement under Mexican Financial Reporting Standards for the years ended December 31,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 and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86"/>
              </w:rPr>
              <w:t>Year Ended December 31, 2007</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2007</w:t>
            </w:r>
          </w:p>
        </w:tc>
        <w:tc>
          <w:tcPr>
            <w:tcW w:w="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2006</w:t>
            </w:r>
          </w:p>
        </w:tc>
        <w:tc>
          <w:tcPr>
            <w:tcW w:w="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80" w:type="dxa"/>
            <w:vAlign w:val="bottom"/>
            <w:gridSpan w:val="1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(in millions of U.S. dollars and constant Mexican pesos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5"/>
              </w:rPr>
              <w:t>December 31, 2007)</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13,472</w:t>
            </w:r>
          </w:p>
        </w:tc>
        <w:tc>
          <w:tcPr>
            <w:tcW w:w="14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Ps.147,069</w:t>
            </w: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Ps.135,647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Ps.118,799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operating revenues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13,516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147,556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136,120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7,310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79,801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73,366</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62,754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8,973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Selling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3,571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38,995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35,314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44,287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1,793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19,569</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18,467</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(4,554)</w:t>
            </w:r>
          </w:p>
        </w:tc>
        <w:tc>
          <w:tcPr>
            <w:tcW w:w="2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(4,299)</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420"/>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(3,785)</w:t>
            </w:r>
          </w:p>
        </w:tc>
        <w:tc>
          <w:tcPr>
            <w:tcW w:w="2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(3,507)</w:t>
            </w: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 (loss),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Gain on monetary position,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1,488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Market value gain (loss) on ineffective portion of derivative financial instrument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Integral result of financing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(1,386)</w:t>
            </w:r>
          </w:p>
        </w:tc>
        <w:tc>
          <w:tcPr>
            <w:tcW w:w="2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(2,349)</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14,468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4,608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77"/>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9,860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Net majority income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8,511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7,127</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minority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1,093</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77"/>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11,936</w:t>
            </w:r>
          </w:p>
        </w:tc>
        <w:tc>
          <w:tcPr>
            <w:tcW w:w="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9,860</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9,073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692"/>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certain operating results by reportable segment under Mexican Financial Reporting Standards for each of our segments for the years ended December 31, 2007, 2006 and 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1260"/>
              <w:spacing w:after="0"/>
              <w:rPr>
                <w:sz w:val="20"/>
                <w:szCs w:val="20"/>
                <w:color w:val="auto"/>
              </w:rPr>
            </w:pPr>
            <w:r>
              <w:rPr>
                <w:rFonts w:ascii="Arial" w:cs="Arial" w:eastAsia="Arial" w:hAnsi="Arial"/>
                <w:sz w:val="14"/>
                <w:szCs w:val="14"/>
                <w:b w:val="1"/>
                <w:bCs w:val="1"/>
                <w:color w:val="auto"/>
                <w:w w:val="91"/>
              </w:rPr>
              <w:t>Year Ended December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260" w:type="dxa"/>
            <w:vAlign w:val="bottom"/>
            <w:vMerge w:val="restart"/>
          </w:tcPr>
          <w:p>
            <w:pPr>
              <w:spacing w:after="0"/>
              <w:rPr>
                <w:sz w:val="12"/>
                <w:szCs w:val="12"/>
                <w:color w:val="auto"/>
              </w:rPr>
            </w:pPr>
          </w:p>
        </w:tc>
        <w:tc>
          <w:tcPr>
            <w:tcW w:w="74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6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2"/>
                <w:szCs w:val="12"/>
                <w:color w:val="auto"/>
              </w:rPr>
            </w:pPr>
          </w:p>
        </w:tc>
        <w:tc>
          <w:tcPr>
            <w:tcW w:w="2080" w:type="dxa"/>
            <w:vAlign w:val="bottom"/>
            <w:tcBorders>
              <w:bottom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rPr>
              <w:t>Percentage Growth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2007 vs. 2006</w:t>
            </w:r>
          </w:p>
        </w:tc>
        <w:tc>
          <w:tcPr>
            <w:tcW w:w="560" w:type="dxa"/>
            <w:vAlign w:val="bottom"/>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2006 vs. 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w w:val="81"/>
              </w:rPr>
              <w:t>(in</w:t>
            </w:r>
          </w:p>
        </w:tc>
        <w:tc>
          <w:tcPr>
            <w:tcW w:w="74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w w:val="88"/>
              </w:rPr>
              <w:t>millions of</w:t>
            </w:r>
          </w:p>
        </w:tc>
        <w:tc>
          <w:tcPr>
            <w:tcW w:w="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8"/>
              </w:rPr>
              <w:t>constant</w:t>
            </w: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4"/>
              </w:rPr>
              <w:t>Mexican pesos</w:t>
            </w:r>
          </w:p>
        </w:tc>
        <w:tc>
          <w:tcPr>
            <w:tcW w:w="182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9"/>
              </w:rPr>
              <w:t>at December 31, 2007, except</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91"/>
              </w:rPr>
              <w:t>for percentages)</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68,969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8"/>
                <w:szCs w:val="18"/>
                <w:color w:val="auto"/>
                <w:w w:val="83"/>
              </w:rPr>
              <w:t>Ps. 63,820</w:t>
            </w:r>
          </w:p>
        </w:tc>
        <w:tc>
          <w:tcPr>
            <w:tcW w:w="260" w:type="dxa"/>
            <w:vAlign w:val="bottom"/>
          </w:tcPr>
          <w:p>
            <w:pPr>
              <w:spacing w:after="0"/>
              <w:rPr>
                <w:sz w:val="18"/>
                <w:szCs w:val="18"/>
                <w:color w:val="auto"/>
              </w:rPr>
            </w:pPr>
          </w:p>
        </w:tc>
        <w:tc>
          <w:tcPr>
            <w:tcW w:w="1240" w:type="dxa"/>
            <w:vAlign w:val="bottom"/>
            <w:gridSpan w:val="2"/>
          </w:tcPr>
          <w:p>
            <w:pPr>
              <w:jc w:val="center"/>
              <w:ind w:right="432"/>
              <w:spacing w:after="0"/>
              <w:rPr>
                <w:sz w:val="20"/>
                <w:szCs w:val="20"/>
                <w:color w:val="auto"/>
              </w:rPr>
            </w:pPr>
            <w:r>
              <w:rPr>
                <w:rFonts w:ascii="Arial" w:cs="Arial" w:eastAsia="Arial" w:hAnsi="Arial"/>
                <w:sz w:val="18"/>
                <w:szCs w:val="18"/>
                <w:color w:val="auto"/>
                <w:w w:val="85"/>
              </w:rPr>
              <w:t>Ps. 59,181</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39,284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37,680</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29,593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42,103</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36,835</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31,021</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14.3%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69,251</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64,046</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59,642</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39,566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37,919</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29,768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42,103</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36,835</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31,021</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14.3%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35,881</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33,745</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30,558</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6.3%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17,889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16,487</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11,998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30,301</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26,839</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22,792</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12.9%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33,370</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30,301</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29,084</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21,677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21,432</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17,770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11,802</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9,996</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8,229</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18.1%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11,447</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10,251</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9,973</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5,800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480" w:type="dxa"/>
            <w:vAlign w:val="bottom"/>
          </w:tcPr>
          <w:p>
            <w:pPr>
              <w:jc w:val="right"/>
              <w:spacing w:after="0"/>
              <w:rPr>
                <w:sz w:val="20"/>
                <w:szCs w:val="20"/>
                <w:color w:val="auto"/>
              </w:rPr>
            </w:pPr>
            <w:r>
              <w:rPr>
                <w:rFonts w:ascii="Arial" w:cs="Arial" w:eastAsia="Arial" w:hAnsi="Arial"/>
                <w:sz w:val="18"/>
                <w:szCs w:val="18"/>
                <w:color w:val="auto"/>
              </w:rPr>
              <w:t>2,315</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1,664</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1,360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39.1%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line="217" w:lineRule="exact"/>
              <w:rPr>
                <w:sz w:val="20"/>
                <w:szCs w:val="20"/>
                <w:color w:val="auto"/>
              </w:rPr>
            </w:pPr>
            <w:r>
              <w:rPr>
                <w:rFonts w:ascii="Arial" w:cs="Arial" w:eastAsia="Arial" w:hAnsi="Arial"/>
                <w:sz w:val="18"/>
                <w:szCs w:val="18"/>
                <w:color w:val="auto"/>
              </w:rPr>
              <w:t>Coca-Cola FEMSA</w:t>
            </w:r>
            <w:r>
              <w:rPr>
                <w:rFonts w:ascii="Arial" w:cs="Arial" w:eastAsia="Arial" w:hAnsi="Arial"/>
                <w:sz w:val="22"/>
                <w:szCs w:val="22"/>
                <w:color w:val="auto"/>
                <w:vertAlign w:val="superscript"/>
              </w:rPr>
              <w:t>(1)</w:t>
            </w:r>
          </w:p>
        </w:tc>
        <w:tc>
          <w:tcPr>
            <w:tcW w:w="480" w:type="dxa"/>
            <w:vAlign w:val="bottom"/>
          </w:tcPr>
          <w:p>
            <w:pPr>
              <w:jc w:val="right"/>
              <w:spacing w:after="0"/>
              <w:rPr>
                <w:sz w:val="20"/>
                <w:szCs w:val="20"/>
                <w:color w:val="auto"/>
              </w:rPr>
            </w:pPr>
            <w:r>
              <w:rPr>
                <w:rFonts w:ascii="Arial" w:cs="Arial" w:eastAsia="Arial" w:hAnsi="Arial"/>
                <w:sz w:val="18"/>
                <w:szCs w:val="18"/>
                <w:color w:val="auto"/>
              </w:rPr>
              <w:t>2,637</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2,610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1,617</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480" w:type="dxa"/>
            <w:vAlign w:val="bottom"/>
          </w:tcPr>
          <w:p>
            <w:pPr>
              <w:jc w:val="right"/>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500" w:type="dxa"/>
            <w:vAlign w:val="bottom"/>
            <w:gridSpan w:val="3"/>
          </w:tcPr>
          <w:p>
            <w:pPr>
              <w:jc w:val="right"/>
              <w:ind w:right="432"/>
              <w:spacing w:after="0"/>
              <w:rPr>
                <w:sz w:val="20"/>
                <w:szCs w:val="20"/>
                <w:color w:val="auto"/>
              </w:rPr>
            </w:pPr>
            <w:r>
              <w:rPr>
                <w:rFonts w:ascii="Arial" w:cs="Arial" w:eastAsia="Arial" w:hAnsi="Arial"/>
                <w:sz w:val="18"/>
                <w:szCs w:val="18"/>
                <w:color w:val="auto"/>
              </w:rPr>
              <w:t>348</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26.0%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Gross margin</w:t>
            </w:r>
            <w:r>
              <w:rPr>
                <w:rFonts w:ascii="Arial" w:cs="Arial" w:eastAsia="Arial" w:hAnsi="Arial"/>
                <w:sz w:val="22"/>
                <w:szCs w:val="22"/>
                <w:b w:val="1"/>
                <w:bCs w:val="1"/>
                <w:color w:val="auto"/>
                <w:vertAlign w:val="superscript"/>
              </w:rPr>
              <w:t>(2)</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48.2%</w:t>
            </w:r>
          </w:p>
        </w:tc>
        <w:tc>
          <w:tcPr>
            <w:tcW w:w="1220" w:type="dxa"/>
            <w:vAlign w:val="bottom"/>
            <w:gridSpan w:val="3"/>
          </w:tcPr>
          <w:p>
            <w:pPr>
              <w:jc w:val="right"/>
              <w:ind w:right="12"/>
              <w:spacing w:after="0"/>
              <w:rPr>
                <w:sz w:val="20"/>
                <w:szCs w:val="20"/>
                <w:color w:val="auto"/>
              </w:rPr>
            </w:pPr>
            <w:r>
              <w:rPr>
                <w:rFonts w:ascii="Arial" w:cs="Arial" w:eastAsia="Arial" w:hAnsi="Arial"/>
                <w:sz w:val="18"/>
                <w:szCs w:val="18"/>
                <w:color w:val="auto"/>
              </w:rPr>
              <w:t>47.3%</w:t>
            </w:r>
          </w:p>
        </w:tc>
        <w:tc>
          <w:tcPr>
            <w:tcW w:w="1500" w:type="dxa"/>
            <w:vAlign w:val="bottom"/>
            <w:gridSpan w:val="3"/>
          </w:tcPr>
          <w:p>
            <w:pPr>
              <w:jc w:val="right"/>
              <w:ind w:right="272"/>
              <w:spacing w:after="0"/>
              <w:rPr>
                <w:sz w:val="20"/>
                <w:szCs w:val="20"/>
                <w:color w:val="auto"/>
              </w:rPr>
            </w:pPr>
            <w:r>
              <w:rPr>
                <w:rFonts w:ascii="Arial" w:cs="Arial" w:eastAsia="Arial" w:hAnsi="Arial"/>
                <w:sz w:val="18"/>
                <w:szCs w:val="18"/>
                <w:color w:val="auto"/>
              </w:rPr>
              <w:t>48.8%</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w:t>
            </w:r>
          </w:p>
        </w:tc>
        <w:tc>
          <w:tcPr>
            <w:tcW w:w="12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c>
          <w:tcPr>
            <w:tcW w:w="15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59.7%</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1220" w:type="dxa"/>
            <w:vAlign w:val="bottom"/>
            <w:gridSpan w:val="3"/>
          </w:tcPr>
          <w:p>
            <w:pPr>
              <w:jc w:val="right"/>
              <w:ind w:right="12"/>
              <w:spacing w:after="0"/>
              <w:rPr>
                <w:sz w:val="20"/>
                <w:szCs w:val="20"/>
                <w:color w:val="auto"/>
              </w:rPr>
            </w:pPr>
            <w:r>
              <w:rPr>
                <w:rFonts w:ascii="Arial" w:cs="Arial" w:eastAsia="Arial" w:hAnsi="Arial"/>
                <w:sz w:val="18"/>
                <w:szCs w:val="18"/>
                <w:color w:val="auto"/>
              </w:rPr>
              <w:t>27.1%</w:t>
            </w:r>
          </w:p>
        </w:tc>
        <w:tc>
          <w:tcPr>
            <w:tcW w:w="1500" w:type="dxa"/>
            <w:vAlign w:val="bottom"/>
            <w:gridSpan w:val="3"/>
          </w:tcPr>
          <w:p>
            <w:pPr>
              <w:jc w:val="right"/>
              <w:ind w:right="272"/>
              <w:spacing w:after="0"/>
              <w:rPr>
                <w:sz w:val="20"/>
                <w:szCs w:val="20"/>
                <w:color w:val="auto"/>
              </w:rPr>
            </w:pPr>
            <w:r>
              <w:rPr>
                <w:rFonts w:ascii="Arial" w:cs="Arial" w:eastAsia="Arial" w:hAnsi="Arial"/>
                <w:sz w:val="18"/>
                <w:szCs w:val="18"/>
                <w:color w:val="auto"/>
              </w:rPr>
              <w:t>26.5%</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Operating margin</w:t>
            </w:r>
            <w:r>
              <w:rPr>
                <w:rFonts w:ascii="Arial" w:cs="Arial" w:eastAsia="Arial" w:hAnsi="Arial"/>
                <w:sz w:val="22"/>
                <w:szCs w:val="22"/>
                <w:b w:val="1"/>
                <w:bCs w:val="1"/>
                <w:color w:val="auto"/>
                <w:vertAlign w:val="superscript"/>
              </w:rPr>
              <w:t>(3)</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1220" w:type="dxa"/>
            <w:vAlign w:val="bottom"/>
            <w:gridSpan w:val="3"/>
          </w:tcPr>
          <w:p>
            <w:pPr>
              <w:jc w:val="right"/>
              <w:ind w:right="12"/>
              <w:spacing w:after="0"/>
              <w:rPr>
                <w:sz w:val="20"/>
                <w:szCs w:val="20"/>
                <w:color w:val="auto"/>
              </w:rPr>
            </w:pPr>
            <w:r>
              <w:rPr>
                <w:rFonts w:ascii="Arial" w:cs="Arial" w:eastAsia="Arial" w:hAnsi="Arial"/>
                <w:sz w:val="18"/>
                <w:szCs w:val="18"/>
                <w:color w:val="auto"/>
              </w:rPr>
              <w:t>16.0%</w:t>
            </w:r>
          </w:p>
        </w:tc>
        <w:tc>
          <w:tcPr>
            <w:tcW w:w="1500" w:type="dxa"/>
            <w:vAlign w:val="bottom"/>
            <w:gridSpan w:val="3"/>
          </w:tcPr>
          <w:p>
            <w:pPr>
              <w:jc w:val="right"/>
              <w:ind w:right="272"/>
              <w:spacing w:after="0"/>
              <w:rPr>
                <w:sz w:val="20"/>
                <w:szCs w:val="20"/>
                <w:color w:val="auto"/>
              </w:rPr>
            </w:pPr>
            <w:r>
              <w:rPr>
                <w:rFonts w:ascii="Arial" w:cs="Arial" w:eastAsia="Arial" w:hAnsi="Arial"/>
                <w:sz w:val="18"/>
                <w:szCs w:val="18"/>
                <w:color w:val="auto"/>
              </w:rPr>
              <w:t>16.7%</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2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5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19.5%</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568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220" w:type="dxa"/>
            <w:vAlign w:val="bottom"/>
            <w:gridSpan w:val="3"/>
          </w:tcPr>
          <w:p>
            <w:pPr>
              <w:jc w:val="right"/>
              <w:ind w:right="12"/>
              <w:spacing w:after="0"/>
              <w:rPr>
                <w:sz w:val="20"/>
                <w:szCs w:val="20"/>
                <w:color w:val="auto"/>
              </w:rPr>
            </w:pPr>
            <w:r>
              <w:rPr>
                <w:rFonts w:ascii="Arial" w:cs="Arial" w:eastAsia="Arial" w:hAnsi="Arial"/>
                <w:sz w:val="18"/>
                <w:szCs w:val="18"/>
                <w:color w:val="auto"/>
              </w:rPr>
              <w:t>4.5%</w:t>
            </w:r>
          </w:p>
        </w:tc>
        <w:tc>
          <w:tcPr>
            <w:tcW w:w="1500" w:type="dxa"/>
            <w:vAlign w:val="bottom"/>
            <w:gridSpan w:val="3"/>
          </w:tcPr>
          <w:p>
            <w:pPr>
              <w:jc w:val="right"/>
              <w:ind w:right="272"/>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breakage of bottles.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margin is calculated with reference to total revenues.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margin is calculated with reference to total revenues.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Year Ended December 31, 2007 Compared to Year Ended December 31,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FEMSA’s consolidated total revenues increased 8.4% to Ps. 147,556 million in 2007 compared to Ps. 136,120 million in 2006. All of FEMSA’s operations —soft drinks, beer and retail—contributed positively to this revenue growth. FEMSA Comercio’s revenues increased 14.3% to Ps. 42,103 million, due to the 716 net new stores opened during the year and the 3.3% growth in same stores sales. Coca-Cola FEMSA’s total revenues increased 8.1% to Ps. 69,251 million, mainly due to strong volume growth of 6.1% as compared to 2006 from 2,120.8 million unit cases in 2007 to 1,998.1 million unit cases in 2006 and an average price per unit case increase of 1.9%. Total revenues at FEMSA Cerveza increased 4.3% over 2006 to Ps. 39,566 million, driven by higher volumes that more than offset the slight decline in average price per hectoliter in real terms and the decline in lower third-party packaging revenues as our internal demand for packaging increased as opposed to third-party sales.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Consolidated cost of sales increased 8.8% to Ps. 79,801 million in 2007 compared to Ps. 73,366 million in 2006. Approximately 53.8% of this increase resulted from FEMSA Comercio and its rapid pace of store expansion. Coca-Cola FEMSA accounted for 33.2% of this increase and FEMSA Cerveza accounted for 21.8%.</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Consolidated gross profit increased 8.0% to Ps. 67,755 million in 2007 compared to Ps. 62,754 million in 2006 due to increases in all of our operations. Gross margin decreased 0.2 percentage points as compared to 2006, from 46.1% of consolidated total revenues in 2006 to 45.9% in 2007. Gross margin improvements at Coca-Cola FEMSA and FEMSA Comercio partially offset raw material pressure at FEMSA Cerveza, resulting in a slight gross margin decrease.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Consolidated operating expenses increased 8.8% to Ps. 48,186 million in 2007 compared to Ps. 44,287 million in 2006. Approximately 48% of this increase was driven by additional operating expenses in all of Coca-Cola FEMSA’s operations, especially in Venezuela, Brazil and Mexico, which together accounted for 75.6% of the incremental expense. As a percentage of total revenues, consolidated operating expenses remained stable at 32.6% in 2007 compared with 32.5% in 2006.</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Consolidated administrative expenses increased 2.4% to Ps. 9,191 million in 2007 compared to Ps. 8,973 million in 2006. However, as a percentage of total revenues, consolidated administrative expenses decreased 0.4 percentage points to 6.2% in 2007 compared with 6.6% in 2006 due to operating leverage driven by higher revenues achieved in all of FEMSA’s operations.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Consolidated selling expenses increased 10.4% to Ps. 38,995 million in 2007 as compared to Ps. 35,314 million in 2006. Approximately 45.2% of this increase was due to Coca-Cola FEMSA and 31.5% to FEMSA Comercio’s rapid rate of growth. As a percentage of total revenues, selling expenses increased 0.5 percentage points to 26.4% in 2007 compared to 25.9% in 2006.</w:t>
      </w:r>
    </w:p>
    <w:p>
      <w:pPr>
        <w:spacing w:after="0" w:line="14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2007 and 2006, our distribution costs amounted to Ps. 10,601 million and Ps. 9,921 million, respectively. The exclusion of these charges from our cost of sales may result in the amounts reported as gross profit not being comparable to other companies that may include all expenses related to their distribution network in cost of sales when calculating gross profit or an equivalent measure.</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Consolidated income from operations increased 6.0% to Ps. 19,569 million in 2007 as compared to Ps. 18,467 million in 2006, driven by the results of Coca-Cola FEMSA and FEMSA Comercio, which more than offset the decrease at FEMSA Cerveza.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Consolidated operating margin decreased 0.3 percentage points from 2006 levels to 13.3% of consolidated total revenues in 2007. The decrease in operating margin was primarily attributable to a margin contraction at FEMSA Cerveza driven by higher raw material prices and operating expenses and the increased contribution of FEMSA Comercio, which has a lower margin than our core operations.</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Some of our subsidiaries pay management fees to us in consideration for corporate services provided to them. These fees are recorded as administrative expenses in the respective business segments. Our subsidiaries’ payments of management fees are eliminated in consolidation and, therefore, have no effect on our consolidated operating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Coca-Cola FEMSA total revenues increased 8.1% to Ps. 69,251 million in 2007, compared to Ps. 64,046 million in 2006 with Mexico, Brazil and Venezuela accounting for more than 75% of this growth.</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Consolidated total sales volume reached 2,120.8 million unit cases in 2007, compared to 1,998.1 million unit cases in 2006, an increase of 6.1%. Sparkling beverage volume, which we previously referred to as sparkling beverages, increased 5.7% as a result of sales volume increases in all of our territories. Sparkling beverage volume growth was mainly driven by the Coca-Cola brand, which accounted for close to 65% of incremental total volume. A strong marketing campaign associated with the launching of Coca-Cola Zero in Mexico, Brazil and Argentina contributed to this growth.</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Consolidated average price per unit case increased 1.9% in real terms, reaching Ps. 32.15 in 2007 as compared to Ps. 31.56 in 2006. Average price increases in most of our territories, partially offset lower average prices in Mexico.</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sales in absolute terms increased 6.3% to Ps. 35,881 million in 2007 compared to Ps. 33,745 million in 2006. Gross profit increased 10.1% to 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33,370 million in 2007, as compared to the previous year, mainly driven by incremental revenues across all of our territories and higher fixed-cost absorption.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margin increased to 48.2% in 2007 from 47.3% in 2006, driven by revenue growth, which more than compensated for higher sweetener costs in Mexico.</w:t>
      </w:r>
    </w:p>
    <w:p>
      <w:pPr>
        <w:spacing w:after="0" w:line="18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Cost of sales includes raw materials, in particular concentrate and sweeteners, packaging materials, depreciation expenses attributable to our production facilities, wages and other employment expenses associated with the labor force employed at our production facilities, as well as certain overhead expenses. Concentrate prices are determined as a percentage of the retail price of our products in local currency net of applicable taxes.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Operating expenses in absolute terms increased 9.3% year over year to Ps. 21,923 million, mainly as a result of (1) salary increases ahead of inflation in some of the countries in which we operate, (2) higher operating expenses due to increases in maintenance expenses and freight costs in some territories and</w:t>
      </w:r>
    </w:p>
    <w:p>
      <w:pPr>
        <w:ind w:right="200" w:firstLine="8"/>
        <w:spacing w:after="0" w:line="261"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marketing investment in our major operations in connection with several initiatives intended to reinforce our presence in the market and build brand equity. As a percentage of total revenues, operating expenses increased from 31.3% in 2006 to 31.7% in 2007.</w:t>
      </w:r>
    </w:p>
    <w:p>
      <w:pPr>
        <w:spacing w:after="0" w:line="138" w:lineRule="exact"/>
        <w:rPr>
          <w:sz w:val="20"/>
          <w:szCs w:val="20"/>
          <w:color w:val="auto"/>
        </w:rPr>
      </w:pPr>
    </w:p>
    <w:p>
      <w:pPr>
        <w:ind w:right="520" w:firstLine="456"/>
        <w:spacing w:after="0" w:line="335" w:lineRule="auto"/>
        <w:rPr>
          <w:sz w:val="20"/>
          <w:szCs w:val="20"/>
          <w:color w:val="auto"/>
        </w:rPr>
      </w:pPr>
      <w:r>
        <w:rPr>
          <w:rFonts w:ascii="Arial" w:cs="Arial" w:eastAsia="Arial" w:hAnsi="Arial"/>
          <w:sz w:val="15"/>
          <w:szCs w:val="15"/>
          <w:color w:val="auto"/>
        </w:rPr>
        <w:t>Income from operations increased 11.7% to Ps. 11,447 million in 2007, as compared to Ps. 10,251 million in 2006. Brazil, Colombia and Venezuela accounted for the majority of the incremental growth and more than offset a slight operating income decline in Mexico. Operating margin increased 0.5 percentage points to reach 16.5% of total revenues in 2007, mainly driven by the improved operating leverage that resulted from higher revenues.</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FEMSA Cerveza total revenues increased 4.3% to Ps. 39,566 million in 2007 as compared to Ps. 37,919 million in 2006. Beer sales increased 5.4% to Ps. 36,457 million in 2007 compared to Ps. 34,602 million in 2006 and represent 92.1% of total revenues in 2007. Total revenue growth was primarily driven by higher volumes which more than offset the decline in lower third-party packaging revenues driven by a higher percentage of our packaging production going to internal demand as opposed to third-party sales; and the 0.6% decline in average price per hectoliter in real terms, resulting from lower average price per hectoliter in all our operations. Mexico beer revenues represented 68.8% of total revenues in 2007 compared to 69.2% in 2006. Brazil beer revenues represented 14.9% of total revenues in 2007, up from 14.2% in 2006. Export beer revenues reached 8.4% of total revenues in 2007, up from 7.9% in 2006.</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Mexico sales volume increased 3.9% to 26.962 million hectoliters in 2007, despite strong comparable growth figures in 2006 and adverse weather conditions mainly in the first and third quarters of 2007. Growth was driven by our Tecate, Sol and Indio brand families throughout the country. Mexico price per hectoliter remained almost flat in real terms at Ps. 1,009.4 in 2007.</w:t>
      </w:r>
    </w:p>
    <w:p>
      <w:pPr>
        <w:spacing w:after="0" w:line="140"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Brazil sales volume increased 9.6% to 9.795 million hectoliters in 2007 compared to 8.935 million hectoliters in 2006, outpacing the growth of the Brazilian beer industry. This growth reflects positive trends for our brand portfolio that continue to develop according to FEMSA Cerveza’s plan for these operations. Brazil price per hectoliter decreased 0.2% over 2006 in real terms to Ps. 602.7 in 2007.</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Export sales volumes increased 13.2% compared to 2006 reaching 3.183 million hectoliters compared to 2.811 million hectoliters in 2006, primarily driven by increased demand for our Dos Equis and Tecate brands in the U.S. and for our Sol brand in other key markets. Export price per hectoliter decreased 1.0% compared to 2006 to Ps. 1,048.9 in 2007.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Cost of sales increased 8.5% to Ps. 17,889 million in 2007 compared to Ps. 16,487 million in 2006, mainly driven by 5.9% total volume growth, higher raw material prices, particularly aluminum and grains, and incremental volumes coming from non-returnable presentations. Gross profit reached Ps. 21,677 million in 2007 an increase of 1.1% as compared to Ps. 21,432 million in 2006. Gross margin decreased 1.7 percentage points from 56.5% in 2006 to 54.8% in 2007.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6"/>
          <w:szCs w:val="16"/>
          <w:color w:val="auto"/>
        </w:rPr>
        <w:t>Operating expenses increased 6.3% to Ps. 16,273 million in 2007 compared to Ps. 15,312 million in 2006. Administrative expenses slightly increased 0.8% to Ps. 4,316 million in 2007 compared to Ps. 4,283 million in 2006. Selling expenses increased 8.4% to Ps. 11,957 million in 2007 as compared to Ps.</w:t>
      </w:r>
    </w:p>
    <w:p>
      <w:pPr>
        <w:jc w:val="both"/>
        <w:spacing w:after="0" w:line="255" w:lineRule="auto"/>
        <w:rPr>
          <w:sz w:val="20"/>
          <w:szCs w:val="20"/>
          <w:color w:val="auto"/>
        </w:rPr>
      </w:pPr>
      <w:r>
        <w:rPr>
          <w:rFonts w:ascii="Arial" w:cs="Arial" w:eastAsia="Arial" w:hAnsi="Arial"/>
          <w:sz w:val="18"/>
          <w:szCs w:val="18"/>
          <w:color w:val="auto"/>
        </w:rPr>
        <w:t>11,029 million in 2006, mainly due to continued investment in channel development and brand-building activities for Sol and Tecate in Mexico as well as for Dos Equis and Tecate in the U.S. and stepped-up marketing activities in Brazil in connection with our Sol and Kaiser brands. Income from operations decreased 11.7% to Ps. 5,404 million in 2007, to 13.7% of consolidated total revenues.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FEMSA Comercio total revenues increased 14.3% to Ps. 42,103 million in 2007 compared to Ps. 36,835 million in 2006, primarily as a result of the opening of 716 net new OXXO stores during 2007 and same-store sales growth. As of December 31, 2007, there were a total of 5,563 OXXO stores in Mexico. This is OXXO’s 12th consecutive year of increasing the number of new store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openings. OXXO same-store sales increased on average 3.3% compared to 2006, due to a 4.4% increase in store traffic, which was driven by broader mix of products and services, which more than offset a decrease of 1.1% in average customer ticket. Traffic and ticket dynamics reflect the introduction of electronic air-time sales for customers of wireless telephone carriers, launched in recent months across the country, which drive incremental traffic to the store and for which only the margin is recorded, not the total revenues coming from the air-time recharge.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Cost of sales increased 12.9% to Ps. 30,301 million in 2007, below total revenue growth, compared with Ps. 26,839 million in 2006. As a result, gross profit reached Ps. 11,802 million in 2007, which represented an 18.1% increase from 2006. Gross margin expanded 0.9 percentage points to reach 28.0% of total revenues. This improvement was driven by better pricing strategies, improved commercial terms with our supplier partners, as well as by growth coming from higher-margin categories such as fast food, coffee and alternative beverages.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Operating expenses increased 13.9% to Ps. 9,487 million in 2007 compared with Ps. 8,332 million in 2006. Administrative expenses decreased 0.4% to Ps. 751 million in 2007 compared with Ps. 754 million in 2006 primarily as our initial capitalized investments in the Oracle ERP system have been fully amortized, and due to a lesser extent to broad expense-containment initiatives. Selling expenses as a percentage of total revenues remained stable at 20.7% in 2007, an increase of 15.3% in 2007 compared with Ps. 7,578 million in 2006. Income from operations increased 39.1% to Ps. 2,315 million in 2007 compared with Ps. 1,664 million in 2006, resulting in an operating margin expansion of 1.0 percentage point to 5.5% as a percentage of total revenues for the year, compared with 4.5% in 2006. This margin expansion was driven by gross margin expansion and by better fixed-expense absorption resulting from higher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Result of Financing</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Net interest expense reached Ps. 3,785 million in 2007 compared with Ps. 3,507 million in 2006 mainly driven by higher interest expense derived from an increase in average total debt during the year. Foreign exchange (loss/gain) amounted to a gain of Ps. 691 million in 2007 compared with a loss of Ps. 217 million in 2006. This gain resulted due to appreciation of the Mexican peso and the Brazilian reais as applied to our U.S. dollar-denominated debt position in 2007.</w:t>
      </w:r>
    </w:p>
    <w:p>
      <w:pPr>
        <w:spacing w:after="0" w:line="8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Monetary position amounted to a gain of Ps. 1,639 million in 2007 compared with a gain of Ps. 1,488 million in 2006. This gain in 2007 represents the positive effects of inflation on monetary items on our increased liabilities recorded in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Beginning in 2007, pursuant to Mexican Financial Reporting Standards, we recorded employee profit sharing as part of “other expenses” instead of presenting it within the taxes line. For comparison purposes, we also reflect this change in the information presented for prior periods. Our employee profit sharing expenses amounted to Ps. 553 million in 2007 compared to Ps. 530 million in 2006. Excluding employee profit sharing, other expenses, net decreased 33.6% to Ps. 744 million in 2007 from Ps. 1,120 million in 2006, driven by extraordinary items recorded for strategic projects, mainly at Coca-Cola FEMSA, in 2006.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provision for income taxes in 2007 was Ps. 4,950 million compared to Ps. 4,608 million in 2006, resulting in an effective tax rate of 29.3% compared to 31.8% in 2006, mainly driven by a reduction in the statutory income tax rate in Mexico from 29% in 2006 to 28% in 2007 and less non-deductible expenses.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Net income increased 21.1% to Ps. 11,936 million in 2007 compared to Ps. 9,860 million in 2006, driven by income from operations growth and a shift from a loss in foreign exchange in 2006 to a gain in 2007.</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majority income amounted to Ps. 8,511 million in 2007 compared to Ps. 7,127 million in 2006, an increase of 19.4%. Net majority income in 2007 per FEMSA Unit was Ps. 2.38 ($2.18 per ADS).</w:t>
      </w:r>
    </w:p>
    <w:p>
      <w:pPr>
        <w:spacing w:after="0" w:line="207" w:lineRule="exact"/>
        <w:rPr>
          <w:sz w:val="20"/>
          <w:szCs w:val="20"/>
          <w:color w:val="auto"/>
        </w:rPr>
      </w:pPr>
    </w:p>
    <w:p>
      <w:pPr>
        <w:ind w:right="3660"/>
        <w:spacing w:after="0" w:line="347" w:lineRule="auto"/>
        <w:rPr>
          <w:sz w:val="20"/>
          <w:szCs w:val="20"/>
          <w:color w:val="auto"/>
        </w:rPr>
      </w:pPr>
      <w:r>
        <w:rPr>
          <w:rFonts w:ascii="Arial" w:cs="Arial" w:eastAsia="Arial" w:hAnsi="Arial"/>
          <w:sz w:val="18"/>
          <w:szCs w:val="18"/>
          <w:b w:val="1"/>
          <w:bCs w:val="1"/>
          <w:color w:val="auto"/>
        </w:rPr>
        <w:t>Results of Operations for Year Ended December 31, 2006 Compared to Year Ended December 31, 2005 FEMSA Consolidated</w:t>
      </w:r>
    </w:p>
    <w:p>
      <w:pPr>
        <w:spacing w:after="0" w:line="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2006, FEMSA Cerveza acquired 99.83% of the Brazilian brewer, Cervejarias Kaiser, or Kaiser, through a series of transactions with Molson Coors and Heineken N.V. The following discussion of our consolidated results for 2006 fully reflects the inclusion of the results for Brazilian beer operations in 2006. However, because we did not own Brazilian beer operations prior to this period, our consolidated results and FEMSA Cerveza’s results for 2006 are not fully comparable to the prior period.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Consolidated total revenues increased 13.9% to Ps. 136,120 million in 2006 compared to Ps. 119,462 million in 2005. All of FEMSA’s operations—soft drinks, beer, and retail—contributed to this revenue growth. FEMSA Cerveza was the largest contributor to consolidated total revenue growth in 2006, representing approximately 51.1% of the increase, due to the inclusion of its newly acquired Brazilian beer operations and a 9.3% increase in Mexico beer sales, which reached Ps. 26,227 million in 2006. The remaining growth came primarily from FEMSA Comercio and Coca-Cola FEMSA. FEMSA Comercio’s total revenues increased 18.7% to Ps. 36,835 million, due in large part to the 706 net new stores opened during the year. Coca-Cola FEMSA’s total revenues increased 7.4% to Ps. 64,046 million, mainly due to increased prices and strong volume growth throughout most of its nine countries of operation. This increase was partially offset by Mexico’s continued pricing pressure, which was partly compensated for by price improvements in the other areas.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Consolidated cost of sales increased 15.1 % to Ps. 73,366 million in 2006 compared to Ps. 63,721 million in 2005. Approximately 79% of this increase resulted from FEMSA Comercio and its OXXO store expansion, and to FEMSA Cerveza, which increased its costs of sales due to the acquisition of Brazilian beer operations.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Consolidated gross profit increased 12.6% to Ps. 62,754 million in 2006 compared to Ps. 55,741 million in 2005. Approximately 52% of this increase resulted from FEMSA Cerveza, due to the inclusion of its newly acquired Brazilian operations. Gross margin decreased 0.6 percentage points to 46.1% of consolidated total revenues in 2006, compared to 46.7% of consolidated total revenues in 2005. The slight decline in consolidated gross margin from 2005 levels resulted from the inclusion of FEMSA Cerveza’s lower margin beer operations in Brazil, and the increased contribution of FEMSA Comercio in our consolidated financial results, which has lower gross margin relative to our other operations, typical of convenience and retail store formats.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Consolidated operating expenses increased 15.6% to Ps. 44,287 million in 2006 compared to Ps. 38,302 million in 2005. Approximately 56% of this increase was due to FEMSA Cerveza, which increased expenses year-over-year due to the inclusion of its newly acquired Brazilian operations and increased selling expenses in the Mexican market, primarily for advertising and market-related initiatives. As a percentage of total revenues, consolidated operating expenses increase 0.5 percentage points to reach 32.5% in 2006 compared with 32.0% in 2005.</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Consolidated administrative expenses increased 12.8% to Ps. 8,973 million in 2006 compared to Ps. 7,957 million in 2005. As a percentage of total revenues, consolidated administrative expenses decreased 0.1 percentage points to reach 6.6% in 2006 compared with 6.7% in 2005. The lower level of administrative expenses relative to total revenue growth resulted from a 0.1% reduction in administrative expenses at Coca-Cola FEMSA and stable administrative expenses as percentage of total revenues at FEMSA Cerveza (excluding Brazil) and FEMSA Comercio.</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Consolidated selling expenses increased 16.4% to Ps. 35,314 million in 2006 as compared to Ps. 30,345 million in 2005. Approximately 56% of this increase was due to FEMSA Cerveza and the inclusion of its newly acquired Brazilian operations, and 27% to FEMSA Comercio’s rapid rate of growth. As a percentage of total beer revenues, selling expenses increased 0.6 percentage points to reach 25.9% in 2006 compared to 25.3% in 2005.</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2006 and 2005, our distribution costs amounted to Ps. 9,921 million and Ps. 9,273 million, respectively. The exclusion of these charges from our cost of sales may result in the amounts reported as gross profit not being comparable to other companies that may include all expenses related to their distribution network in cost of sales when calculating gross profit or an equivalent measure.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Consolidated income from operations increased 5.9% to Ps. 18,467 million in 2006 as compared to Ps. 17,439 million in 2005. Over one-third of this increase resulted from FEMSA Cerveza and its top-line growth combined with gross margin improvements that offset increased operating expenses and the negative impact from the inclusion of the newly acquired Brazilian operations. The remaining amount is attributable to FEMSA Comercio and Coca-Cola FEMSA, representing approximately 30% and 27% respectively. Consolidated operating margin decreased 1.0 percentage point from 2005 levels to 13.6% of consolidated total revenues in 2006. The decrease in operating margin was primarily attributable to the inclusion of FEMSA Cerveza’s Brazilian beer operations, which generated a loss of Ps. 94 million due partly to increased marketing expenses for the brand Kaiser and in part to the launch of the brand Sol, to a margin contraction at our key beverage operations, and to the increased contribution of the OXXO retail chain, which has the lowest operating margin relative to our other core beverage operations.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Some of our subsidiaries pay management fees to us in consideration for corporate services provided to them. These fees are recorded as administrative expenses in the respective business segments. Our subsidiaries’ payments of management fees are eliminated in consolidation and, therefore, have no effect on our consolidated operating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Coca-Cola FEMSA’s total revenues increased 7.4% to Ps. 64,046 million in 2006 compared to Ps. 59,642 million in 2005. Net sales increased 7.8% to Ps. 63,820 million in 2006 compared to Ps. 59,181 million in 2005 and represented 99.6% of total revenues in 2006. Total revenue growth primarily resulted from Brazil, Mexico and Venezuela, accounting for approximately 36%, 18% and 17%of the incremental total revenues, respectively.</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Sales volume reached 1,998 million unit cases in 2006 compared to 1,889 million unit cases in 2005, which represents an increase of 5.8%, mainly driven by a 6.4% volume growth of the Coca-Cola brand, which accounted for almost 70% of incremental volume. Sales volume growth in Mexico and Brazil, accounted for over 57% of our incremental volume. Sparkling beverage sales volume grew 5.8% to 1,694.7 million unit cases, driven by incremental volume across all of our territories.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Average price per unit case (calculated by dividing net sales by total sales volume excluding beer in Brazil) remained flat in real terms at Ps. 31.56 (US$ 2.61) during 2006, due to price increases in all our territories except for Mexico and Argentina.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Cost of sales increased 10.4% to Ps. 33,745 million in 2006 compared to Ps. 30,558 million in 2005. As a percentage of sales, cost of sales increased 1.5 percentage points to reach 52.7% of total revenues in 2006, mainly due to higher sweetener costs in all of our operations, combined with higher plastic bottle prices in some of our territories and higher packaging costs due to a packaging mix shift towards non-returnable presentations.</w:t>
      </w:r>
    </w:p>
    <w:p>
      <w:pPr>
        <w:spacing w:after="0" w:line="10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Gross profit increased 4.2% to Ps.30,301 million in 2006 compared to Ps. 29,084 million in 2005, Brazil and Mexico accounted for over 45% of this growth. Gross margin decreased 1.5 percentage points due to higher cost per unit case in all of our territories, except Mexico and Argentina.</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Operating expenses increased 4.9% to Ps. 20,050 million in 2006 compared to Ps. 19,111 million in 2005 mainly as a result of salary increases ahead of inflation in some of the countries in which we operate, higher operating expenses due to increases in maintenance expenses and freight costs in some territories, and higher marketing investment in our major operations in connection with several initiatives intended to reinforce our presence in the market and to build brand equity. As a percentage of total revenues, operating expenses declined from 32.0% in 2005 to 31.3% in 2006 due to higher fixed-cost absorption, driven by incremental volumes and higher average price per unit case. Administrative expenses increased 5.7% to Ps. 3,540 million in 2006 from Ps. 3,348 million in 2005. Selling expenses increased 4.7% to Ps. 16,510 million in 2006 compared to Ps. 15,763 million in 2005. At 25.8% of total revenues, selling expenses decreased 0.7 percentage points from 2005 levels.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After conducting a thorough analysis, performed by a third party, of the current conditions and expected useful life of our cooler inventories in our territories in Mexico, we decided to modify the useful life of Coca-Cola FEMSA’s coolers in Mexico from five to seven years. We made this decision based on Coca-Cola FEMSA’s equipment maintenance policy and our ability to better manage our cooler platform in the marketplace. This change in estimate, which was accounted for prospectively reduced our amortization expenses by Ps. 132 million in 2006, and increased our operating income by a similar amount.</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Income from operations increased 2.8% to Ps. 10,251 million in 2006 compared to Ps. 9,973 million in 2005 as a result of higher fixed-cost absorption due to higher revenues. Growth in operating income in Colombia, Central America and Brazil more than compensated for flat operating income in Mexico and a decline in Venezuela and Argentina. Operating margin decreased by 0.7 percentage points to 16.0% in 2006 compared to 16.7% in 2005, mainly due to higher cost per unit case.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FEMSA Cerveza total revenues increased 27.3% to Ps. 37,919 million in 2006 as compared to Ps. 29,768 million in 2005. Net sales, which include beer and packaging sales, represented 99.4% of total revenues. This growth was primarily due to the inclusion of FEMSA Cerveza’s Brazilian operations, which represented approximately 66% of the increase in total revenues. The remaining growth came from a 9.6% increase in export beer sales, a 9.3% increase in Mexican beer sales and a 6.5% increase in packaging sales.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Mexico sales volume increased 5.6% to 25.951 million hectoliters in 2006 compared to 24.580 million hectoliters in 2005. The increased product innovation, broader availability of our beers, successful execution at the point of sale, revenue management initiatives and continued strength in consumer demand, produced this top-line growth. Most notable was the growth of our </w:t>
      </w:r>
      <w:r>
        <w:rPr>
          <w:rFonts w:ascii="Arial" w:cs="Arial" w:eastAsia="Arial" w:hAnsi="Arial"/>
          <w:sz w:val="18"/>
          <w:szCs w:val="18"/>
          <w:i w:val="1"/>
          <w:iCs w:val="1"/>
          <w:color w:val="auto"/>
        </w:rPr>
        <w:t>Tecate Light</w:t>
      </w:r>
      <w:r>
        <w:rPr>
          <w:rFonts w:ascii="Arial" w:cs="Arial" w:eastAsia="Arial" w:hAnsi="Arial"/>
          <w:sz w:val="18"/>
          <w:szCs w:val="18"/>
          <w:color w:val="auto"/>
        </w:rPr>
        <w:t xml:space="preserve"> and </w:t>
      </w:r>
      <w:r>
        <w:rPr>
          <w:rFonts w:ascii="Arial" w:cs="Arial" w:eastAsia="Arial" w:hAnsi="Arial"/>
          <w:sz w:val="18"/>
          <w:szCs w:val="18"/>
          <w:i w:val="1"/>
          <w:iCs w:val="1"/>
          <w:color w:val="auto"/>
        </w:rPr>
        <w:t>Sol</w:t>
      </w:r>
      <w:r>
        <w:rPr>
          <w:rFonts w:ascii="Arial" w:cs="Arial" w:eastAsia="Arial" w:hAnsi="Arial"/>
          <w:sz w:val="18"/>
          <w:szCs w:val="18"/>
          <w:color w:val="auto"/>
        </w:rPr>
        <w:t xml:space="preserve"> brands, which through focused initiatives have shown improved brand equity and health indicators.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Mexico price per hectoliter increased 3.5% to Ps. 1,010.6 in 2006 compared to Ps. 976.2 in 2005. This strength was driven by (1) the higher price realized from volume brought under direct distribution earlier in the year, (2) a positive mix effect and (3) revenue management and other initiatives aimed at optimizing price points per stock keeping unit and channel while selectively adjusting the margin offered to the retailer.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Brazil sales volume was 8.935 million hectoliters in 2006. Brazil price per hectoliter was Ps. 604.1 in 2006.</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Export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Export sales volume increased 15.3% to 2.811 million hectoliters in 2006 compared to 2.438 million hectoliters in 2005. This result was slightly above our expectations, in part due to the contribution of Heineken USA, which enabled us to outpace import category growth in the United States for a second year in a row.</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Export price per hectoliter decreased 5.0% to Ps. 1,059.0 in 2006 compared to Ps. 1,114.5 in 2005. The decrease in export price reflects a negative foreign exchange rate effect due to the year-on-year real strengthening of the peso, and to a lesser extent due to presentation and channel mix effects as your 24-ounce presentation of </w:t>
      </w:r>
      <w:r>
        <w:rPr>
          <w:rFonts w:ascii="Arial" w:cs="Arial" w:eastAsia="Arial" w:hAnsi="Arial"/>
          <w:sz w:val="18"/>
          <w:szCs w:val="18"/>
          <w:i w:val="1"/>
          <w:iCs w:val="1"/>
          <w:color w:val="auto"/>
        </w:rPr>
        <w:t>Tecate</w:t>
      </w:r>
      <w:r>
        <w:rPr>
          <w:rFonts w:ascii="Arial" w:cs="Arial" w:eastAsia="Arial" w:hAnsi="Arial"/>
          <w:sz w:val="18"/>
          <w:szCs w:val="18"/>
          <w:color w:val="auto"/>
        </w:rPr>
        <w:t xml:space="preserve"> continued to grow in the off-premise trade.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Cost of sales increased 37.4% to Ps. 16,487 million in 2006 compared to Ps. 11,998 million in 2005. As a percentage of total revenues, cost of sales increased 3.2 percentage points from 2005. The increase relative to total revenue growth resulted from the inclusion of Brazilian beer operations, which has a lower gross margin compared to Mexico and exports. Excluding Brazilian beer operations, as a percentage of revenues, cost of sales would have decreased 0.5 percentage points from 2005.</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Gross profit reached Ps.21,432 million in 2006 compared to Ps. 17,770 million in 2005, resulting in a gross margin of 56.5% as compared to 59.7%. The 3.2 percentage point decline from 2005 resulted from the inclusion of Brazilian beer operations. Excluding the Brazilian beer operations, the gross margin would have improved 0.5 percentage points from 2005 due to the benefits of volume-driven fixed cost absorption and increased efficiency compensated for upward pricing pressure from raw materials, particularly aluminum.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Operating expenses increased 27.9% to Ps. 15,312 million in 2006 compared to Ps. 11,970 million in 2005. Administrative expenses increased 15.1% to Ps. 4,283 million in 2006 compared to Ps. 3,720 million in 2005. Selling expenses increased 33.7% to Ps. 11,029 million in 2006 as compared with Ps. 8,250 million in 2005, from which 63% corresponds to the inclusion of Brazilian beer operations and the remaining 37% reflects changes in the distribution network, enhancements to our infrastructure and compliance-related activities. Approximately 63% of the increase in selling expenses resulted from the inclusion of the Brazilian beer operations, with most of remaining increase resulting from increased selling expenses in the domestic market due to the expense structure of third-party volume brought into direct distribution in the year, incremental services provided to retailers whose margins we adjust, increased activation at the point of sale and a strengthened commercial sales structure.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Income from operations increased 5.5% to Ps. 6,120 million in 2006 compared to Ps. 5,800 million in 2005. This reflects an increase in total revenues on strong volume growth and pricing, combined with higher cost of sales and operating expenses. The inclusion of Brazil resulted in a reduction of Ps. 94 million in total income from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FEMSA Comercio total revenues increased 18.7% to Ps. 36,835 million in 2006 compared to Ps. 31,021 million in 2005. The increase in total revenues was mainly a result of the aggressive expansion of the OXXO convenience store chain, which added 706 net new OXXO stores during 2006. As of December 31, 2006, we had 4,847 OXXO stores nationwide. This is OXXO’s 11th consecutive year of increasing the number of net new store openings.</w:t>
      </w:r>
    </w:p>
    <w:p>
      <w:pPr>
        <w:spacing w:after="0" w:line="107"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Same-store sales of OXXO increased an average of 8.2% in 2006, reflecting an increase in the average customer ticket of 2.8% and an increase in store traffic of 5.4%. This increase reflects rapid store expansion and stronger category management practices, such as tailored product offerings within the stores.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Cost of sales increased 17.8% to Ps. 26,839 million in 2006, below total revenue growth, compared with Ps. 22,792 million in 2005. As a result, gross profit reached Ps. 9,996 million in 2006, which represented a 21.5% increase from 2005. Gross margin expanded 0.6 percentage points to reach 27.1% of total revenues, primarily due to the benefit from increased coordinated efforts with our suppliers to provide what we believe to be the right promotions and right products for consumers.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Operating expenses increased 21.3% to Ps. 8,332 million in 2006 compared with Ps. 6,870 million in 2005. Administrative expenses increased 19.3% to Ps. 754 million in 2006 compared with Ps. 632 million in 2005, due to compliance-related expenses and administrative personnel to support the expanded store base. Selling expenses increased 21.5% to Ps. 7,578 million in 2006 compared with Ps. 6,238 million in 2005, due to an increase in expenses related to the development of direct distribution capabilities, opening of new administrative offices in Colima, Tapachula and Tuxtla, an increase in energy tariffs and consumption as we continue to add to our fast-food capabilities, and increased depreciation expense due to the ongoing renovation of certain OXXO store formats.</w:t>
      </w:r>
    </w:p>
    <w:p>
      <w:pPr>
        <w:spacing w:after="0" w:line="10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Income from operations increased 22.4% to Ps. 1,664 million in 2006 compared with Ps. 1,360 million in 2005. This increase was above revenue growth, and contributed to a 0.1 percentage point increase in operating margin which reached 4.5% in 2006 compared with 4.4% in 2005.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Cost of Financing</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Net interest expense reached Ps. 3,507 million in 2006 compared with Ps. 3,994 million in 2005, resulting from a lower average interest rate and a reduction in peso denominated debt, which has a higher interest rate relative to U.S. dollar-denominated debt.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Foreign exchange (loss/gain) amounted to a loss of Ps. 217 million in 2006 compared with a gain of Ps. 318 million in 2005. This loss resulted from the negative effect of the weakening of the Mexican peso on our U.S. dollar-denominated debt during 2006.</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Monetary position amounted to a gain of Ps. 1,488 million in 2006 compared with a gain of Ps. 1,204 million in 2005. The increase in the amount of our gain in 2006 compared with 2005 reflects the inflation on our increased liabilities recorded in 2006.</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Tax recognized in 2006 amounted to Ps. 4,608 million compared to Ps. 4,620 million in 2005. The 0.26% decrease from 2005 is primarily due a reduction in corporate tax rates. Consequently, the effective tax rate in 2006 was 31.8% compared to 33.7% in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Beginning in 2007, pursuant to Mexican Financial Reporting Standards, we recorded employee profit sharing in the “other expenses” line, instead of recording it in the “income tax” line. For comparison purposes we are reflecting this change in information presented for 2006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income increased 8.7% to Ps. 9,860 million in 2006 compared to Ps. 9,073 million in 2005. This increase was due to growth of 6.0% in income from operations combined with a 12.2% decrease in net interest expense, higher gains on monetary position of 23.6%, and a reduction in the effective tax rate, partially offset by an increase in other expenses.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Net majority income amounted to Ps. 7,127 million in 2006 compared with Ps. 5,951 million in 2005, an increase of 19.8% from 2005 levels. Net majority income per FEMSA Unit was Ps. 1.992 in 2006. Net majority income per FEMSA ADS, considering an exchange rate of Ps. 10.9169 per dollar, was US $1.824 in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Each of our sub-holding companies generally finances its operational and capital requirements on an independent basis. As of December 31, 2007, 74.5% of our outstanding consolidated indebtedness was at the level of our sub-holding companies. This structure is attributable, in part, to the inclusion of third parties in the capital structure of Coca-Cola FEMSA. Currently, we expect to continue to finance our operations and capital requirements primarily at the level of our sub-holding companies. Nonetheless, we may decide to incur indebtedness at our holding company in the future to finance the operations and capital requirements of our subsidiaries or significant acquisitions, investments or capital expenditures. As a holding company, we depend on dividends and other distributions from our subsidiaries to service our indebtedness.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continuously evaluate opportunities to pursue acquisitions or engage in joint ventures or other transactions. We would expect to finance any significant future transactions with a combination of cash from operations, long-term indebtedness and capital stock.</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principal source of liquidity of each sub-holding company has generally been cash generated from operations. We have traditionally been able to rely on cash generated from operations because a significant majority of the sales of Coca-Cola FEMSA, FEMSA Cerveza and FEMSA Comercio are on a cash or short-term credit basis, and FEMSA Comercio’s OXXO stores are able to finance a significant portion of their initial and ongoing inventories with supplier credit. Our principal use of cash has generally been for capital expenditure programs, debt repayment and dividend payments. The following is a summary of the principal uses of cash for the three years ended December 31, 2007: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Uses of Cash</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6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7"/>
              </w:rPr>
              <w:t>For the Year Ended December 31,</w:t>
            </w:r>
          </w:p>
        </w:tc>
      </w:tr>
      <w:tr>
        <w:trPr>
          <w:trHeight w:val="142"/>
        </w:trPr>
        <w:tc>
          <w:tcPr>
            <w:tcW w:w="87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87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(in millions</w:t>
            </w:r>
          </w:p>
        </w:tc>
        <w:tc>
          <w:tcPr>
            <w:tcW w:w="1900" w:type="dxa"/>
            <w:vAlign w:val="bottom"/>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of constant Mexican pesos)</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resources generated by operations</w:t>
            </w:r>
          </w:p>
        </w:tc>
        <w:tc>
          <w:tcPr>
            <w:tcW w:w="9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3"/>
              </w:rPr>
              <w:t>Ps. 18,022</w:t>
            </w: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Ps. 16,934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Ps. 15,192</w:t>
            </w:r>
          </w:p>
        </w:tc>
      </w:tr>
      <w:tr>
        <w:trPr>
          <w:trHeight w:val="216"/>
        </w:trPr>
        <w:tc>
          <w:tcPr>
            <w:tcW w:w="8780" w:type="dxa"/>
            <w:vAlign w:val="bottom"/>
          </w:tcPr>
          <w:p>
            <w:pPr>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(1)</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(11,257)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(7,508)</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notes</w:t>
            </w:r>
          </w:p>
        </w:tc>
        <w:tc>
          <w:tcPr>
            <w:tcW w:w="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(1,191)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(12,457)</w:t>
            </w: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(1,909)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property, plant and equipment plus intangible assets and other assets.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sub-holding companies generally incur short-term indebtedness in the event that they are temporarily unable to finance operations or meet any capital requirements with cash from operations. A significant decline in the business of any of our sub-holding companies may affect the sub-holding company’s ability to fund its capital requirements. A significant and prolonged deterioration in the economies in which we operate or in our businesses may affect our ability to obtain short-term and long-term credit or to refinance existing indebtedness on terms satisfactory to 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traditionally financed significant acquisitions, principally Coca-Cola FEMSA’s acquisition of Coca-Cola Buenos Aires in 1994 and its acquisition of Panamco in May 2003 and our acquisition of the 30% interest in FEMSA Cerveza owned by affiliates of InBev in August 2004, capital expenditures and other capital requirements that could not be financed with cash from operations by incurring long-term indebtedness and through the issuance of equity.</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consolidated total indebtedness was Ps. 40,029 million as of December 31, 2007, as compared to Ps. 42,419 million as of December 31, 2006. Short-term debt (including maturities of long-term debt) and long-term debt were Ps. 9,364 million and Ps. 30,665 million, respectively, as of December 31, 2007, as compared to Ps. 6,746 million and Ps. 35,673 million, respectively, as of December 31, 2006. Cash and cash equivalents were Ps. 10,456 million as of December 31, 2007, as compared to Ps. 8,766 million as of December 31, 2006.</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believe that our sources of liquidity as of December 31, 2007 were adequate for the conduct of our sub-holding companies’ businesses and that we will have sufficient funds available to meet our expenditure demands and financing needs in 2008 and in the following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contractual obligations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Maturity</w:t>
            </w: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29"/>
        </w:trPr>
        <w:tc>
          <w:tcPr>
            <w:tcW w:w="73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In excess of 5</w:t>
            </w:r>
          </w:p>
        </w:tc>
        <w:tc>
          <w:tcPr>
            <w:tcW w:w="800" w:type="dxa"/>
            <w:vAlign w:val="bottom"/>
          </w:tcPr>
          <w:p>
            <w:pPr>
              <w:spacing w:after="0"/>
              <w:rPr>
                <w:sz w:val="11"/>
                <w:szCs w:val="11"/>
                <w:color w:val="auto"/>
              </w:rPr>
            </w:pPr>
          </w:p>
        </w:tc>
      </w:tr>
      <w:tr>
        <w:trPr>
          <w:trHeight w:val="161"/>
        </w:trPr>
        <w:tc>
          <w:tcPr>
            <w:tcW w:w="7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1 - 3 years</w:t>
            </w:r>
          </w:p>
        </w:tc>
        <w:tc>
          <w:tcPr>
            <w:tcW w:w="12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3 - 5 years</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r>
      <w:tr>
        <w:trPr>
          <w:trHeight w:val="142"/>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18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millions of Mexican pesos)</w:t>
            </w:r>
          </w:p>
        </w:tc>
        <w:tc>
          <w:tcPr>
            <w:tcW w:w="800" w:type="dxa"/>
            <w:vAlign w:val="bottom"/>
          </w:tcPr>
          <w:p>
            <w:pPr>
              <w:spacing w:after="0"/>
              <w:rPr>
                <w:sz w:val="12"/>
                <w:szCs w:val="12"/>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Ps. 5,093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6"/>
              </w:rPr>
              <w:t>Ps. 4,840</w:t>
            </w: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7"/>
              </w:rPr>
              <w:t>Ps. 8,487</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5"/>
              </w:rPr>
              <w:t>Ps. 11,934</w:t>
            </w:r>
          </w:p>
        </w:tc>
        <w:tc>
          <w:tcPr>
            <w:tcW w:w="800" w:type="dxa"/>
            <w:vAlign w:val="bottom"/>
          </w:tcPr>
          <w:p>
            <w:pPr>
              <w:jc w:val="right"/>
              <w:spacing w:after="0"/>
              <w:rPr>
                <w:sz w:val="20"/>
                <w:szCs w:val="20"/>
                <w:color w:val="auto"/>
              </w:rPr>
            </w:pPr>
            <w:r>
              <w:rPr>
                <w:rFonts w:ascii="Arial" w:cs="Arial" w:eastAsia="Arial" w:hAnsi="Arial"/>
                <w:sz w:val="18"/>
                <w:szCs w:val="18"/>
                <w:color w:val="auto"/>
                <w:w w:val="90"/>
              </w:rPr>
              <w:t>Ps. 30,354</w:t>
            </w: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r>
      <w:tr>
        <w:trPr>
          <w:trHeight w:val="216"/>
        </w:trPr>
        <w:tc>
          <w:tcPr>
            <w:tcW w:w="7300" w:type="dxa"/>
            <w:vAlign w:val="bottom"/>
          </w:tcPr>
          <w:p>
            <w:pPr>
              <w:ind w:left="440"/>
              <w:spacing w:after="0" w:line="217" w:lineRule="exact"/>
              <w:rPr>
                <w:sz w:val="20"/>
                <w:szCs w:val="20"/>
                <w:color w:val="auto"/>
              </w:rPr>
            </w:pPr>
            <w:r>
              <w:rPr>
                <w:rFonts w:ascii="Arial" w:cs="Arial" w:eastAsia="Arial" w:hAnsi="Arial"/>
                <w:sz w:val="18"/>
                <w:szCs w:val="18"/>
                <w:color w:val="auto"/>
              </w:rPr>
              <w:t>Brazilian reais</w:t>
            </w:r>
            <w:r>
              <w:rPr>
                <w:rFonts w:ascii="Arial" w:cs="Arial" w:eastAsia="Arial" w:hAnsi="Arial"/>
                <w:sz w:val="22"/>
                <w:szCs w:val="22"/>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Leases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30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Interest payments</w:t>
            </w:r>
            <w:r>
              <w:rPr>
                <w:rFonts w:ascii="Arial" w:cs="Arial" w:eastAsia="Arial" w:hAnsi="Arial"/>
                <w:sz w:val="22"/>
                <w:szCs w:val="22"/>
                <w:color w:val="auto"/>
                <w:vertAlign w:val="superscript"/>
              </w:rPr>
              <w:t>(2)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680" w:type="dxa"/>
            <w:vAlign w:val="bottom"/>
          </w:tcPr>
          <w:p>
            <w:pPr>
              <w:jc w:val="right"/>
              <w:spacing w:after="0"/>
              <w:rPr>
                <w:sz w:val="20"/>
                <w:szCs w:val="20"/>
                <w:color w:val="auto"/>
              </w:rPr>
            </w:pPr>
            <w:r>
              <w:rPr>
                <w:rFonts w:ascii="Arial" w:cs="Arial" w:eastAsia="Arial" w:hAnsi="Arial"/>
                <w:sz w:val="18"/>
                <w:szCs w:val="18"/>
                <w:color w:val="auto"/>
              </w:rPr>
              <w:t>2,546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4,052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3,155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c>
          <w:tcPr>
            <w:tcW w:w="800" w:type="dxa"/>
            <w:vAlign w:val="bottom"/>
          </w:tcPr>
          <w:p>
            <w:pPr>
              <w:jc w:val="right"/>
              <w:spacing w:after="0"/>
              <w:rPr>
                <w:sz w:val="20"/>
                <w:szCs w:val="20"/>
                <w:color w:val="auto"/>
              </w:rPr>
            </w:pPr>
            <w:r>
              <w:rPr>
                <w:rFonts w:ascii="Arial" w:cs="Arial" w:eastAsia="Arial" w:hAnsi="Arial"/>
                <w:sz w:val="18"/>
                <w:szCs w:val="18"/>
                <w:color w:val="auto"/>
              </w:rPr>
              <w:t>12,042</w:t>
            </w: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Brazilian reais</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30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Interest rate swaps</w:t>
            </w:r>
            <w:r>
              <w:rPr>
                <w:rFonts w:ascii="Arial" w:cs="Arial" w:eastAsia="Arial" w:hAnsi="Arial"/>
                <w:sz w:val="22"/>
                <w:szCs w:val="22"/>
                <w:color w:val="auto"/>
                <w:vertAlign w:val="superscript"/>
              </w:rPr>
              <w:t>(3)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680" w:type="dxa"/>
            <w:vAlign w:val="bottom"/>
          </w:tcPr>
          <w:p>
            <w:pPr>
              <w:jc w:val="right"/>
              <w:spacing w:after="0"/>
              <w:rPr>
                <w:sz w:val="20"/>
                <w:szCs w:val="20"/>
                <w:color w:val="auto"/>
              </w:rPr>
            </w:pPr>
            <w:r>
              <w:rPr>
                <w:rFonts w:ascii="Arial" w:cs="Arial" w:eastAsia="Arial" w:hAnsi="Arial"/>
                <w:sz w:val="18"/>
                <w:szCs w:val="18"/>
                <w:color w:val="auto"/>
              </w:rPr>
              <w:t>249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331</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430</w:t>
            </w:r>
          </w:p>
        </w:tc>
        <w:tc>
          <w:tcPr>
            <w:tcW w:w="800" w:type="dxa"/>
            <w:vAlign w:val="bottom"/>
          </w:tcPr>
          <w:p>
            <w:pPr>
              <w:jc w:val="right"/>
              <w:spacing w:after="0"/>
              <w:rPr>
                <w:sz w:val="20"/>
                <w:szCs w:val="20"/>
                <w:color w:val="auto"/>
              </w:rPr>
            </w:pPr>
            <w:r>
              <w:rPr>
                <w:rFonts w:ascii="Arial" w:cs="Arial" w:eastAsia="Arial" w:hAnsi="Arial"/>
                <w:sz w:val="18"/>
                <w:szCs w:val="18"/>
                <w:color w:val="auto"/>
              </w:rPr>
              <w:t>1,407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Mexican pesos</w:t>
            </w:r>
          </w:p>
        </w:tc>
        <w:tc>
          <w:tcPr>
            <w:tcW w:w="680" w:type="dxa"/>
            <w:vAlign w:val="bottom"/>
          </w:tcPr>
          <w:p>
            <w:pPr>
              <w:jc w:val="right"/>
              <w:spacing w:after="0"/>
              <w:rPr>
                <w:sz w:val="20"/>
                <w:szCs w:val="20"/>
                <w:color w:val="auto"/>
              </w:rPr>
            </w:pPr>
            <w:r>
              <w:rPr>
                <w:rFonts w:ascii="Arial" w:cs="Arial" w:eastAsia="Arial" w:hAnsi="Arial"/>
                <w:sz w:val="18"/>
                <w:szCs w:val="18"/>
                <w:color w:val="auto"/>
              </w:rPr>
              <w:t>1,309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2,450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2,197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6,639</w:t>
            </w:r>
          </w:p>
        </w:tc>
        <w:tc>
          <w:tcPr>
            <w:tcW w:w="800" w:type="dxa"/>
            <w:vAlign w:val="bottom"/>
          </w:tcPr>
          <w:p>
            <w:pPr>
              <w:jc w:val="right"/>
              <w:spacing w:after="0"/>
              <w:rPr>
                <w:sz w:val="20"/>
                <w:szCs w:val="20"/>
                <w:color w:val="auto"/>
              </w:rPr>
            </w:pPr>
            <w:r>
              <w:rPr>
                <w:rFonts w:ascii="Arial" w:cs="Arial" w:eastAsia="Arial" w:hAnsi="Arial"/>
                <w:sz w:val="18"/>
                <w:szCs w:val="18"/>
                <w:color w:val="auto"/>
              </w:rPr>
              <w:t>12,595</w:t>
            </w: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Brazilian reais</w:t>
            </w: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Commodity price contracts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680" w:type="dxa"/>
            <w:vAlign w:val="bottom"/>
          </w:tcPr>
          <w:p>
            <w:pPr>
              <w:jc w:val="right"/>
              <w:spacing w:after="0"/>
              <w:rPr>
                <w:sz w:val="20"/>
                <w:szCs w:val="20"/>
                <w:color w:val="auto"/>
              </w:rPr>
            </w:pPr>
            <w:r>
              <w:rPr>
                <w:rFonts w:ascii="Arial" w:cs="Arial" w:eastAsia="Arial" w:hAnsi="Arial"/>
                <w:sz w:val="18"/>
                <w:szCs w:val="18"/>
                <w:color w:val="auto"/>
              </w:rPr>
              <w:t>1,905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2,419</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02"/>
        </w:trPr>
        <w:tc>
          <w:tcPr>
            <w:tcW w:w="730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Expected benefits to be paid for pension plans, seniority premiums, post-retirement medical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8"/>
        </w:trPr>
        <w:tc>
          <w:tcPr>
            <w:tcW w:w="7300" w:type="dxa"/>
            <w:vAlign w:val="bottom"/>
          </w:tcPr>
          <w:p>
            <w:pPr>
              <w:ind w:left="220"/>
              <w:spacing w:after="0"/>
              <w:rPr>
                <w:sz w:val="20"/>
                <w:szCs w:val="20"/>
                <w:color w:val="auto"/>
              </w:rPr>
            </w:pPr>
            <w:r>
              <w:rPr>
                <w:rFonts w:ascii="Arial" w:cs="Arial" w:eastAsia="Arial" w:hAnsi="Arial"/>
                <w:sz w:val="18"/>
                <w:szCs w:val="18"/>
                <w:b w:val="1"/>
                <w:bCs w:val="1"/>
                <w:color w:val="auto"/>
              </w:rPr>
              <w:t>benefits and severance indemnities</w:t>
            </w:r>
          </w:p>
        </w:tc>
        <w:tc>
          <w:tcPr>
            <w:tcW w:w="680" w:type="dxa"/>
            <w:vAlign w:val="bottom"/>
          </w:tcPr>
          <w:p>
            <w:pPr>
              <w:jc w:val="right"/>
              <w:spacing w:after="0"/>
              <w:rPr>
                <w:sz w:val="20"/>
                <w:szCs w:val="20"/>
                <w:color w:val="auto"/>
              </w:rPr>
            </w:pPr>
            <w:r>
              <w:rPr>
                <w:rFonts w:ascii="Arial" w:cs="Arial" w:eastAsia="Arial" w:hAnsi="Arial"/>
                <w:sz w:val="18"/>
                <w:szCs w:val="18"/>
                <w:color w:val="auto"/>
              </w:rPr>
              <w:t>639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975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800" w:type="dxa"/>
            <w:vAlign w:val="bottom"/>
          </w:tcPr>
          <w:p>
            <w:pPr>
              <w:jc w:val="right"/>
              <w:spacing w:after="0"/>
              <w:rPr>
                <w:sz w:val="20"/>
                <w:szCs w:val="20"/>
                <w:color w:val="auto"/>
              </w:rPr>
            </w:pPr>
            <w:r>
              <w:rPr>
                <w:rFonts w:ascii="Arial" w:cs="Arial" w:eastAsia="Arial" w:hAnsi="Arial"/>
                <w:sz w:val="18"/>
                <w:szCs w:val="18"/>
                <w:color w:val="auto"/>
              </w:rPr>
              <w:t>4,724</w:t>
            </w:r>
          </w:p>
        </w:tc>
      </w:tr>
      <w:tr>
        <w:trPr>
          <w:trHeight w:val="218"/>
        </w:trPr>
        <w:tc>
          <w:tcPr>
            <w:tcW w:w="7300" w:type="dxa"/>
            <w:vAlign w:val="bottom"/>
            <w:shd w:val="clear" w:color="auto" w:fill="CCEEFF"/>
          </w:tcPr>
          <w:p>
            <w:pPr>
              <w:spacing w:after="0" w:line="218" w:lineRule="exact"/>
              <w:rPr>
                <w:sz w:val="20"/>
                <w:szCs w:val="20"/>
                <w:color w:val="auto"/>
              </w:rPr>
            </w:pPr>
            <w:r>
              <w:rPr>
                <w:rFonts w:ascii="Arial" w:cs="Arial" w:eastAsia="Arial" w:hAnsi="Arial"/>
                <w:sz w:val="18"/>
                <w:szCs w:val="18"/>
                <w:b w:val="1"/>
                <w:bCs w:val="1"/>
                <w:color w:val="auto"/>
              </w:rPr>
              <w:t>Other long-term liabilities</w:t>
            </w:r>
            <w:r>
              <w:rPr>
                <w:rFonts w:ascii="Arial" w:cs="Arial" w:eastAsia="Arial" w:hAnsi="Arial"/>
                <w:sz w:val="22"/>
                <w:szCs w:val="22"/>
                <w:color w:val="auto"/>
                <w:vertAlign w:val="superscript"/>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the effect of a cross currency swap, pursuant to which ¥ 2,416 million of denominated in Japanese yen long-term debt is swapped for Brazilian reais, in the amount of Ps. 230 million.</w:t>
      </w:r>
    </w:p>
    <w:p>
      <w:pPr>
        <w:spacing w:after="0" w:line="5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was calculated using long-term debt as of and interest rate amounts in effect on December 31, 2007 without considering interest rate swaps agreements. The debt and applicable interest rates in effect are shown in note 17 to our audited consolidated financial statements. Liabilities denominated in U.S. dollars were translated to Mexican pesos at an exchange rate of Ps. 10.8662 per U.S. dollar, the exchange rate quoted to us by dealers for the settlement of obligations in foreign currencies on December 31, 2007.</w:t>
      </w:r>
    </w:p>
    <w:p>
      <w:pPr>
        <w:spacing w:after="0" w:line="62"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amount of future payments that we would be required to make. The amounts were calculated by applying the difference between the interest rate swaps and the nominal interest rates contracted to long-term debt as of December 31, 2007.</w:t>
      </w:r>
    </w:p>
    <w:p>
      <w:pPr>
        <w:spacing w:after="0" w:line="50" w:lineRule="exact"/>
        <w:rPr>
          <w:rFonts w:ascii="Arial" w:cs="Arial" w:eastAsia="Arial" w:hAnsi="Arial"/>
          <w:sz w:val="18"/>
          <w:szCs w:val="18"/>
          <w:color w:val="auto"/>
        </w:rPr>
      </w:pPr>
    </w:p>
    <w:p>
      <w:pPr>
        <w:ind w:left="460" w:right="4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long-term liabilities primarily includes contingent liabilities and derivative financial instruments. Other long-term liabilities additionally reflects those liabilities whose maturity date is undefined and depends on a series of circumstances out of our control, therefore these liabilities have been considered to have a maturity of more than five years.</w:t>
      </w:r>
    </w:p>
    <w:p>
      <w:pPr>
        <w:spacing w:after="0" w:line="14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As of December 31, 2007, Ps. 9,364 million of our total consolidated indebtedness was short-term debt (including maturities of long-term debt).</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December 31, 2007, our consolidated average cost of borrowing, after giving effect to the cross currency and interest rate swaps, was approximately 8.7%, very similar to 8.8% in 2006. As of December 31, 2007, after giving effect to cross currency swaps, 76.2% of our total consolidated indebtedness was denominated and payable in Mexican pesos, 20.8% was in U.S. dollars, 1.3% was in Argentine pesos, 1.1% was in Venezuelan bolivars, and the remaining 0.6% was in Brazilian reais.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Debt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allocations of total debt of our company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b w:val="1"/>
                <w:bCs w:val="1"/>
                <w:color w:val="auto"/>
                <w:w w:val="87"/>
              </w:rPr>
              <w:t>Total Debt Profile of the Company</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6100" w:type="dxa"/>
            <w:vAlign w:val="bottom"/>
          </w:tcPr>
          <w:p>
            <w:pPr>
              <w:spacing w:after="0"/>
              <w:rPr>
                <w:sz w:val="11"/>
                <w:szCs w:val="11"/>
                <w:color w:val="auto"/>
              </w:rPr>
            </w:pPr>
          </w:p>
        </w:tc>
        <w:tc>
          <w:tcPr>
            <w:tcW w:w="11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3"/>
              </w:rPr>
              <w:t>FEMSA</w:t>
            </w:r>
          </w:p>
        </w:tc>
        <w:tc>
          <w:tcPr>
            <w:tcW w:w="12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Coca-Cola</w:t>
            </w:r>
          </w:p>
        </w:tc>
        <w:tc>
          <w:tcPr>
            <w:tcW w:w="11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3"/>
              </w:rPr>
              <w:t>FEMSA</w:t>
            </w:r>
          </w:p>
        </w:tc>
        <w:tc>
          <w:tcPr>
            <w:tcW w:w="58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FEMSA</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1"/>
        </w:trPr>
        <w:tc>
          <w:tcPr>
            <w:tcW w:w="6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and others</w:t>
            </w: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FEMSA</w:t>
            </w:r>
          </w:p>
        </w:tc>
        <w:tc>
          <w:tcPr>
            <w:tcW w:w="4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Cerveza</w:t>
            </w:r>
          </w:p>
        </w:tc>
        <w:tc>
          <w:tcPr>
            <w:tcW w:w="44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Comercio</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Total Debt</w:t>
            </w:r>
          </w:p>
        </w:tc>
        <w:tc>
          <w:tcPr>
            <w:tcW w:w="14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60" w:type="dxa"/>
            <w:vAlign w:val="bottom"/>
            <w:gridSpan w:val="5"/>
          </w:tcPr>
          <w:p>
            <w:pPr>
              <w:jc w:val="center"/>
              <w:ind w:right="74"/>
              <w:spacing w:after="0" w:line="142" w:lineRule="exact"/>
              <w:rPr>
                <w:sz w:val="20"/>
                <w:szCs w:val="20"/>
                <w:color w:val="auto"/>
              </w:rPr>
            </w:pPr>
            <w:r>
              <w:rPr>
                <w:rFonts w:ascii="Arial" w:cs="Arial" w:eastAsia="Arial" w:hAnsi="Arial"/>
                <w:sz w:val="14"/>
                <w:szCs w:val="14"/>
                <w:b w:val="1"/>
                <w:bCs w:val="1"/>
                <w:color w:val="auto"/>
                <w:w w:val="85"/>
              </w:rPr>
              <w:t>(in millions of constant Mexican pesos)</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i w:val="1"/>
                <w:iCs w:val="1"/>
                <w:color w:val="auto"/>
              </w:rPr>
              <w:t>U.S. dollars</w:t>
            </w: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8"/>
              </w:rPr>
              <w:t>Ps.   132</w:t>
            </w:r>
          </w:p>
        </w:tc>
        <w:tc>
          <w:tcPr>
            <w:tcW w:w="11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1"/>
              </w:rPr>
              <w:t>Ps.  2,240</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Ps.  2,372</w:t>
            </w:r>
          </w:p>
        </w:tc>
      </w:tr>
      <w:tr>
        <w:trPr>
          <w:trHeight w:val="216"/>
        </w:trPr>
        <w:tc>
          <w:tcPr>
            <w:tcW w:w="6100" w:type="dxa"/>
            <w:vAlign w:val="bottom"/>
          </w:tcPr>
          <w:p>
            <w:pPr>
              <w:spacing w:after="0"/>
              <w:rPr>
                <w:sz w:val="20"/>
                <w:szCs w:val="20"/>
                <w:color w:val="auto"/>
              </w:rPr>
            </w:pPr>
            <w:r>
              <w:rPr>
                <w:rFonts w:ascii="Arial" w:cs="Arial" w:eastAsia="Arial" w:hAnsi="Arial"/>
                <w:sz w:val="18"/>
                <w:szCs w:val="18"/>
                <w:i w:val="1"/>
                <w:iCs w:val="1"/>
                <w:color w:val="auto"/>
              </w:rPr>
              <w:t>Argentine pesos</w:t>
            </w: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r>
      <w:tr>
        <w:trPr>
          <w:trHeight w:val="216"/>
        </w:trPr>
        <w:tc>
          <w:tcPr>
            <w:tcW w:w="6100" w:type="dxa"/>
            <w:vAlign w:val="bottom"/>
          </w:tcPr>
          <w:p>
            <w:pPr>
              <w:spacing w:after="0"/>
              <w:rPr>
                <w:sz w:val="20"/>
                <w:szCs w:val="20"/>
                <w:color w:val="auto"/>
              </w:rPr>
            </w:pPr>
            <w:r>
              <w:rPr>
                <w:rFonts w:ascii="Arial" w:cs="Arial" w:eastAsia="Arial" w:hAnsi="Arial"/>
                <w:sz w:val="18"/>
                <w:szCs w:val="18"/>
                <w:i w:val="1"/>
                <w:iCs w:val="1"/>
                <w:color w:val="auto"/>
              </w:rPr>
              <w:t>Venezuelan bolivars</w:t>
            </w: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425</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r>
      <w:tr>
        <w:trPr>
          <w:trHeight w:val="216"/>
        </w:trPr>
        <w:tc>
          <w:tcPr>
            <w:tcW w:w="6100" w:type="dxa"/>
            <w:vAlign w:val="bottom"/>
          </w:tcPr>
          <w:p>
            <w:pPr>
              <w:spacing w:after="0"/>
              <w:rPr>
                <w:sz w:val="20"/>
                <w:szCs w:val="20"/>
                <w:color w:val="auto"/>
              </w:rPr>
            </w:pPr>
            <w:r>
              <w:rPr>
                <w:rFonts w:ascii="Arial" w:cs="Arial" w:eastAsia="Arial" w:hAnsi="Arial"/>
                <w:sz w:val="18"/>
                <w:szCs w:val="18"/>
                <w:i w:val="1"/>
                <w:iCs w:val="1"/>
                <w:color w:val="auto"/>
              </w:rPr>
              <w:t>Mexican pesos</w:t>
            </w: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150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r>
      <w:tr>
        <w:trPr>
          <w:trHeight w:val="324"/>
        </w:trPr>
        <w:tc>
          <w:tcPr>
            <w:tcW w:w="6100" w:type="dxa"/>
            <w:vAlign w:val="bottom"/>
          </w:tcPr>
          <w:p>
            <w:pPr>
              <w:spacing w:after="0"/>
              <w:rPr>
                <w:sz w:val="20"/>
                <w:szCs w:val="20"/>
                <w:color w:val="auto"/>
              </w:rPr>
            </w:pPr>
            <w:r>
              <w:rPr>
                <w:rFonts w:ascii="Arial" w:cs="Arial" w:eastAsia="Arial" w:hAnsi="Arial"/>
                <w:sz w:val="18"/>
                <w:szCs w:val="18"/>
                <w:b w:val="1"/>
                <w:bCs w:val="1"/>
                <w:color w:val="auto"/>
              </w:rPr>
              <w:t>Long-term Debt</w:t>
            </w:r>
            <w:r>
              <w:rPr>
                <w:rFonts w:ascii="Arial" w:cs="Arial" w:eastAsia="Arial" w:hAnsi="Arial"/>
                <w:sz w:val="22"/>
                <w:szCs w:val="22"/>
                <w:b w:val="1"/>
                <w:bCs w:val="1"/>
                <w:color w:val="auto"/>
                <w:vertAlign w:val="superscript"/>
              </w:rPr>
              <w:t>(1)</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Mexican pesos: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Notes</w:t>
            </w:r>
          </w:p>
        </w:tc>
        <w:tc>
          <w:tcPr>
            <w:tcW w:w="740" w:type="dxa"/>
            <w:vAlign w:val="bottom"/>
          </w:tcPr>
          <w:p>
            <w:pPr>
              <w:jc w:val="right"/>
              <w:spacing w:after="0"/>
              <w:rPr>
                <w:sz w:val="20"/>
                <w:szCs w:val="20"/>
                <w:color w:val="auto"/>
              </w:rPr>
            </w:pPr>
            <w:r>
              <w:rPr>
                <w:rFonts w:ascii="Arial" w:cs="Arial" w:eastAsia="Arial" w:hAnsi="Arial"/>
                <w:sz w:val="18"/>
                <w:szCs w:val="18"/>
                <w:color w:val="auto"/>
              </w:rPr>
              <w:t>6,000</w:t>
            </w:r>
          </w:p>
        </w:tc>
        <w:tc>
          <w:tcPr>
            <w:tcW w:w="4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8,250</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14,250</w:t>
            </w:r>
          </w:p>
        </w:tc>
      </w:tr>
      <w:tr>
        <w:trPr>
          <w:trHeight w:val="216"/>
        </w:trPr>
        <w:tc>
          <w:tcPr>
            <w:tcW w:w="610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Bank loans</w:t>
            </w:r>
            <w:r>
              <w:rPr>
                <w:rFonts w:ascii="Arial" w:cs="Arial" w:eastAsia="Arial" w:hAnsi="Arial"/>
                <w:sz w:val="22"/>
                <w:szCs w:val="22"/>
                <w:color w:val="auto"/>
                <w:vertAlign w:val="superscript"/>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4,549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13,596</w:t>
            </w:r>
          </w:p>
        </w:tc>
      </w:tr>
      <w:tr>
        <w:trPr>
          <w:trHeight w:val="216"/>
        </w:trPr>
        <w:tc>
          <w:tcPr>
            <w:tcW w:w="6100" w:type="dxa"/>
            <w:vAlign w:val="bottom"/>
          </w:tcPr>
          <w:p>
            <w:pPr>
              <w:spacing w:after="0"/>
              <w:rPr>
                <w:sz w:val="20"/>
                <w:szCs w:val="20"/>
                <w:color w:val="auto"/>
              </w:rPr>
            </w:pPr>
            <w:r>
              <w:rPr>
                <w:rFonts w:ascii="Arial" w:cs="Arial" w:eastAsia="Arial" w:hAnsi="Arial"/>
                <w:sz w:val="18"/>
                <w:szCs w:val="18"/>
                <w:i w:val="1"/>
                <w:iCs w:val="1"/>
                <w:color w:val="auto"/>
              </w:rPr>
              <w:t>U.S. dollars: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Yankee bond</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3,199</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3,199</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Bank loans</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1,847</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914</w:t>
            </w:r>
          </w:p>
        </w:tc>
        <w:tc>
          <w:tcPr>
            <w:tcW w:w="4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2,761</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Leasing</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324"/>
        </w:trPr>
        <w:tc>
          <w:tcPr>
            <w:tcW w:w="6100" w:type="dxa"/>
            <w:vAlign w:val="bottom"/>
          </w:tcPr>
          <w:p>
            <w:pPr>
              <w:spacing w:after="0"/>
              <w:rPr>
                <w:sz w:val="20"/>
                <w:szCs w:val="20"/>
                <w:color w:val="auto"/>
              </w:rPr>
            </w:pPr>
            <w:r>
              <w:rPr>
                <w:rFonts w:ascii="Arial" w:cs="Arial" w:eastAsia="Arial" w:hAnsi="Arial"/>
                <w:sz w:val="18"/>
                <w:szCs w:val="18"/>
                <w:b w:val="1"/>
                <w:bCs w:val="1"/>
                <w:color w:val="auto"/>
              </w:rPr>
              <w:t>Units of Investment (UDI)</w:t>
            </w:r>
            <w:r>
              <w:rPr>
                <w:rFonts w:ascii="Arial" w:cs="Arial" w:eastAsia="Arial" w:hAnsi="Arial"/>
                <w:sz w:val="22"/>
                <w:szCs w:val="22"/>
                <w:b w:val="1"/>
                <w:bCs w:val="1"/>
                <w:color w:val="auto"/>
                <w:vertAlign w:val="superscript"/>
              </w:rPr>
              <w:t>(3)</w:t>
            </w:r>
          </w:p>
        </w:tc>
        <w:tc>
          <w:tcPr>
            <w:tcW w:w="740" w:type="dxa"/>
            <w:vAlign w:val="bottom"/>
          </w:tcPr>
          <w:p>
            <w:pPr>
              <w:jc w:val="right"/>
              <w:spacing w:after="0"/>
              <w:rPr>
                <w:sz w:val="20"/>
                <w:szCs w:val="20"/>
                <w:color w:val="auto"/>
              </w:rPr>
            </w:pPr>
            <w:r>
              <w:rPr>
                <w:rFonts w:ascii="Arial" w:cs="Arial" w:eastAsia="Arial" w:hAnsi="Arial"/>
                <w:sz w:val="18"/>
                <w:szCs w:val="18"/>
                <w:color w:val="auto"/>
              </w:rPr>
              <w:t>2,508</w:t>
            </w:r>
          </w:p>
        </w:tc>
        <w:tc>
          <w:tcPr>
            <w:tcW w:w="44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2,508</w:t>
            </w:r>
          </w:p>
        </w:tc>
      </w:tr>
      <w:tr>
        <w:trPr>
          <w:trHeight w:val="216"/>
        </w:trPr>
        <w:tc>
          <w:tcPr>
            <w:tcW w:w="6100" w:type="dxa"/>
            <w:vAlign w:val="bottom"/>
            <w:shd w:val="clear" w:color="auto" w:fill="CCEEFF"/>
          </w:tcPr>
          <w:p>
            <w:pPr>
              <w:spacing w:after="0" w:line="217" w:lineRule="exact"/>
              <w:rPr>
                <w:sz w:val="20"/>
                <w:szCs w:val="20"/>
                <w:color w:val="auto"/>
              </w:rPr>
            </w:pPr>
            <w:r>
              <w:rPr>
                <w:rFonts w:ascii="Arial" w:cs="Arial" w:eastAsia="Arial" w:hAnsi="Arial"/>
                <w:sz w:val="18"/>
                <w:szCs w:val="18"/>
                <w:i w:val="1"/>
                <w:iCs w:val="1"/>
                <w:color w:val="auto"/>
              </w:rPr>
              <w:t>Brazilian reais</w:t>
            </w:r>
            <w:r>
              <w:rPr>
                <w:rFonts w:ascii="Arial" w:cs="Arial" w:eastAsia="Arial" w:hAnsi="Arial"/>
                <w:sz w:val="22"/>
                <w:szCs w:val="22"/>
                <w:color w:val="auto"/>
                <w:vertAlign w:val="superscript"/>
              </w:rPr>
              <w:t>(4)</w:t>
            </w:r>
            <w:r>
              <w:rPr>
                <w:rFonts w:ascii="Arial" w:cs="Arial" w:eastAsia="Arial" w:hAnsi="Arial"/>
                <w:sz w:val="18"/>
                <w:szCs w:val="18"/>
                <w:i w:val="1"/>
                <w:iCs w:val="1"/>
                <w:color w:val="auto"/>
              </w:rPr>
              <w:t>:</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Bank Loans</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266</w:t>
            </w:r>
          </w:p>
        </w:tc>
        <w:tc>
          <w:tcPr>
            <w:tcW w:w="4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266</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5"/>
              </w:rPr>
              <w:t>Ps. 10,220</w:t>
            </w:r>
          </w:p>
        </w:tc>
        <w:tc>
          <w:tcPr>
            <w:tcW w:w="12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5"/>
              </w:rPr>
              <w:t>Ps. 18,904</w:t>
            </w:r>
          </w:p>
        </w:tc>
        <w:tc>
          <w:tcPr>
            <w:tcW w:w="11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5"/>
              </w:rPr>
              <w:t>Ps. 10,905</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Ps. 40,029</w:t>
            </w:r>
          </w:p>
        </w:tc>
      </w:tr>
      <w:tr>
        <w:trPr>
          <w:trHeight w:val="324"/>
        </w:trPr>
        <w:tc>
          <w:tcPr>
            <w:tcW w:w="6100" w:type="dxa"/>
            <w:vAlign w:val="bottom"/>
          </w:tcPr>
          <w:p>
            <w:pPr>
              <w:spacing w:after="0"/>
              <w:rPr>
                <w:sz w:val="20"/>
                <w:szCs w:val="20"/>
                <w:color w:val="auto"/>
              </w:rPr>
            </w:pPr>
            <w:r>
              <w:rPr>
                <w:rFonts w:ascii="Arial" w:cs="Arial" w:eastAsia="Arial" w:hAnsi="Arial"/>
                <w:sz w:val="18"/>
                <w:szCs w:val="18"/>
                <w:b w:val="1"/>
                <w:bCs w:val="1"/>
                <w:color w:val="auto"/>
              </w:rPr>
              <w:t>Average Cost</w:t>
            </w:r>
            <w:r>
              <w:rPr>
                <w:rFonts w:ascii="Arial" w:cs="Arial" w:eastAsia="Arial" w:hAnsi="Arial"/>
                <w:sz w:val="22"/>
                <w:szCs w:val="22"/>
                <w:b w:val="1"/>
                <w:bCs w:val="1"/>
                <w:color w:val="auto"/>
                <w:vertAlign w:val="superscript"/>
              </w:rPr>
              <w:t>(5)</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Argentine pesos</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Venezuelan bolivars</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Brazilian reais</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8"/>
        </w:trPr>
        <w:tc>
          <w:tcPr>
            <w:tcW w:w="6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the Ps. 5,917 million current portion of long-term debt.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Guaranteed by FEMSA Comercio.</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Guaranteed by FEMSA Cerveza.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the effect of cross currency swaps in the amount of Ps. 230 million from Japanese yen to Brazilian reais.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the effect of cross currency and interest rate swaps.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Imposed by Debt Instruments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Generally, the covenants contained in the credit agreements and other instruments governing indebtedness entered into by us or our sub-holding companies include limitations on the incurrence of any additional debt based on debt service coverage ratios or leverage tests. These credit agreements also generally include restrictive covenants applicable to us, our sub-holding companies and their subsidiaries. There are no cross-guarantees between sub-holding companies, and we have not provided guarantees with respect to any of the debt obligations of our sub- holding companies. FEMSA’s obligation of Ps. 2,500 million under its </w:t>
      </w:r>
      <w:r>
        <w:rPr>
          <w:rFonts w:ascii="Arial" w:cs="Arial" w:eastAsia="Arial" w:hAnsi="Arial"/>
          <w:sz w:val="18"/>
          <w:szCs w:val="18"/>
          <w:i w:val="1"/>
          <w:iCs w:val="1"/>
          <w:color w:val="auto"/>
        </w:rPr>
        <w:t>certificados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bursátiles </w:t>
      </w:r>
      <w:r>
        <w:rPr>
          <w:rFonts w:ascii="Arial" w:cs="Arial" w:eastAsia="Arial" w:hAnsi="Arial"/>
          <w:sz w:val="16"/>
          <w:szCs w:val="16"/>
          <w:color w:val="auto"/>
        </w:rPr>
        <w:t>is guaranteed by FEMSA Cerveza. Additionally, FEMSA’s obligation of Ps. 1,712 million is guaranteed by FEMSA Comercio. Certain of our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mentioned above are subject to either acceleration or repurchase at the lender’s or holder’s option if, in the case of FEMSA, the persons exercising control over FEMSA no longer exercise such control and, in the case of FEMSA Cerveza, FEMSA ceases to control FEMSA Cerveza.</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in compliance with all of our restrictive covenants as of December 31, 2007. A significant and prolonged deterioration in our consolidated results of operations could cause us to cease to be in compliance under certain indebtedness in the future. We can provide no assurances that we will be able to incur indebtedness or to refinance existing indebtedness on similar terms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indebtedness by sub-holding company and for FEMSA as of December 31, 2007:</w:t>
      </w:r>
    </w:p>
    <w:p>
      <w:pPr>
        <w:spacing w:after="0" w:line="90" w:lineRule="exact"/>
        <w:rPr>
          <w:sz w:val="20"/>
          <w:szCs w:val="20"/>
          <w:color w:val="auto"/>
        </w:rPr>
      </w:pPr>
    </w:p>
    <w:p>
      <w:pPr>
        <w:ind w:left="900" w:hanging="446"/>
        <w:spacing w:after="0" w:line="289"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Coca-Cola FEMSA</w:t>
      </w:r>
      <w:r>
        <w:rPr>
          <w:rFonts w:ascii="Arial" w:cs="Arial" w:eastAsia="Arial" w:hAnsi="Arial"/>
          <w:sz w:val="16"/>
          <w:szCs w:val="16"/>
          <w:color w:val="auto"/>
        </w:rPr>
        <w:t>. Coca-Cola FEMSA’s total indebtedness was Ps. 18,904 million as of December 31, 2007, as compared to Ps. 20,208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2006. Short-term debt (including the current portion of long-term debt) and long-term debt were Ps. 4,809 million and Ps. 14,095 million, respectively, as of December 31, 2007, as compared to Ps. 3,419 million and Ps. 16,789 million, respectively, as of December 31, 2006. Cash and cash equivalents comprised mainly of Mexican pesos, Brazilian reais, Venezuelan bolivars, and U.S. dollars, representing 50%, 33%, 10% and 4%, respectively. As of December 31, 2007, cash and cash equivalents were Ps. 7,542 million, as compared to Ps. 5,074 million as of December 31, 2006. Approximately Ps. 238 million of cash is considered restricted cash because it has been deposited to settle accounts payable in Venezuela and in Brazil. As of December 31, 2007, Coca-Cola FEMSA had a working capital superavit (defined as the excess of current assets over current liabilities) of Ps. 1,261 million, reflecting the increase in cash and cash equivalents, accounts receivable and other assets.</w:t>
      </w:r>
    </w:p>
    <w:p>
      <w:pPr>
        <w:spacing w:after="0" w:line="37"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part of our financing policy, we expect to continue to finance our liquidity needs from cash operations. Nonetheless, as a result of regulations in certain countries in which we operate, it may not be beneficial or, as the case of exchange controls in Venezuela, practicable for us to remit cash generated in local operations to fund cash requirements in other countries. In the event that cash from operations in these countries is not sufficient to fund future working capital requirements and capital expenditures, we may decide, or be required, to fund cash requirements in these countries through local borrowings rather than remitting funds from another country. In addition, in the future we may be required to finance our working capital and capital expenditure needs with short-term or other borrowings.</w:t>
      </w:r>
    </w:p>
    <w:p>
      <w:pPr>
        <w:spacing w:after="0" w:line="39" w:lineRule="exact"/>
        <w:rPr>
          <w:rFonts w:ascii="Arial" w:cs="Arial" w:eastAsia="Arial" w:hAnsi="Arial"/>
          <w:sz w:val="16"/>
          <w:szCs w:val="16"/>
          <w:color w:val="auto"/>
        </w:rPr>
      </w:pPr>
    </w:p>
    <w:p>
      <w:pPr>
        <w:ind w:left="900" w:right="240" w:hanging="446"/>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Coca-Cola FEMSA’s average cost of debt, after giving effect to cross currency and interest rate swaps, was 6.4% in U.S. dollars, 8.9% in Mexican pesos, 15.7% in Venezuelan bolivars and 11.0% in Argentine pesos as of December 31, 2007 compared to 7.0% in U.S. dollars, 9.5% in Mexican pesos, 8.0% in Colombian pesos, 11.3% in Venezuelan bolivars, and 9.7% in Argentine pesos as of December 31, 2006.</w:t>
      </w:r>
    </w:p>
    <w:p>
      <w:pPr>
        <w:spacing w:after="0" w:line="25"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FEMSA Cerveza</w:t>
      </w:r>
      <w:r>
        <w:rPr>
          <w:rFonts w:ascii="Arial" w:cs="Arial" w:eastAsia="Arial" w:hAnsi="Arial"/>
          <w:sz w:val="16"/>
          <w:szCs w:val="16"/>
          <w:color w:val="auto"/>
        </w:rPr>
        <w:t>. As of December 31, 2007, FEMSA Cerveza’s total outstanding debt was Ps. 10,905 million, which included Ps. 2,390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short-term trade and working capital loans. As of December 31, 2007, FEMSA Cerveza had Ps. 8,515 million of long-term debt outstanding consisting of bilateral bank loans and equipment financing loans. Cash and cash equivalents comprised of Mexican pesos, Brazilian reais and U.S. dollars, representing 80%, 12% and 8%, respectively. As of December 31, 2007, cash and cash equivalents were Ps. 1,435 as compared to Ps. 2,016 as of December 31, 2006. FEMSA Cerveza’s average cost of debt, after giving effect to interest rate swaps, as of December 31, 2007 was 8.9% in Mexican pesos, 6.5% in U.S. dollars and 11.4% in Brazilian reais.</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FEMSA Comercio</w:t>
      </w:r>
      <w:r>
        <w:rPr>
          <w:rFonts w:ascii="Arial" w:cs="Arial" w:eastAsia="Arial" w:hAnsi="Arial"/>
          <w:sz w:val="18"/>
          <w:szCs w:val="18"/>
          <w:color w:val="auto"/>
        </w:rPr>
        <w:t>. As of December 31, 2007, FEMSA Comercio does not have outstanding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94"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FEMSA and other business</w:t>
      </w:r>
      <w:r>
        <w:rPr>
          <w:rFonts w:ascii="Arial" w:cs="Arial" w:eastAsia="Arial" w:hAnsi="Arial"/>
          <w:sz w:val="16"/>
          <w:szCs w:val="16"/>
          <w:color w:val="auto"/>
        </w:rPr>
        <w:t>. As of December 31, 2007, FEMSA and the companies comprising our other business had total outstanding debt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Ps. 10,220 million, all of which was long term. This consisted of Ps. 2,500 million of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xml:space="preserve"> which mature in July 2008 and July 2009 and are guaranteed by FEMSA Cerveza, and Ps. 6,008 million of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which mature in December 2012 and December 2017 and are guranteed by FEMSA Cerveza, and Ps. 1,712 million which mature in August 2010 and are guaranteed by FEMSA Comercio. FEMSA’s average cost of debt, after giving effect to interest rate swaps, as of December 31, 2007 was 9.9% in Mexican pesos.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have various loss contingencies, for which reserves have been recorded in those cases where we believe an unfavorable resolution is probable. See “Item 8. Financial Information—Legal Proceedings.” Most of these loss contingencies were recorded as reserves against intangibles recorded as a result of Panamco and Kaiser acquisitions. Any amounts required to be paid in connection with these loss contingencies would be required to be paid from available cash.</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nature and amount of the loss contingencies as of December 31, 2007:</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Loss Contingencies</w:t>
            </w:r>
          </w:p>
        </w:tc>
      </w:tr>
      <w:tr>
        <w:trPr>
          <w:trHeight w:val="149"/>
        </w:trPr>
        <w:tc>
          <w:tcPr>
            <w:tcW w:w="8480" w:type="dxa"/>
            <w:vAlign w:val="bottom"/>
          </w:tcPr>
          <w:p>
            <w:pPr>
              <w:spacing w:after="0"/>
              <w:rPr>
                <w:sz w:val="12"/>
                <w:szCs w:val="12"/>
                <w:color w:val="auto"/>
              </w:rPr>
            </w:pPr>
          </w:p>
        </w:tc>
        <w:tc>
          <w:tcPr>
            <w:tcW w:w="7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5"/>
              </w:rPr>
              <w:t>As of</w:t>
            </w:r>
          </w:p>
        </w:tc>
        <w:tc>
          <w:tcPr>
            <w:tcW w:w="400" w:type="dxa"/>
            <w:vAlign w:val="bottom"/>
          </w:tcPr>
          <w:p>
            <w:pPr>
              <w:spacing w:after="0"/>
              <w:rPr>
                <w:sz w:val="12"/>
                <w:szCs w:val="12"/>
                <w:color w:val="auto"/>
              </w:rPr>
            </w:pPr>
          </w:p>
        </w:tc>
      </w:tr>
      <w:tr>
        <w:trPr>
          <w:trHeight w:val="161"/>
        </w:trPr>
        <w:tc>
          <w:tcPr>
            <w:tcW w:w="848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31, 2007</w:t>
            </w:r>
          </w:p>
        </w:tc>
      </w:tr>
      <w:tr>
        <w:trPr>
          <w:trHeight w:val="129"/>
        </w:trPr>
        <w:tc>
          <w:tcPr>
            <w:tcW w:w="848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(in millions of</w:t>
            </w:r>
          </w:p>
        </w:tc>
      </w:tr>
      <w:tr>
        <w:trPr>
          <w:trHeight w:val="149"/>
        </w:trPr>
        <w:tc>
          <w:tcPr>
            <w:tcW w:w="84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constant</w:t>
            </w:r>
          </w:p>
        </w:tc>
      </w:tr>
      <w:tr>
        <w:trPr>
          <w:trHeight w:val="175"/>
        </w:trPr>
        <w:tc>
          <w:tcPr>
            <w:tcW w:w="848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Mexican pesos)</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Legal</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22"/>
        </w:trPr>
        <w:tc>
          <w:tcPr>
            <w:tcW w:w="848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2,642</w:t>
            </w:r>
          </w:p>
        </w:tc>
      </w:tr>
      <w:tr>
        <w:trPr>
          <w:trHeight w:val="20"/>
        </w:trPr>
        <w:tc>
          <w:tcPr>
            <w:tcW w:w="8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is customary in Brazil, we have been asked by the tax authorities to collateralize tax contingencies currently in litigation in respect of Ps. 1,887 by pledging fixed assets and entering into available lines of credit to cover such contingencies.</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have other contingencies for which we have not recorded a reserve. These contingencies or our assessment of them may change in the future, and we may record reserves or be required to pay amounts in respect of these contingencies. As of December 31, 2007 the aggregate amount of contingencies for which we have not recorded a reserve was $311 million. These contingencies have been classified as less than probable by our legal counsel.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For the past five years, we have had significant capital expenditure programs, which for the most part were financed with cash from operations. Capital expenditures reached Ps. 11,257 million in 2007 compared to Ps. 9,422 million in 2006, an increase of 19.5%. This was primarily due to an increase in capital expenditures at FEMSA Cerveza and Coca-Cola FEMSA. The principal components of our capital expenditures have been for equipment, market-related investments and production capacity and distribution network expansion at both Coca-Cola FEMSA and FEMSA Cerveza. See “Item 4. Information on the Company—Capital Expenditures and Divestitures.”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Capital Expenditures for 2008</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capital expenditure budget for 2008 is expected to be approximately $1.4 billion. The following discussion is based on each of our sub-holding companies’ internal 2008 budgets. The capital expenditure plan for 2008 is subject to change based on market and other conditions and the subsidiaries’ results of operations and financial resources.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Coca-Cola FEMSA’s capital expenditures in 2008 are expected to be approximately $470 million. Coca-Cola FEMSA’s capital expenditures in 2008 are primarily intended for:</w:t>
      </w:r>
    </w:p>
    <w:p>
      <w:pPr>
        <w:spacing w:after="0" w:line="5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in manufacturing 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returnable bottles and cases;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investments (primarily for the placement of refrigeration equipment);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improvements throughout distribution network.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Coca-Cola FEMSA estimates that the projected capital expenditures for 2008 will be evenly divided between its Mexican and non-Mexican territories.</w:t>
      </w:r>
    </w:p>
    <w:p>
      <w:pPr>
        <w:spacing w:after="0" w:line="19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FEMSA Cerveza’s capital expenditure budget for 2008 is expected to be approximately $733 million. FEMSA Cerveza expects to allocate part of this budget for investments in its manufacturing facilities in Mexico and Brazil, related to the construction of the Meoqui beer plant and glass bottle facility, and in marginal capacity expansions of its breweries and equipment modernization. FEMSA Cerveza also expects to apply a portion of this budget towards the improvement of its distribution assets, including new and replacement vehicles, the maintenance of a secondary distribution fleet and information technology systems. In addition, FEMSA Cerveza plans to invest in commercial and market-related activities such as the enhancement of its retail coverage, the development of long-term sponsorships and the placement of refrigeration equipment nationwide.</w:t>
      </w:r>
    </w:p>
    <w:p>
      <w:pPr>
        <w:spacing w:after="0" w:line="120"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FEMSA Comercio’s capital expenditure budget in 2008 is expected to total approximately $172 million, and will be allocated to the opening of new OXXO stores and to a lesser extent to the refurbishing of existing OXXO stores. In addition, investments are planned in FEMSA Comercio’s information technology, ERP software updates and transportation equipment.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Activities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business activities require the holding or issuing of derivative instruments to hedge our exposure to market risks related to changes in interest rates, foreign currency exchange rates, equity risk and commodity price risk. See “Item 11. Quantitative and Qualitative Disclosures about Market Risk.”</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provides a summary of the fair value of derivative instruments as of December 31, 2007 The fair market value is obtained mainly from external sources, which are our counterparties to the contracts.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Fair Value At December 31, 2007</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112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5"/>
              </w:rPr>
              <w:t>Maturity</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Fair Value</w:t>
            </w:r>
          </w:p>
        </w:tc>
        <w:tc>
          <w:tcPr>
            <w:tcW w:w="60" w:type="dxa"/>
            <w:vAlign w:val="bottom"/>
          </w:tcPr>
          <w:p>
            <w:pPr>
              <w:spacing w:after="0"/>
              <w:rPr>
                <w:sz w:val="11"/>
                <w:szCs w:val="11"/>
                <w:color w:val="auto"/>
              </w:rPr>
            </w:pPr>
          </w:p>
        </w:tc>
      </w:tr>
      <w:tr>
        <w:trPr>
          <w:trHeight w:val="149"/>
        </w:trPr>
        <w:tc>
          <w:tcPr>
            <w:tcW w:w="604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less than 1</w:t>
            </w:r>
          </w:p>
        </w:tc>
        <w:tc>
          <w:tcPr>
            <w:tcW w:w="122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93"/>
              </w:rPr>
              <w:t>Maturity 1 -</w:t>
            </w: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Maturity 3 -</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excess of 5</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Asset</w:t>
            </w:r>
          </w:p>
        </w:tc>
      </w:tr>
      <w:tr>
        <w:trPr>
          <w:trHeight w:val="161"/>
        </w:trPr>
        <w:tc>
          <w:tcPr>
            <w:tcW w:w="60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w:t>
            </w:r>
          </w:p>
        </w:tc>
        <w:tc>
          <w:tcPr>
            <w:tcW w:w="5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3 years</w:t>
            </w:r>
          </w:p>
        </w:tc>
        <w:tc>
          <w:tcPr>
            <w:tcW w:w="520" w:type="dxa"/>
            <w:vAlign w:val="bottom"/>
          </w:tcPr>
          <w:p>
            <w:pPr>
              <w:spacing w:after="0"/>
              <w:rPr>
                <w:sz w:val="14"/>
                <w:szCs w:val="1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5 years</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(Liability)</w:t>
            </w:r>
          </w:p>
        </w:tc>
        <w:tc>
          <w:tcPr>
            <w:tcW w:w="6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1"/>
              </w:rPr>
              <w:t>millions of</w:t>
            </w:r>
          </w:p>
        </w:tc>
        <w:tc>
          <w:tcPr>
            <w:tcW w:w="23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constant Mexican pesos)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Prices quoted by external sources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w:t>
            </w:r>
          </w:p>
        </w:tc>
        <w:tc>
          <w:tcPr>
            <w:tcW w:w="1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(171)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the Disposal of Certain Fixed Assets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certain fixed assets consisting of land, buildings and equipment for disposal, and we have an approved program for disposal of these fixed assets. These assets are not in use and have been valued at their estimated net realizable value without exceeding their restated acquisition cost. These assets are allocated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1"/>
              <w:spacing w:after="0"/>
              <w:rPr>
                <w:sz w:val="20"/>
                <w:szCs w:val="20"/>
                <w:color w:val="auto"/>
              </w:rPr>
            </w:pPr>
            <w:r>
              <w:rPr>
                <w:rFonts w:ascii="Arial" w:cs="Arial" w:eastAsia="Arial" w:hAnsi="Arial"/>
                <w:sz w:val="14"/>
                <w:szCs w:val="14"/>
                <w:b w:val="1"/>
                <w:bCs w:val="1"/>
                <w:color w:val="auto"/>
                <w:w w:val="84"/>
              </w:rPr>
              <w:t>December31,</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81"/>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29"/>
        </w:trPr>
        <w:tc>
          <w:tcPr>
            <w:tcW w:w="8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5"/>
          </w:tcPr>
          <w:p>
            <w:pPr>
              <w:jc w:val="center"/>
              <w:ind w:right="132"/>
              <w:spacing w:after="0" w:line="129" w:lineRule="exact"/>
              <w:rPr>
                <w:sz w:val="20"/>
                <w:szCs w:val="20"/>
                <w:color w:val="auto"/>
              </w:rPr>
            </w:pPr>
            <w:r>
              <w:rPr>
                <w:rFonts w:ascii="Arial" w:cs="Arial" w:eastAsia="Arial" w:hAnsi="Arial"/>
                <w:sz w:val="14"/>
                <w:szCs w:val="14"/>
                <w:b w:val="1"/>
                <w:bCs w:val="1"/>
                <w:color w:val="auto"/>
                <w:w w:val="84"/>
              </w:rPr>
              <w:t>(in millions of constant</w:t>
            </w:r>
          </w:p>
        </w:tc>
        <w:tc>
          <w:tcPr>
            <w:tcW w:w="0" w:type="dxa"/>
            <w:vAlign w:val="bottom"/>
          </w:tcPr>
          <w:p>
            <w:pPr>
              <w:spacing w:after="0"/>
              <w:rPr>
                <w:sz w:val="1"/>
                <w:szCs w:val="1"/>
                <w:color w:val="auto"/>
              </w:rPr>
            </w:pPr>
          </w:p>
        </w:tc>
      </w:tr>
      <w:tr>
        <w:trPr>
          <w:trHeight w:val="16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left="21"/>
              <w:spacing w:after="0"/>
              <w:rPr>
                <w:sz w:val="20"/>
                <w:szCs w:val="20"/>
                <w:color w:val="auto"/>
              </w:rPr>
            </w:pPr>
            <w:r>
              <w:rPr>
                <w:rFonts w:ascii="Arial" w:cs="Arial" w:eastAsia="Arial" w:hAnsi="Arial"/>
                <w:sz w:val="14"/>
                <w:szCs w:val="14"/>
                <w:b w:val="1"/>
                <w:bCs w:val="1"/>
                <w:color w:val="auto"/>
                <w:w w:val="84"/>
              </w:rPr>
              <w:t>Mexican pesos)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FEMSA Cerveza</w:t>
            </w:r>
          </w:p>
        </w:tc>
        <w:tc>
          <w:tcPr>
            <w:tcW w:w="22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562</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Ps.</w:t>
            </w:r>
          </w:p>
        </w:tc>
        <w:tc>
          <w:tcPr>
            <w:tcW w:w="34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Fixed assets recorded at their estimated realizable value are considered monetary assets on which a loss on monetary position is computed and recorded in results of operation.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GAAP Reconciliation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principal differences between Mexican Financial Reporting Standards and U.S. GAAP that affect our net income and majority stockholders’ equity relate to the accounting treatment of the following items:</w:t>
      </w:r>
    </w:p>
    <w:p>
      <w:pPr>
        <w:spacing w:after="0" w:line="51" w:lineRule="exact"/>
        <w:rPr>
          <w:sz w:val="20"/>
          <w:szCs w:val="20"/>
          <w:color w:val="auto"/>
        </w:rPr>
      </w:pPr>
    </w:p>
    <w:p>
      <w:pPr>
        <w:ind w:left="900" w:right="1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consolidation of our subsidiary Coca-Cola FEMSA, which is a consolidated subsidiary for purposes of Mexican Financial Reporting Standards but presented under the equity method for U.S. GAAP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FEMSA’s minority interest acquisition and sales;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deferred income taxes and deferred employee profit sharing;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restatement of imported machinery and equipment;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capitalization of integral result of financing;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labor liabilities,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start-up expenses.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For a more detailed description of the differences between Mexican Financial Reporting Standards and U.S. GAAP as they relate to us, as well as U.S. GAAP consolidated balance sheets, statements of income and comprehensive income, changes in stockholders’ equity and cash flows for the same periods presented for Mexican Financial Reporting Standards purposes and a reconciliation of net income and stockholders’ equity under Mexican Financial Reporting Standards to net income and stockholders’ equity under U.S. GAAP, see notes 26 and 27 to our audited consolidated financial statements.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Mexican Financial Reporting Standards, our audited consolidated financial statements recognize certain effects of inflation in accordance with Bulletin B-10. These effects were not reversed in our U.S. GAAP financial information.</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Under U.S. GAAP, we had net income of Ps. 8,557 million and Ps. 6,973 million in 2007 and 2006, respectively. Under Mexican Financial Reporting Standards, we had net majority income of Ps. 8,511 million and Ps. 7,127 million in 2007 and 2006, respectively. In 2007, net income under U.S. GAAP was higher than net majority income under Mexican Financial Reporting Standards, mainly as a result of the effect of deferred income taxes and deferred employee profit sharing.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Stockholders’ equity under U.S. GAAP as of December 31, 2007 and 2006 was Ps. 82,606 million and Ps. 73,925 million, respectively. Under Mexican Financial Reporting Standards, majority stockholders’ equity as of December 31, 2007 and 2006 was Ps. 64,578 million and Ps. 56,654 million, respectively. The principal reasons for the difference between stockholders’ equity under U.S. GAAP and majority stockholders’ equity under Mexican Financial Reporting Standards were the effect of the goodwill generated by the minority interest acquisitions, deferred income tax, labor liabilities, deferred employee profit sharing and start-up expenses.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Management of our business is vested in the board of directors and in our chief executive officer. Our bylaws provide that the board of directors will consist of no more than 21 directors and designated alternate directors elected by our shareholders at the annual ordinary general shareholders meeting. Directors are elected for a term of one year. Alternate directors are authorized to serve on the board of directors in place of their specific directors who are unable to attend meetings and may participate in the activities of the board of directors. Nineteen members form our board of directors. Our bylaws provide that the holders of the Series B Shares elect at least 11 directors and that the holders of the Series D Shares elect five directors. The shareholders may designate alternate directors to cover the absence of a specific director. See “Item 10. Additional Information—Bylaws.”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accordance with our bylaws and article 24 of the Mexican Securities Law, at least 25% of the members of our board of directors must be independent, (as defined by the Mexican Securities Law).</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board of directors may designate interim directors in the case that a director is absent or an elected director and corresponding alternate are unable to serve. Such interim directors shall serve until the next shareholders meeting, at which the Shareholders shall elect a replacement.</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bylaws provide that the board of directors shall meet at least once every 3 months. Actions by the board of directors must be approved by at least a majority of the directors present and voting. The chairman of the board of directors, the chairman of our audit or corporate practices committee, or at least 25% of our directors may call a board of directors’ meeting and include matters in the meeting agenda.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40" w:type="dxa"/>
            <w:vAlign w:val="bottom"/>
          </w:tcPr>
          <w:p>
            <w:pPr>
              <w:spacing w:after="0"/>
              <w:rPr>
                <w:sz w:val="20"/>
                <w:szCs w:val="20"/>
                <w:color w:val="auto"/>
              </w:rPr>
            </w:pPr>
            <w:r>
              <w:rPr>
                <w:rFonts w:ascii="Arial" w:cs="Arial" w:eastAsia="Arial" w:hAnsi="Arial"/>
                <w:sz w:val="18"/>
                <w:szCs w:val="18"/>
                <w:b w:val="1"/>
                <w:bCs w:val="1"/>
                <w:i w:val="1"/>
                <w:iCs w:val="1"/>
                <w:color w:val="auto"/>
              </w:rPr>
              <w:t>Series “B” Directors</w:t>
            </w:r>
          </w:p>
        </w:tc>
        <w:tc>
          <w:tcPr>
            <w:tcW w:w="1900" w:type="dxa"/>
            <w:vAlign w:val="bottom"/>
          </w:tcPr>
          <w:p>
            <w:pPr>
              <w:spacing w:after="0"/>
              <w:rPr>
                <w:sz w:val="19"/>
                <w:szCs w:val="19"/>
                <w:color w:val="auto"/>
              </w:rPr>
            </w:pPr>
          </w:p>
        </w:tc>
        <w:tc>
          <w:tcPr>
            <w:tcW w:w="7540" w:type="dxa"/>
            <w:vAlign w:val="bottom"/>
          </w:tcPr>
          <w:p>
            <w:pPr>
              <w:spacing w:after="0"/>
              <w:rPr>
                <w:sz w:val="19"/>
                <w:szCs w:val="19"/>
                <w:color w:val="auto"/>
              </w:rPr>
            </w:pPr>
          </w:p>
        </w:tc>
      </w:tr>
      <w:tr>
        <w:trPr>
          <w:trHeight w:val="412"/>
        </w:trPr>
        <w:tc>
          <w:tcPr>
            <w:tcW w:w="1940" w:type="dxa"/>
            <w:vAlign w:val="bottom"/>
          </w:tcPr>
          <w:p>
            <w:pPr>
              <w:spacing w:after="0"/>
              <w:rPr>
                <w:sz w:val="20"/>
                <w:szCs w:val="20"/>
                <w:color w:val="auto"/>
              </w:rPr>
            </w:pPr>
            <w:r>
              <w:rPr>
                <w:rFonts w:ascii="Arial" w:cs="Arial" w:eastAsia="Arial" w:hAnsi="Arial"/>
                <w:sz w:val="18"/>
                <w:szCs w:val="18"/>
                <w:color w:val="auto"/>
              </w:rPr>
              <w:t>Eugenio Garza Lagüera</w:t>
            </w:r>
          </w:p>
        </w:tc>
        <w:tc>
          <w:tcPr>
            <w:tcW w:w="1900" w:type="dxa"/>
            <w:vAlign w:val="bottom"/>
          </w:tcPr>
          <w:p>
            <w:pPr>
              <w:ind w:left="220"/>
              <w:spacing w:after="0"/>
              <w:rPr>
                <w:sz w:val="20"/>
                <w:szCs w:val="20"/>
                <w:color w:val="auto"/>
              </w:rPr>
            </w:pPr>
            <w:r>
              <w:rPr>
                <w:rFonts w:ascii="Arial" w:cs="Arial" w:eastAsia="Arial" w:hAnsi="Arial"/>
                <w:sz w:val="18"/>
                <w:szCs w:val="18"/>
                <w:color w:val="auto"/>
              </w:rPr>
              <w:t>Born:</w:t>
            </w:r>
          </w:p>
        </w:tc>
        <w:tc>
          <w:tcPr>
            <w:tcW w:w="7540" w:type="dxa"/>
            <w:vAlign w:val="bottom"/>
          </w:tcPr>
          <w:p>
            <w:pPr>
              <w:ind w:left="160"/>
              <w:spacing w:after="0"/>
              <w:rPr>
                <w:sz w:val="20"/>
                <w:szCs w:val="20"/>
                <w:color w:val="auto"/>
              </w:rPr>
            </w:pPr>
            <w:r>
              <w:rPr>
                <w:rFonts w:ascii="Arial" w:cs="Arial" w:eastAsia="Arial" w:hAnsi="Arial"/>
                <w:sz w:val="18"/>
                <w:szCs w:val="18"/>
                <w:color w:val="auto"/>
              </w:rPr>
              <w:t>December 1923</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 and Honorary</w:t>
            </w:r>
          </w:p>
        </w:tc>
        <w:tc>
          <w:tcPr>
            <w:tcW w:w="1900" w:type="dxa"/>
            <w:vAlign w:val="bottom"/>
          </w:tcPr>
          <w:p>
            <w:pPr>
              <w:ind w:left="220"/>
              <w:spacing w:after="0"/>
              <w:rPr>
                <w:sz w:val="20"/>
                <w:szCs w:val="20"/>
                <w:color w:val="auto"/>
              </w:rPr>
            </w:pPr>
            <w:r>
              <w:rPr>
                <w:rFonts w:ascii="Arial" w:cs="Arial" w:eastAsia="Arial" w:hAnsi="Arial"/>
                <w:sz w:val="18"/>
                <w:szCs w:val="18"/>
                <w:color w:val="auto"/>
              </w:rPr>
              <w:t>First elected:</w:t>
            </w:r>
          </w:p>
        </w:tc>
        <w:tc>
          <w:tcPr>
            <w:tcW w:w="7540" w:type="dxa"/>
            <w:vAlign w:val="bottom"/>
          </w:tcPr>
          <w:p>
            <w:pPr>
              <w:ind w:left="160"/>
              <w:spacing w:after="0"/>
              <w:rPr>
                <w:sz w:val="20"/>
                <w:szCs w:val="20"/>
                <w:color w:val="auto"/>
              </w:rPr>
            </w:pPr>
            <w:r>
              <w:rPr>
                <w:rFonts w:ascii="Arial" w:cs="Arial" w:eastAsia="Arial" w:hAnsi="Arial"/>
                <w:sz w:val="18"/>
                <w:szCs w:val="18"/>
                <w:color w:val="auto"/>
              </w:rPr>
              <w:t>1960</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Life Chairman</w:t>
            </w:r>
          </w:p>
        </w:tc>
        <w:tc>
          <w:tcPr>
            <w:tcW w:w="1900" w:type="dxa"/>
            <w:vAlign w:val="bottom"/>
          </w:tcPr>
          <w:p>
            <w:pPr>
              <w:ind w:left="220"/>
              <w:spacing w:after="0"/>
              <w:rPr>
                <w:sz w:val="20"/>
                <w:szCs w:val="20"/>
                <w:color w:val="auto"/>
              </w:rPr>
            </w:pPr>
            <w:r>
              <w:rPr>
                <w:rFonts w:ascii="Arial" w:cs="Arial" w:eastAsia="Arial" w:hAnsi="Arial"/>
                <w:sz w:val="18"/>
                <w:szCs w:val="18"/>
                <w:color w:val="auto"/>
              </w:rPr>
              <w:t>Term expires:</w:t>
            </w:r>
          </w:p>
        </w:tc>
        <w:tc>
          <w:tcPr>
            <w:tcW w:w="7540" w:type="dxa"/>
            <w:vAlign w:val="bottom"/>
          </w:tcPr>
          <w:p>
            <w:pPr>
              <w:ind w:left="160"/>
              <w:spacing w:after="0"/>
              <w:rPr>
                <w:sz w:val="20"/>
                <w:szCs w:val="20"/>
                <w:color w:val="auto"/>
              </w:rPr>
            </w:pPr>
            <w:r>
              <w:rPr>
                <w:rFonts w:ascii="Arial" w:cs="Arial" w:eastAsia="Arial" w:hAnsi="Arial"/>
                <w:sz w:val="18"/>
                <w:szCs w:val="18"/>
                <w:color w:val="auto"/>
              </w:rPr>
              <w:t>2009*</w:t>
            </w:r>
          </w:p>
        </w:tc>
      </w:tr>
      <w:tr>
        <w:trPr>
          <w:trHeight w:val="222"/>
        </w:trPr>
        <w:tc>
          <w:tcPr>
            <w:tcW w:w="1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*Mr. Garza Lagüera passed away on May 24, 2008.</w:t>
            </w:r>
          </w:p>
        </w:tc>
      </w:tr>
      <w:tr>
        <w:trPr>
          <w:trHeight w:val="223"/>
        </w:trPr>
        <w:tc>
          <w:tcPr>
            <w:tcW w:w="1940" w:type="dxa"/>
            <w:vAlign w:val="bottom"/>
          </w:tcPr>
          <w:p>
            <w:pPr>
              <w:spacing w:after="0"/>
              <w:rPr>
                <w:sz w:val="19"/>
                <w:szCs w:val="19"/>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Other directorships:</w:t>
            </w:r>
          </w:p>
        </w:tc>
        <w:tc>
          <w:tcPr>
            <w:tcW w:w="7540" w:type="dxa"/>
            <w:vAlign w:val="bottom"/>
          </w:tcPr>
          <w:p>
            <w:pPr>
              <w:ind w:left="160"/>
              <w:spacing w:after="0"/>
              <w:rPr>
                <w:sz w:val="20"/>
                <w:szCs w:val="20"/>
                <w:color w:val="auto"/>
              </w:rPr>
            </w:pPr>
            <w:r>
              <w:rPr>
                <w:rFonts w:ascii="Arial" w:cs="Arial" w:eastAsia="Arial" w:hAnsi="Arial"/>
                <w:sz w:val="18"/>
                <w:szCs w:val="18"/>
                <w:color w:val="auto"/>
                <w:w w:val="96"/>
              </w:rPr>
              <w:t>Honorary Life Chairman of Coca-Cola FEMSA, Instituto Tecnológico de Estudios Superiores de</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Monterrey (ITESM) and BBVA Bancomer</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w w:val="97"/>
              </w:rPr>
              <w:t>Business experience:</w:t>
            </w:r>
          </w:p>
        </w:tc>
        <w:tc>
          <w:tcPr>
            <w:tcW w:w="7540" w:type="dxa"/>
            <w:vAlign w:val="bottom"/>
          </w:tcPr>
          <w:p>
            <w:pPr>
              <w:ind w:left="160"/>
              <w:spacing w:after="0"/>
              <w:rPr>
                <w:sz w:val="20"/>
                <w:szCs w:val="20"/>
                <w:color w:val="auto"/>
              </w:rPr>
            </w:pPr>
            <w:r>
              <w:rPr>
                <w:rFonts w:ascii="Arial" w:cs="Arial" w:eastAsia="Arial" w:hAnsi="Arial"/>
                <w:sz w:val="18"/>
                <w:szCs w:val="18"/>
                <w:color w:val="auto"/>
              </w:rPr>
              <w:t>Joined FEMSA in 1946 in the research department of Cuauhtémoc</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Education:</w:t>
            </w:r>
          </w:p>
        </w:tc>
        <w:tc>
          <w:tcPr>
            <w:tcW w:w="7540" w:type="dxa"/>
            <w:vAlign w:val="bottom"/>
          </w:tcPr>
          <w:p>
            <w:pPr>
              <w:ind w:left="160"/>
              <w:spacing w:after="0"/>
              <w:rPr>
                <w:sz w:val="20"/>
                <w:szCs w:val="20"/>
                <w:color w:val="auto"/>
              </w:rPr>
            </w:pPr>
            <w:r>
              <w:rPr>
                <w:rFonts w:ascii="Arial" w:cs="Arial" w:eastAsia="Arial" w:hAnsi="Arial"/>
                <w:sz w:val="18"/>
                <w:szCs w:val="18"/>
                <w:color w:val="auto"/>
                <w:w w:val="88"/>
              </w:rPr>
              <w:t>Holds degrees in chemical engineering from the University of Texas and in business administration from</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ITESM</w:t>
            </w:r>
          </w:p>
        </w:tc>
      </w:tr>
      <w:tr>
        <w:trPr>
          <w:trHeight w:val="299"/>
        </w:trPr>
        <w:tc>
          <w:tcPr>
            <w:tcW w:w="1940" w:type="dxa"/>
            <w:vAlign w:val="bottom"/>
          </w:tcPr>
          <w:p>
            <w:pPr>
              <w:spacing w:after="0"/>
              <w:rPr>
                <w:sz w:val="24"/>
                <w:szCs w:val="24"/>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Alternate director:</w:t>
            </w:r>
          </w:p>
        </w:tc>
        <w:tc>
          <w:tcPr>
            <w:tcW w:w="7540" w:type="dxa"/>
            <w:vAlign w:val="bottom"/>
          </w:tcPr>
          <w:p>
            <w:pPr>
              <w:ind w:left="160"/>
              <w:spacing w:after="0"/>
              <w:rPr>
                <w:sz w:val="20"/>
                <w:szCs w:val="20"/>
                <w:color w:val="auto"/>
              </w:rPr>
            </w:pPr>
            <w:r>
              <w:rPr>
                <w:rFonts w:ascii="Arial" w:cs="Arial" w:eastAsia="Arial" w:hAnsi="Arial"/>
                <w:sz w:val="18"/>
                <w:szCs w:val="18"/>
                <w:color w:val="auto"/>
              </w:rPr>
              <w:t>Mariana Garza de Treviño</w:t>
            </w:r>
            <w:r>
              <w:rPr>
                <w:rFonts w:ascii="Arial" w:cs="Arial" w:eastAsia="Arial" w:hAnsi="Arial"/>
                <w:sz w:val="22"/>
                <w:szCs w:val="22"/>
                <w:color w:val="auto"/>
                <w:vertAlign w:val="superscript"/>
              </w:rPr>
              <w:t>(1)(2)</w:t>
            </w:r>
          </w:p>
        </w:tc>
      </w:tr>
      <w:tr>
        <w:trPr>
          <w:trHeight w:val="241"/>
        </w:trPr>
        <w:tc>
          <w:tcPr>
            <w:tcW w:w="1940" w:type="dxa"/>
            <w:vAlign w:val="bottom"/>
          </w:tcPr>
          <w:p>
            <w:pPr>
              <w:spacing w:after="0"/>
              <w:rPr>
                <w:sz w:val="20"/>
                <w:szCs w:val="20"/>
                <w:color w:val="auto"/>
              </w:rPr>
            </w:pPr>
            <w:r>
              <w:rPr>
                <w:rFonts w:ascii="Arial" w:cs="Arial" w:eastAsia="Arial" w:hAnsi="Arial"/>
                <w:sz w:val="18"/>
                <w:szCs w:val="18"/>
                <w:color w:val="auto"/>
                <w:w w:val="98"/>
              </w:rPr>
              <w:t>José Antonio Fernández</w:t>
            </w:r>
          </w:p>
        </w:tc>
        <w:tc>
          <w:tcPr>
            <w:tcW w:w="1900" w:type="dxa"/>
            <w:vAlign w:val="bottom"/>
          </w:tcPr>
          <w:p>
            <w:pPr>
              <w:ind w:left="220"/>
              <w:spacing w:after="0"/>
              <w:rPr>
                <w:sz w:val="20"/>
                <w:szCs w:val="20"/>
                <w:color w:val="auto"/>
              </w:rPr>
            </w:pPr>
            <w:r>
              <w:rPr>
                <w:rFonts w:ascii="Arial" w:cs="Arial" w:eastAsia="Arial" w:hAnsi="Arial"/>
                <w:sz w:val="18"/>
                <w:szCs w:val="18"/>
                <w:color w:val="auto"/>
              </w:rPr>
              <w:t>Born:</w:t>
            </w:r>
          </w:p>
        </w:tc>
        <w:tc>
          <w:tcPr>
            <w:tcW w:w="7540" w:type="dxa"/>
            <w:vAlign w:val="bottom"/>
          </w:tcPr>
          <w:p>
            <w:pPr>
              <w:ind w:left="160"/>
              <w:spacing w:after="0"/>
              <w:rPr>
                <w:sz w:val="20"/>
                <w:szCs w:val="20"/>
                <w:color w:val="auto"/>
              </w:rPr>
            </w:pPr>
            <w:r>
              <w:rPr>
                <w:rFonts w:ascii="Arial" w:cs="Arial" w:eastAsia="Arial" w:hAnsi="Arial"/>
                <w:sz w:val="18"/>
                <w:szCs w:val="18"/>
                <w:color w:val="auto"/>
              </w:rPr>
              <w:t>February 1954</w:t>
            </w:r>
          </w:p>
        </w:tc>
      </w:tr>
      <w:tr>
        <w:trPr>
          <w:trHeight w:val="230"/>
        </w:trPr>
        <w:tc>
          <w:tcPr>
            <w:tcW w:w="1940" w:type="dxa"/>
            <w:vAlign w:val="bottom"/>
          </w:tcPr>
          <w:p>
            <w:pPr>
              <w:spacing w:after="0" w:line="229" w:lineRule="exact"/>
              <w:rPr>
                <w:sz w:val="20"/>
                <w:szCs w:val="20"/>
                <w:color w:val="auto"/>
              </w:rPr>
            </w:pPr>
            <w:r>
              <w:rPr>
                <w:rFonts w:ascii="Arial" w:cs="Arial" w:eastAsia="Arial" w:hAnsi="Arial"/>
                <w:sz w:val="18"/>
                <w:szCs w:val="18"/>
                <w:color w:val="auto"/>
              </w:rPr>
              <w:t>Carbajal</w:t>
            </w:r>
            <w:r>
              <w:rPr>
                <w:rFonts w:ascii="Arial" w:cs="Arial" w:eastAsia="Arial" w:hAnsi="Arial"/>
                <w:sz w:val="22"/>
                <w:szCs w:val="22"/>
                <w:color w:val="auto"/>
                <w:vertAlign w:val="superscript"/>
              </w:rPr>
              <w:t>(3)</w:t>
            </w:r>
          </w:p>
        </w:tc>
        <w:tc>
          <w:tcPr>
            <w:tcW w:w="1900" w:type="dxa"/>
            <w:vAlign w:val="bottom"/>
          </w:tcPr>
          <w:p>
            <w:pPr>
              <w:spacing w:after="0"/>
              <w:rPr>
                <w:sz w:val="19"/>
                <w:szCs w:val="19"/>
                <w:color w:val="auto"/>
              </w:rPr>
            </w:pPr>
          </w:p>
        </w:tc>
        <w:tc>
          <w:tcPr>
            <w:tcW w:w="7540" w:type="dxa"/>
            <w:vAlign w:val="bottom"/>
          </w:tcPr>
          <w:p>
            <w:pPr>
              <w:spacing w:after="0"/>
              <w:rPr>
                <w:sz w:val="19"/>
                <w:szCs w:val="19"/>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 and</w:t>
            </w:r>
          </w:p>
        </w:tc>
        <w:tc>
          <w:tcPr>
            <w:tcW w:w="1900" w:type="dxa"/>
            <w:vAlign w:val="bottom"/>
          </w:tcPr>
          <w:p>
            <w:pPr>
              <w:ind w:left="220"/>
              <w:spacing w:after="0"/>
              <w:rPr>
                <w:sz w:val="20"/>
                <w:szCs w:val="20"/>
                <w:color w:val="auto"/>
              </w:rPr>
            </w:pPr>
            <w:r>
              <w:rPr>
                <w:rFonts w:ascii="Arial" w:cs="Arial" w:eastAsia="Arial" w:hAnsi="Arial"/>
                <w:sz w:val="18"/>
                <w:szCs w:val="18"/>
                <w:color w:val="auto"/>
              </w:rPr>
              <w:t>First elected</w:t>
            </w:r>
          </w:p>
        </w:tc>
        <w:tc>
          <w:tcPr>
            <w:tcW w:w="7540" w:type="dxa"/>
            <w:vAlign w:val="bottom"/>
          </w:tcPr>
          <w:p>
            <w:pPr>
              <w:ind w:left="160"/>
              <w:spacing w:after="0"/>
              <w:rPr>
                <w:sz w:val="20"/>
                <w:szCs w:val="20"/>
                <w:color w:val="auto"/>
              </w:rPr>
            </w:pPr>
            <w:r>
              <w:rPr>
                <w:rFonts w:ascii="Arial" w:cs="Arial" w:eastAsia="Arial" w:hAnsi="Arial"/>
                <w:sz w:val="18"/>
                <w:szCs w:val="18"/>
                <w:color w:val="auto"/>
              </w:rPr>
              <w:t>2001</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Chairman of the</w:t>
            </w:r>
          </w:p>
        </w:tc>
        <w:tc>
          <w:tcPr>
            <w:tcW w:w="1900" w:type="dxa"/>
            <w:vAlign w:val="bottom"/>
          </w:tcPr>
          <w:p>
            <w:pPr>
              <w:ind w:left="220"/>
              <w:spacing w:after="0"/>
              <w:rPr>
                <w:sz w:val="20"/>
                <w:szCs w:val="20"/>
                <w:color w:val="auto"/>
              </w:rPr>
            </w:pPr>
            <w:r>
              <w:rPr>
                <w:rFonts w:ascii="Arial" w:cs="Arial" w:eastAsia="Arial" w:hAnsi="Arial"/>
                <w:sz w:val="18"/>
                <w:szCs w:val="18"/>
                <w:color w:val="auto"/>
              </w:rPr>
              <w:t>(Chairman):</w:t>
            </w:r>
          </w:p>
        </w:tc>
        <w:tc>
          <w:tcPr>
            <w:tcW w:w="7540" w:type="dxa"/>
            <w:vAlign w:val="bottom"/>
          </w:tcPr>
          <w:p>
            <w:pPr>
              <w:spacing w:after="0"/>
              <w:rPr>
                <w:sz w:val="18"/>
                <w:szCs w:val="18"/>
                <w:color w:val="auto"/>
              </w:rPr>
            </w:pPr>
          </w:p>
        </w:tc>
      </w:tr>
      <w:tr>
        <w:trPr>
          <w:trHeight w:val="222"/>
        </w:trPr>
        <w:tc>
          <w:tcPr>
            <w:tcW w:w="1940" w:type="dxa"/>
            <w:vAlign w:val="bottom"/>
          </w:tcPr>
          <w:p>
            <w:pPr>
              <w:spacing w:after="0"/>
              <w:rPr>
                <w:sz w:val="20"/>
                <w:szCs w:val="20"/>
                <w:color w:val="auto"/>
              </w:rPr>
            </w:pPr>
            <w:r>
              <w:rPr>
                <w:rFonts w:ascii="Arial" w:cs="Arial" w:eastAsia="Arial" w:hAnsi="Arial"/>
                <w:sz w:val="18"/>
                <w:szCs w:val="18"/>
                <w:i w:val="1"/>
                <w:iCs w:val="1"/>
                <w:color w:val="auto"/>
              </w:rPr>
              <w:t>Board</w:t>
            </w:r>
          </w:p>
        </w:tc>
        <w:tc>
          <w:tcPr>
            <w:tcW w:w="1900" w:type="dxa"/>
            <w:vAlign w:val="bottom"/>
          </w:tcPr>
          <w:p>
            <w:pPr>
              <w:spacing w:after="0"/>
              <w:rPr>
                <w:sz w:val="19"/>
                <w:szCs w:val="19"/>
                <w:color w:val="auto"/>
              </w:rPr>
            </w:pPr>
          </w:p>
        </w:tc>
        <w:tc>
          <w:tcPr>
            <w:tcW w:w="7540" w:type="dxa"/>
            <w:vAlign w:val="bottom"/>
          </w:tcPr>
          <w:p>
            <w:pPr>
              <w:spacing w:after="0"/>
              <w:rPr>
                <w:sz w:val="19"/>
                <w:szCs w:val="19"/>
                <w:color w:val="auto"/>
              </w:rPr>
            </w:pPr>
          </w:p>
        </w:tc>
      </w:tr>
      <w:tr>
        <w:trPr>
          <w:trHeight w:val="223"/>
        </w:trPr>
        <w:tc>
          <w:tcPr>
            <w:tcW w:w="1940" w:type="dxa"/>
            <w:vAlign w:val="bottom"/>
          </w:tcPr>
          <w:p>
            <w:pPr>
              <w:spacing w:after="0"/>
              <w:rPr>
                <w:sz w:val="19"/>
                <w:szCs w:val="19"/>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First elected</w:t>
            </w:r>
          </w:p>
        </w:tc>
        <w:tc>
          <w:tcPr>
            <w:tcW w:w="7540" w:type="dxa"/>
            <w:vAlign w:val="bottom"/>
          </w:tcPr>
          <w:p>
            <w:pPr>
              <w:ind w:left="160"/>
              <w:spacing w:after="0"/>
              <w:rPr>
                <w:sz w:val="20"/>
                <w:szCs w:val="20"/>
                <w:color w:val="auto"/>
              </w:rPr>
            </w:pPr>
            <w:r>
              <w:rPr>
                <w:rFonts w:ascii="Arial" w:cs="Arial" w:eastAsia="Arial" w:hAnsi="Arial"/>
                <w:sz w:val="18"/>
                <w:szCs w:val="18"/>
                <w:color w:val="auto"/>
              </w:rPr>
              <w:t>1984</w:t>
            </w:r>
          </w:p>
        </w:tc>
      </w:tr>
      <w:tr>
        <w:trPr>
          <w:trHeight w:val="222"/>
        </w:trPr>
        <w:tc>
          <w:tcPr>
            <w:tcW w:w="1940" w:type="dxa"/>
            <w:vAlign w:val="bottom"/>
          </w:tcPr>
          <w:p>
            <w:pPr>
              <w:spacing w:after="0"/>
              <w:rPr>
                <w:sz w:val="19"/>
                <w:szCs w:val="19"/>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7540" w:type="dxa"/>
            <w:vAlign w:val="bottom"/>
          </w:tcPr>
          <w:p>
            <w:pPr>
              <w:spacing w:after="0"/>
              <w:rPr>
                <w:sz w:val="19"/>
                <w:szCs w:val="19"/>
                <w:color w:val="auto"/>
              </w:rPr>
            </w:pPr>
          </w:p>
        </w:tc>
      </w:tr>
      <w:tr>
        <w:trPr>
          <w:trHeight w:val="223"/>
        </w:trPr>
        <w:tc>
          <w:tcPr>
            <w:tcW w:w="1940" w:type="dxa"/>
            <w:vAlign w:val="bottom"/>
          </w:tcPr>
          <w:p>
            <w:pPr>
              <w:spacing w:after="0"/>
              <w:rPr>
                <w:sz w:val="19"/>
                <w:szCs w:val="19"/>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Term expires:</w:t>
            </w:r>
          </w:p>
        </w:tc>
        <w:tc>
          <w:tcPr>
            <w:tcW w:w="7540" w:type="dxa"/>
            <w:vAlign w:val="bottom"/>
          </w:tcPr>
          <w:p>
            <w:pPr>
              <w:ind w:left="160"/>
              <w:spacing w:after="0"/>
              <w:rPr>
                <w:sz w:val="20"/>
                <w:szCs w:val="20"/>
                <w:color w:val="auto"/>
              </w:rPr>
            </w:pPr>
            <w:r>
              <w:rPr>
                <w:rFonts w:ascii="Arial" w:cs="Arial" w:eastAsia="Arial" w:hAnsi="Arial"/>
                <w:sz w:val="18"/>
                <w:szCs w:val="18"/>
                <w:color w:val="auto"/>
              </w:rPr>
              <w:t>2009</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w w:val="99"/>
              </w:rPr>
              <w:t>Principal occupation:</w:t>
            </w:r>
          </w:p>
        </w:tc>
        <w:tc>
          <w:tcPr>
            <w:tcW w:w="7540" w:type="dxa"/>
            <w:vAlign w:val="bottom"/>
          </w:tcPr>
          <w:p>
            <w:pPr>
              <w:ind w:left="160"/>
              <w:spacing w:after="0"/>
              <w:rPr>
                <w:sz w:val="20"/>
                <w:szCs w:val="20"/>
                <w:color w:val="auto"/>
              </w:rPr>
            </w:pPr>
            <w:r>
              <w:rPr>
                <w:rFonts w:ascii="Arial" w:cs="Arial" w:eastAsia="Arial" w:hAnsi="Arial"/>
                <w:sz w:val="18"/>
                <w:szCs w:val="18"/>
                <w:color w:val="auto"/>
              </w:rPr>
              <w:t>Chief Executive Officer of FEMSA</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Other directorships:</w:t>
            </w:r>
          </w:p>
        </w:tc>
        <w:tc>
          <w:tcPr>
            <w:tcW w:w="7540" w:type="dxa"/>
            <w:vAlign w:val="bottom"/>
          </w:tcPr>
          <w:p>
            <w:pPr>
              <w:ind w:left="160"/>
              <w:spacing w:after="0"/>
              <w:rPr>
                <w:sz w:val="20"/>
                <w:szCs w:val="20"/>
                <w:color w:val="auto"/>
              </w:rPr>
            </w:pPr>
            <w:r>
              <w:rPr>
                <w:rFonts w:ascii="Arial" w:cs="Arial" w:eastAsia="Arial" w:hAnsi="Arial"/>
                <w:sz w:val="18"/>
                <w:szCs w:val="18"/>
                <w:color w:val="auto"/>
                <w:w w:val="89"/>
              </w:rPr>
              <w:t>Chairman of the board of Coca-Cola FEMSA, Vice-Chairman of the board of ITESM and member of the</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w w:val="88"/>
              </w:rPr>
              <w:t>boards of BBVA Bancomer, BBVA Bancomer, S.A., Industrias Peñoles, S.A.B. de C.V. (Peñoles), Grupo</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w w:val="89"/>
              </w:rPr>
              <w:t>Industrial Bimbo, S.A.B. de C.V. (Bimbo), Grupo Televisa S.A.B. and Controladora Vuela Compañia de</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Aviación S.A. de CV (“Volaris”)</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w w:val="97"/>
              </w:rPr>
              <w:t>Business experience:</w:t>
            </w:r>
          </w:p>
        </w:tc>
        <w:tc>
          <w:tcPr>
            <w:tcW w:w="7540" w:type="dxa"/>
            <w:vAlign w:val="bottom"/>
          </w:tcPr>
          <w:p>
            <w:pPr>
              <w:ind w:left="160"/>
              <w:spacing w:after="0"/>
              <w:rPr>
                <w:sz w:val="20"/>
                <w:szCs w:val="20"/>
                <w:color w:val="auto"/>
              </w:rPr>
            </w:pPr>
            <w:r>
              <w:rPr>
                <w:rFonts w:ascii="Arial" w:cs="Arial" w:eastAsia="Arial" w:hAnsi="Arial"/>
                <w:sz w:val="18"/>
                <w:szCs w:val="18"/>
                <w:color w:val="auto"/>
                <w:w w:val="89"/>
              </w:rPr>
              <w:t>Joined FEMSA’s strategic planning department in 1987, held managerial positions at FEMSA Cerveza’s</w:t>
            </w:r>
          </w:p>
        </w:tc>
      </w:tr>
      <w:tr>
        <w:trPr>
          <w:trHeight w:val="216"/>
        </w:trPr>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commercial division and OXXO and appointed our Chief Executive Officer in 1995</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Education:</w:t>
            </w:r>
          </w:p>
        </w:tc>
        <w:tc>
          <w:tcPr>
            <w:tcW w:w="7540" w:type="dxa"/>
            <w:vAlign w:val="bottom"/>
          </w:tcPr>
          <w:p>
            <w:pPr>
              <w:ind w:left="160"/>
              <w:spacing w:after="0"/>
              <w:rPr>
                <w:sz w:val="20"/>
                <w:szCs w:val="20"/>
                <w:color w:val="auto"/>
              </w:rPr>
            </w:pPr>
            <w:r>
              <w:rPr>
                <w:rFonts w:ascii="Arial" w:cs="Arial" w:eastAsia="Arial" w:hAnsi="Arial"/>
                <w:sz w:val="18"/>
                <w:szCs w:val="18"/>
                <w:color w:val="auto"/>
              </w:rPr>
              <w:t>Holds a degree in industrial engineering and an MBA from ITESM</w:t>
            </w:r>
          </w:p>
        </w:tc>
      </w:tr>
      <w:tr>
        <w:trPr>
          <w:trHeight w:val="222"/>
        </w:trPr>
        <w:tc>
          <w:tcPr>
            <w:tcW w:w="1940" w:type="dxa"/>
            <w:vAlign w:val="bottom"/>
          </w:tcPr>
          <w:p>
            <w:pPr>
              <w:spacing w:after="0"/>
              <w:rPr>
                <w:sz w:val="19"/>
                <w:szCs w:val="19"/>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Alternate director:</w:t>
            </w:r>
          </w:p>
        </w:tc>
        <w:tc>
          <w:tcPr>
            <w:tcW w:w="7540" w:type="dxa"/>
            <w:vAlign w:val="bottom"/>
          </w:tcPr>
          <w:p>
            <w:pPr>
              <w:ind w:left="160"/>
              <w:spacing w:after="0"/>
              <w:rPr>
                <w:sz w:val="20"/>
                <w:szCs w:val="20"/>
                <w:color w:val="auto"/>
              </w:rPr>
            </w:pPr>
            <w:r>
              <w:rPr>
                <w:rFonts w:ascii="Arial" w:cs="Arial" w:eastAsia="Arial" w:hAnsi="Arial"/>
                <w:sz w:val="18"/>
                <w:szCs w:val="18"/>
                <w:color w:val="auto"/>
              </w:rPr>
              <w:t>Federico Reyes García</w:t>
            </w:r>
          </w:p>
        </w:tc>
      </w:tr>
      <w:tr>
        <w:trPr>
          <w:trHeight w:val="318"/>
        </w:trPr>
        <w:tc>
          <w:tcPr>
            <w:tcW w:w="1940" w:type="dxa"/>
            <w:vAlign w:val="bottom"/>
          </w:tcPr>
          <w:p>
            <w:pPr>
              <w:spacing w:after="0"/>
              <w:rPr>
                <w:sz w:val="20"/>
                <w:szCs w:val="20"/>
                <w:color w:val="auto"/>
              </w:rPr>
            </w:pPr>
            <w:r>
              <w:rPr>
                <w:rFonts w:ascii="Arial" w:cs="Arial" w:eastAsia="Arial" w:hAnsi="Arial"/>
                <w:sz w:val="18"/>
                <w:szCs w:val="18"/>
                <w:color w:val="auto"/>
              </w:rPr>
              <w:t>Bárbara Garza de</w:t>
            </w:r>
          </w:p>
        </w:tc>
        <w:tc>
          <w:tcPr>
            <w:tcW w:w="1900" w:type="dxa"/>
            <w:vAlign w:val="bottom"/>
          </w:tcPr>
          <w:p>
            <w:pPr>
              <w:ind w:left="220"/>
              <w:spacing w:after="0"/>
              <w:rPr>
                <w:sz w:val="20"/>
                <w:szCs w:val="20"/>
                <w:color w:val="auto"/>
              </w:rPr>
            </w:pPr>
            <w:r>
              <w:rPr>
                <w:rFonts w:ascii="Arial" w:cs="Arial" w:eastAsia="Arial" w:hAnsi="Arial"/>
                <w:sz w:val="18"/>
                <w:szCs w:val="18"/>
                <w:color w:val="auto"/>
              </w:rPr>
              <w:t>Born:</w:t>
            </w:r>
          </w:p>
        </w:tc>
        <w:tc>
          <w:tcPr>
            <w:tcW w:w="7540" w:type="dxa"/>
            <w:vAlign w:val="bottom"/>
          </w:tcPr>
          <w:p>
            <w:pPr>
              <w:ind w:left="160"/>
              <w:spacing w:after="0"/>
              <w:rPr>
                <w:sz w:val="20"/>
                <w:szCs w:val="20"/>
                <w:color w:val="auto"/>
              </w:rPr>
            </w:pPr>
            <w:r>
              <w:rPr>
                <w:rFonts w:ascii="Arial" w:cs="Arial" w:eastAsia="Arial" w:hAnsi="Arial"/>
                <w:sz w:val="18"/>
                <w:szCs w:val="18"/>
                <w:color w:val="auto"/>
              </w:rPr>
              <w:t>April 1958</w:t>
            </w:r>
          </w:p>
        </w:tc>
      </w:tr>
      <w:tr>
        <w:trPr>
          <w:trHeight w:val="230"/>
        </w:trPr>
        <w:tc>
          <w:tcPr>
            <w:tcW w:w="1940" w:type="dxa"/>
            <w:vAlign w:val="bottom"/>
          </w:tcPr>
          <w:p>
            <w:pPr>
              <w:spacing w:after="0" w:line="229" w:lineRule="exact"/>
              <w:rPr>
                <w:sz w:val="20"/>
                <w:szCs w:val="20"/>
                <w:color w:val="auto"/>
              </w:rPr>
            </w:pPr>
            <w:r>
              <w:rPr>
                <w:rFonts w:ascii="Arial" w:cs="Arial" w:eastAsia="Arial" w:hAnsi="Arial"/>
                <w:sz w:val="18"/>
                <w:szCs w:val="18"/>
                <w:color w:val="auto"/>
              </w:rPr>
              <w:t xml:space="preserve">Braniff </w:t>
            </w:r>
            <w:r>
              <w:rPr>
                <w:rFonts w:ascii="Arial" w:cs="Arial" w:eastAsia="Arial" w:hAnsi="Arial"/>
                <w:sz w:val="22"/>
                <w:szCs w:val="22"/>
                <w:color w:val="auto"/>
                <w:vertAlign w:val="superscript"/>
              </w:rPr>
              <w:t>(1)(2)</w:t>
            </w:r>
          </w:p>
        </w:tc>
        <w:tc>
          <w:tcPr>
            <w:tcW w:w="1900" w:type="dxa"/>
            <w:vAlign w:val="bottom"/>
          </w:tcPr>
          <w:p>
            <w:pPr>
              <w:spacing w:after="0"/>
              <w:rPr>
                <w:sz w:val="19"/>
                <w:szCs w:val="19"/>
                <w:color w:val="auto"/>
              </w:rPr>
            </w:pPr>
          </w:p>
        </w:tc>
        <w:tc>
          <w:tcPr>
            <w:tcW w:w="7540" w:type="dxa"/>
            <w:vAlign w:val="bottom"/>
          </w:tcPr>
          <w:p>
            <w:pPr>
              <w:spacing w:after="0"/>
              <w:rPr>
                <w:sz w:val="19"/>
                <w:szCs w:val="19"/>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ind w:left="220"/>
              <w:spacing w:after="0"/>
              <w:rPr>
                <w:sz w:val="20"/>
                <w:szCs w:val="20"/>
                <w:color w:val="auto"/>
              </w:rPr>
            </w:pPr>
            <w:r>
              <w:rPr>
                <w:rFonts w:ascii="Arial" w:cs="Arial" w:eastAsia="Arial" w:hAnsi="Arial"/>
                <w:sz w:val="18"/>
                <w:szCs w:val="18"/>
                <w:color w:val="auto"/>
              </w:rPr>
              <w:t>First elected:</w:t>
            </w:r>
          </w:p>
        </w:tc>
        <w:tc>
          <w:tcPr>
            <w:tcW w:w="7540" w:type="dxa"/>
            <w:vAlign w:val="bottom"/>
          </w:tcPr>
          <w:p>
            <w:pPr>
              <w:ind w:left="160"/>
              <w:spacing w:after="0"/>
              <w:rPr>
                <w:sz w:val="20"/>
                <w:szCs w:val="20"/>
                <w:color w:val="auto"/>
              </w:rPr>
            </w:pPr>
            <w:r>
              <w:rPr>
                <w:rFonts w:ascii="Arial" w:cs="Arial" w:eastAsia="Arial" w:hAnsi="Arial"/>
                <w:sz w:val="18"/>
                <w:szCs w:val="18"/>
                <w:color w:val="auto"/>
              </w:rPr>
              <w:t>2005</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Term expires:</w:t>
            </w:r>
          </w:p>
        </w:tc>
        <w:tc>
          <w:tcPr>
            <w:tcW w:w="7540" w:type="dxa"/>
            <w:vAlign w:val="bottom"/>
          </w:tcPr>
          <w:p>
            <w:pPr>
              <w:ind w:left="160"/>
              <w:spacing w:after="0"/>
              <w:rPr>
                <w:sz w:val="20"/>
                <w:szCs w:val="20"/>
                <w:color w:val="auto"/>
              </w:rPr>
            </w:pPr>
            <w:r>
              <w:rPr>
                <w:rFonts w:ascii="Arial" w:cs="Arial" w:eastAsia="Arial" w:hAnsi="Arial"/>
                <w:sz w:val="18"/>
                <w:szCs w:val="18"/>
                <w:color w:val="auto"/>
              </w:rPr>
              <w:t>2009</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w w:val="99"/>
              </w:rPr>
              <w:t>Principal occupation:</w:t>
            </w:r>
          </w:p>
        </w:tc>
        <w:tc>
          <w:tcPr>
            <w:tcW w:w="7540" w:type="dxa"/>
            <w:vAlign w:val="bottom"/>
          </w:tcPr>
          <w:p>
            <w:pPr>
              <w:ind w:left="160"/>
              <w:spacing w:after="0"/>
              <w:rPr>
                <w:sz w:val="20"/>
                <w:szCs w:val="20"/>
                <w:color w:val="auto"/>
              </w:rPr>
            </w:pPr>
            <w:r>
              <w:rPr>
                <w:rFonts w:ascii="Arial" w:cs="Arial" w:eastAsia="Arial" w:hAnsi="Arial"/>
                <w:sz w:val="18"/>
                <w:szCs w:val="18"/>
                <w:color w:val="auto"/>
              </w:rPr>
              <w:t>Private investor</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w w:val="97"/>
              </w:rPr>
              <w:t>Business experience:</w:t>
            </w:r>
          </w:p>
        </w:tc>
        <w:tc>
          <w:tcPr>
            <w:tcW w:w="7540" w:type="dxa"/>
            <w:vAlign w:val="bottom"/>
          </w:tcPr>
          <w:p>
            <w:pPr>
              <w:ind w:left="160"/>
              <w:spacing w:after="0"/>
              <w:rPr>
                <w:sz w:val="20"/>
                <w:szCs w:val="20"/>
                <w:color w:val="auto"/>
              </w:rPr>
            </w:pPr>
            <w:r>
              <w:rPr>
                <w:rFonts w:ascii="Arial" w:cs="Arial" w:eastAsia="Arial" w:hAnsi="Arial"/>
                <w:sz w:val="18"/>
                <w:szCs w:val="18"/>
                <w:color w:val="auto"/>
                <w:w w:val="92"/>
              </w:rPr>
              <w:t>Former President / Chief Executive Officer of Alternativas Pacíficas, A.C., (a non-profit organization)</w:t>
            </w:r>
          </w:p>
        </w:tc>
      </w:tr>
      <w:tr>
        <w:trPr>
          <w:trHeight w:val="216"/>
        </w:trPr>
        <w:tc>
          <w:tcPr>
            <w:tcW w:w="1940" w:type="dxa"/>
            <w:vAlign w:val="bottom"/>
          </w:tcPr>
          <w:p>
            <w:pPr>
              <w:spacing w:after="0"/>
              <w:rPr>
                <w:sz w:val="18"/>
                <w:szCs w:val="18"/>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Education:</w:t>
            </w:r>
          </w:p>
        </w:tc>
        <w:tc>
          <w:tcPr>
            <w:tcW w:w="7540" w:type="dxa"/>
            <w:vAlign w:val="bottom"/>
          </w:tcPr>
          <w:p>
            <w:pPr>
              <w:ind w:left="160"/>
              <w:spacing w:after="0"/>
              <w:rPr>
                <w:sz w:val="20"/>
                <w:szCs w:val="20"/>
                <w:color w:val="auto"/>
              </w:rPr>
            </w:pPr>
            <w:r>
              <w:rPr>
                <w:rFonts w:ascii="Arial" w:cs="Arial" w:eastAsia="Arial" w:hAnsi="Arial"/>
                <w:sz w:val="18"/>
                <w:szCs w:val="18"/>
                <w:color w:val="auto"/>
              </w:rPr>
              <w:t>Holds a business administration degree from ITESM</w:t>
            </w:r>
          </w:p>
        </w:tc>
      </w:tr>
      <w:tr>
        <w:trPr>
          <w:trHeight w:val="299"/>
        </w:trPr>
        <w:tc>
          <w:tcPr>
            <w:tcW w:w="1940" w:type="dxa"/>
            <w:vAlign w:val="bottom"/>
          </w:tcPr>
          <w:p>
            <w:pPr>
              <w:spacing w:after="0"/>
              <w:rPr>
                <w:sz w:val="24"/>
                <w:szCs w:val="24"/>
                <w:color w:val="auto"/>
              </w:rPr>
            </w:pPr>
          </w:p>
        </w:tc>
        <w:tc>
          <w:tcPr>
            <w:tcW w:w="1900" w:type="dxa"/>
            <w:vAlign w:val="bottom"/>
          </w:tcPr>
          <w:p>
            <w:pPr>
              <w:ind w:left="220"/>
              <w:spacing w:after="0"/>
              <w:rPr>
                <w:sz w:val="20"/>
                <w:szCs w:val="20"/>
                <w:color w:val="auto"/>
              </w:rPr>
            </w:pPr>
            <w:r>
              <w:rPr>
                <w:rFonts w:ascii="Arial" w:cs="Arial" w:eastAsia="Arial" w:hAnsi="Arial"/>
                <w:sz w:val="18"/>
                <w:szCs w:val="18"/>
                <w:color w:val="auto"/>
              </w:rPr>
              <w:t>Alternate director:</w:t>
            </w:r>
          </w:p>
        </w:tc>
        <w:tc>
          <w:tcPr>
            <w:tcW w:w="7540" w:type="dxa"/>
            <w:vAlign w:val="bottom"/>
          </w:tcPr>
          <w:p>
            <w:pPr>
              <w:ind w:left="160"/>
              <w:spacing w:after="0"/>
              <w:rPr>
                <w:sz w:val="20"/>
                <w:szCs w:val="20"/>
                <w:color w:val="auto"/>
              </w:rPr>
            </w:pPr>
            <w:r>
              <w:rPr>
                <w:rFonts w:ascii="Arial" w:cs="Arial" w:eastAsia="Arial" w:hAnsi="Arial"/>
                <w:sz w:val="18"/>
                <w:szCs w:val="18"/>
                <w:color w:val="auto"/>
              </w:rPr>
              <w:t xml:space="preserve">Eva Garza de Fernández </w:t>
            </w:r>
            <w:r>
              <w:rPr>
                <w:rFonts w:ascii="Arial" w:cs="Arial" w:eastAsia="Arial" w:hAnsi="Arial"/>
                <w:sz w:val="22"/>
                <w:szCs w:val="22"/>
                <w:color w:val="auto"/>
                <w:vertAlign w:val="superscript"/>
              </w:rPr>
              <w:t>(1) (4)</w:t>
            </w:r>
          </w:p>
        </w:tc>
      </w:tr>
      <w:tr>
        <w:trPr>
          <w:trHeight w:val="288"/>
        </w:trPr>
        <w:tc>
          <w:tcPr>
            <w:tcW w:w="1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540" w:type="dxa"/>
            <w:vAlign w:val="bottom"/>
          </w:tcPr>
          <w:p>
            <w:pPr>
              <w:ind w:left="178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José Calderón Rojas</w:t>
            </w:r>
          </w:p>
        </w:tc>
        <w:tc>
          <w:tcPr>
            <w:tcW w:w="2040" w:type="dxa"/>
            <w:vAlign w:val="bottom"/>
          </w:tcPr>
          <w:p>
            <w:pPr>
              <w:ind w:left="320"/>
              <w:spacing w:after="0"/>
              <w:rPr>
                <w:sz w:val="20"/>
                <w:szCs w:val="20"/>
                <w:color w:val="auto"/>
              </w:rPr>
            </w:pPr>
            <w:r>
              <w:rPr>
                <w:rFonts w:ascii="Arial" w:cs="Arial" w:eastAsia="Arial" w:hAnsi="Arial"/>
                <w:sz w:val="18"/>
                <w:szCs w:val="18"/>
                <w:color w:val="auto"/>
              </w:rPr>
              <w:t>Born:</w:t>
            </w:r>
          </w:p>
        </w:tc>
        <w:tc>
          <w:tcPr>
            <w:tcW w:w="7360" w:type="dxa"/>
            <w:vAlign w:val="bottom"/>
          </w:tcPr>
          <w:p>
            <w:pPr>
              <w:ind w:left="240"/>
              <w:spacing w:after="0"/>
              <w:rPr>
                <w:sz w:val="20"/>
                <w:szCs w:val="20"/>
                <w:color w:val="auto"/>
              </w:rPr>
            </w:pPr>
            <w:r>
              <w:rPr>
                <w:rFonts w:ascii="Arial" w:cs="Arial" w:eastAsia="Arial" w:hAnsi="Arial"/>
                <w:sz w:val="18"/>
                <w:szCs w:val="18"/>
                <w:color w:val="auto"/>
              </w:rPr>
              <w:t>July 1954</w:t>
            </w: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320"/>
              <w:spacing w:after="0"/>
              <w:rPr>
                <w:sz w:val="20"/>
                <w:szCs w:val="20"/>
                <w:color w:val="auto"/>
              </w:rPr>
            </w:pPr>
            <w:r>
              <w:rPr>
                <w:rFonts w:ascii="Arial" w:cs="Arial" w:eastAsia="Arial" w:hAnsi="Arial"/>
                <w:sz w:val="18"/>
                <w:szCs w:val="18"/>
                <w:color w:val="auto"/>
              </w:rPr>
              <w:t>First elected:</w:t>
            </w:r>
          </w:p>
        </w:tc>
        <w:tc>
          <w:tcPr>
            <w:tcW w:w="7360" w:type="dxa"/>
            <w:vAlign w:val="bottom"/>
          </w:tcPr>
          <w:p>
            <w:pPr>
              <w:ind w:left="240"/>
              <w:spacing w:after="0"/>
              <w:rPr>
                <w:sz w:val="20"/>
                <w:szCs w:val="20"/>
                <w:color w:val="auto"/>
              </w:rPr>
            </w:pPr>
            <w:r>
              <w:rPr>
                <w:rFonts w:ascii="Arial" w:cs="Arial" w:eastAsia="Arial" w:hAnsi="Arial"/>
                <w:sz w:val="18"/>
                <w:szCs w:val="18"/>
                <w:color w:val="auto"/>
              </w:rPr>
              <w:t>2005</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Term expires:</w:t>
            </w:r>
          </w:p>
        </w:tc>
        <w:tc>
          <w:tcPr>
            <w:tcW w:w="736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Principal occupation:</w:t>
            </w:r>
          </w:p>
        </w:tc>
        <w:tc>
          <w:tcPr>
            <w:tcW w:w="7360" w:type="dxa"/>
            <w:vAlign w:val="bottom"/>
          </w:tcPr>
          <w:p>
            <w:pPr>
              <w:ind w:left="240"/>
              <w:spacing w:after="0"/>
              <w:rPr>
                <w:sz w:val="20"/>
                <w:szCs w:val="20"/>
                <w:color w:val="auto"/>
              </w:rPr>
            </w:pPr>
            <w:r>
              <w:rPr>
                <w:rFonts w:ascii="Arial" w:cs="Arial" w:eastAsia="Arial" w:hAnsi="Arial"/>
                <w:sz w:val="18"/>
                <w:szCs w:val="18"/>
                <w:color w:val="auto"/>
                <w:w w:val="92"/>
              </w:rPr>
              <w:t>Chairman of the board of Directors and Executive Vice-President of Servicios Administrativos de</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w w:val="92"/>
              </w:rPr>
              <w:t>Monterrey, S.A. de C.V., Regio Franca, S.A. de C.V., Franca Servicios, S.A. de C.V. and Franca</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Industrias, S.A. de C.V.</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Other directorships:</w:t>
            </w:r>
          </w:p>
        </w:tc>
        <w:tc>
          <w:tcPr>
            <w:tcW w:w="7360" w:type="dxa"/>
            <w:vAlign w:val="bottom"/>
          </w:tcPr>
          <w:p>
            <w:pPr>
              <w:ind w:left="240"/>
              <w:spacing w:after="0"/>
              <w:rPr>
                <w:sz w:val="20"/>
                <w:szCs w:val="20"/>
                <w:color w:val="auto"/>
              </w:rPr>
            </w:pPr>
            <w:r>
              <w:rPr>
                <w:rFonts w:ascii="Arial" w:cs="Arial" w:eastAsia="Arial" w:hAnsi="Arial"/>
                <w:sz w:val="18"/>
                <w:szCs w:val="18"/>
                <w:color w:val="auto"/>
              </w:rPr>
              <w:t>Member of the Board of BBVA Bancomer and Alfa, S.A.B. de C.V. (“Alfa”)</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Education:</w:t>
            </w:r>
          </w:p>
        </w:tc>
        <w:tc>
          <w:tcPr>
            <w:tcW w:w="7360" w:type="dxa"/>
            <w:vAlign w:val="bottom"/>
          </w:tcPr>
          <w:p>
            <w:pPr>
              <w:ind w:left="240"/>
              <w:spacing w:after="0"/>
              <w:rPr>
                <w:sz w:val="20"/>
                <w:szCs w:val="20"/>
                <w:color w:val="auto"/>
              </w:rPr>
            </w:pPr>
            <w:r>
              <w:rPr>
                <w:rFonts w:ascii="Arial" w:cs="Arial" w:eastAsia="Arial" w:hAnsi="Arial"/>
                <w:sz w:val="18"/>
                <w:szCs w:val="18"/>
                <w:color w:val="auto"/>
                <w:w w:val="97"/>
              </w:rPr>
              <w:t>Holds a law degree from the Universidad Autónoma de Nuevo León (UANL) and completed</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specialization studies in tax at UANL</w:t>
            </w:r>
          </w:p>
        </w:tc>
      </w:tr>
      <w:tr>
        <w:trPr>
          <w:trHeight w:val="299"/>
        </w:trPr>
        <w:tc>
          <w:tcPr>
            <w:tcW w:w="1960" w:type="dxa"/>
            <w:vAlign w:val="bottom"/>
          </w:tcPr>
          <w:p>
            <w:pPr>
              <w:spacing w:after="0"/>
              <w:rPr>
                <w:sz w:val="24"/>
                <w:szCs w:val="24"/>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Alternate director:</w:t>
            </w:r>
          </w:p>
        </w:tc>
        <w:tc>
          <w:tcPr>
            <w:tcW w:w="7360" w:type="dxa"/>
            <w:vAlign w:val="bottom"/>
          </w:tcPr>
          <w:p>
            <w:pPr>
              <w:ind w:left="240"/>
              <w:spacing w:after="0"/>
              <w:rPr>
                <w:sz w:val="20"/>
                <w:szCs w:val="20"/>
                <w:color w:val="auto"/>
              </w:rPr>
            </w:pPr>
            <w:r>
              <w:rPr>
                <w:rFonts w:ascii="Arial" w:cs="Arial" w:eastAsia="Arial" w:hAnsi="Arial"/>
                <w:sz w:val="18"/>
                <w:szCs w:val="18"/>
                <w:color w:val="auto"/>
              </w:rPr>
              <w:t>Francisco José Calderón Rojas</w:t>
            </w:r>
            <w:r>
              <w:rPr>
                <w:rFonts w:ascii="Arial" w:cs="Arial" w:eastAsia="Arial" w:hAnsi="Arial"/>
                <w:sz w:val="22"/>
                <w:szCs w:val="22"/>
                <w:color w:val="auto"/>
                <w:vertAlign w:val="superscript"/>
              </w:rPr>
              <w:t>(5)</w:t>
            </w:r>
          </w:p>
        </w:tc>
      </w:tr>
      <w:tr>
        <w:trPr>
          <w:trHeight w:val="241"/>
        </w:trPr>
        <w:tc>
          <w:tcPr>
            <w:tcW w:w="1960" w:type="dxa"/>
            <w:vAlign w:val="bottom"/>
          </w:tcPr>
          <w:p>
            <w:pPr>
              <w:spacing w:after="0"/>
              <w:rPr>
                <w:sz w:val="20"/>
                <w:szCs w:val="20"/>
                <w:color w:val="auto"/>
              </w:rPr>
            </w:pPr>
            <w:r>
              <w:rPr>
                <w:rFonts w:ascii="Arial" w:cs="Arial" w:eastAsia="Arial" w:hAnsi="Arial"/>
                <w:sz w:val="18"/>
                <w:szCs w:val="18"/>
                <w:color w:val="auto"/>
              </w:rPr>
              <w:t>Consuelo Garza de</w:t>
            </w:r>
          </w:p>
        </w:tc>
        <w:tc>
          <w:tcPr>
            <w:tcW w:w="2040" w:type="dxa"/>
            <w:vAlign w:val="bottom"/>
          </w:tcPr>
          <w:p>
            <w:pPr>
              <w:ind w:left="320"/>
              <w:spacing w:after="0"/>
              <w:rPr>
                <w:sz w:val="20"/>
                <w:szCs w:val="20"/>
                <w:color w:val="auto"/>
              </w:rPr>
            </w:pPr>
            <w:r>
              <w:rPr>
                <w:rFonts w:ascii="Arial" w:cs="Arial" w:eastAsia="Arial" w:hAnsi="Arial"/>
                <w:sz w:val="18"/>
                <w:szCs w:val="18"/>
                <w:color w:val="auto"/>
              </w:rPr>
              <w:t>Born:</w:t>
            </w:r>
          </w:p>
        </w:tc>
        <w:tc>
          <w:tcPr>
            <w:tcW w:w="7360" w:type="dxa"/>
            <w:vAlign w:val="bottom"/>
          </w:tcPr>
          <w:p>
            <w:pPr>
              <w:ind w:left="240"/>
              <w:spacing w:after="0"/>
              <w:rPr>
                <w:sz w:val="20"/>
                <w:szCs w:val="20"/>
                <w:color w:val="auto"/>
              </w:rPr>
            </w:pPr>
            <w:r>
              <w:rPr>
                <w:rFonts w:ascii="Arial" w:cs="Arial" w:eastAsia="Arial" w:hAnsi="Arial"/>
                <w:sz w:val="18"/>
                <w:szCs w:val="18"/>
                <w:color w:val="auto"/>
              </w:rPr>
              <w:t>October 1930</w:t>
            </w:r>
          </w:p>
        </w:tc>
      </w:tr>
      <w:tr>
        <w:trPr>
          <w:trHeight w:val="230"/>
        </w:trPr>
        <w:tc>
          <w:tcPr>
            <w:tcW w:w="1960" w:type="dxa"/>
            <w:vAlign w:val="bottom"/>
          </w:tcPr>
          <w:p>
            <w:pPr>
              <w:spacing w:after="0" w:line="229" w:lineRule="exact"/>
              <w:rPr>
                <w:sz w:val="20"/>
                <w:szCs w:val="20"/>
                <w:color w:val="auto"/>
              </w:rPr>
            </w:pPr>
            <w:r>
              <w:rPr>
                <w:rFonts w:ascii="Arial" w:cs="Arial" w:eastAsia="Arial" w:hAnsi="Arial"/>
                <w:sz w:val="18"/>
                <w:szCs w:val="18"/>
                <w:color w:val="auto"/>
              </w:rPr>
              <w:t>Garza</w:t>
            </w:r>
            <w:r>
              <w:rPr>
                <w:rFonts w:ascii="Arial" w:cs="Arial" w:eastAsia="Arial" w:hAnsi="Arial"/>
                <w:sz w:val="22"/>
                <w:szCs w:val="22"/>
                <w:color w:val="auto"/>
                <w:vertAlign w:val="superscript"/>
              </w:rPr>
              <w:t>(6)</w:t>
            </w:r>
          </w:p>
        </w:tc>
        <w:tc>
          <w:tcPr>
            <w:tcW w:w="2040" w:type="dxa"/>
            <w:vAlign w:val="bottom"/>
          </w:tcPr>
          <w:p>
            <w:pPr>
              <w:spacing w:after="0"/>
              <w:rPr>
                <w:sz w:val="19"/>
                <w:szCs w:val="19"/>
                <w:color w:val="auto"/>
              </w:rPr>
            </w:pPr>
          </w:p>
        </w:tc>
        <w:tc>
          <w:tcPr>
            <w:tcW w:w="7360" w:type="dxa"/>
            <w:vAlign w:val="bottom"/>
          </w:tcPr>
          <w:p>
            <w:pPr>
              <w:spacing w:after="0"/>
              <w:rPr>
                <w:sz w:val="19"/>
                <w:szCs w:val="19"/>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320"/>
              <w:spacing w:after="0"/>
              <w:rPr>
                <w:sz w:val="20"/>
                <w:szCs w:val="20"/>
                <w:color w:val="auto"/>
              </w:rPr>
            </w:pPr>
            <w:r>
              <w:rPr>
                <w:rFonts w:ascii="Arial" w:cs="Arial" w:eastAsia="Arial" w:hAnsi="Arial"/>
                <w:sz w:val="18"/>
                <w:szCs w:val="18"/>
                <w:color w:val="auto"/>
              </w:rPr>
              <w:t>First elected:</w:t>
            </w:r>
          </w:p>
        </w:tc>
        <w:tc>
          <w:tcPr>
            <w:tcW w:w="7360" w:type="dxa"/>
            <w:vAlign w:val="bottom"/>
          </w:tcPr>
          <w:p>
            <w:pPr>
              <w:ind w:left="240"/>
              <w:spacing w:after="0"/>
              <w:rPr>
                <w:sz w:val="20"/>
                <w:szCs w:val="20"/>
                <w:color w:val="auto"/>
              </w:rPr>
            </w:pPr>
            <w:r>
              <w:rPr>
                <w:rFonts w:ascii="Arial" w:cs="Arial" w:eastAsia="Arial" w:hAnsi="Arial"/>
                <w:sz w:val="18"/>
                <w:szCs w:val="18"/>
                <w:color w:val="auto"/>
              </w:rPr>
              <w:t>1995</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Term expires:</w:t>
            </w:r>
          </w:p>
        </w:tc>
        <w:tc>
          <w:tcPr>
            <w:tcW w:w="736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w w:val="99"/>
              </w:rPr>
              <w:t>Business experience:</w:t>
            </w:r>
          </w:p>
        </w:tc>
        <w:tc>
          <w:tcPr>
            <w:tcW w:w="7360" w:type="dxa"/>
            <w:vAlign w:val="bottom"/>
          </w:tcPr>
          <w:p>
            <w:pPr>
              <w:ind w:left="240"/>
              <w:spacing w:after="0"/>
              <w:rPr>
                <w:sz w:val="20"/>
                <w:szCs w:val="20"/>
                <w:color w:val="auto"/>
              </w:rPr>
            </w:pPr>
            <w:r>
              <w:rPr>
                <w:rFonts w:ascii="Arial" w:cs="Arial" w:eastAsia="Arial" w:hAnsi="Arial"/>
                <w:sz w:val="18"/>
                <w:szCs w:val="18"/>
                <w:color w:val="auto"/>
                <w:w w:val="95"/>
              </w:rPr>
              <w:t>Founder and former President of Asociación Nacional Pro-Superación Personal, (a non-profit</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organization)</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Alternate director:</w:t>
            </w:r>
          </w:p>
        </w:tc>
        <w:tc>
          <w:tcPr>
            <w:tcW w:w="7360" w:type="dxa"/>
            <w:vAlign w:val="bottom"/>
          </w:tcPr>
          <w:p>
            <w:pPr>
              <w:ind w:left="240"/>
              <w:spacing w:after="0" w:line="217" w:lineRule="exact"/>
              <w:rPr>
                <w:sz w:val="20"/>
                <w:szCs w:val="20"/>
                <w:color w:val="auto"/>
              </w:rPr>
            </w:pPr>
            <w:r>
              <w:rPr>
                <w:rFonts w:ascii="Arial" w:cs="Arial" w:eastAsia="Arial" w:hAnsi="Arial"/>
                <w:sz w:val="18"/>
                <w:szCs w:val="18"/>
                <w:color w:val="auto"/>
              </w:rPr>
              <w:t>Alfonso Garza Garza</w:t>
            </w:r>
            <w:r>
              <w:rPr>
                <w:rFonts w:ascii="Arial" w:cs="Arial" w:eastAsia="Arial" w:hAnsi="Arial"/>
                <w:sz w:val="22"/>
                <w:szCs w:val="22"/>
                <w:color w:val="auto"/>
                <w:vertAlign w:val="superscript"/>
              </w:rPr>
              <w:t>(7)</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Max Michel Suberville</w:t>
            </w:r>
          </w:p>
        </w:tc>
        <w:tc>
          <w:tcPr>
            <w:tcW w:w="2040" w:type="dxa"/>
            <w:vAlign w:val="bottom"/>
          </w:tcPr>
          <w:p>
            <w:pPr>
              <w:ind w:left="320"/>
              <w:spacing w:after="0"/>
              <w:rPr>
                <w:sz w:val="20"/>
                <w:szCs w:val="20"/>
                <w:color w:val="auto"/>
              </w:rPr>
            </w:pPr>
            <w:r>
              <w:rPr>
                <w:rFonts w:ascii="Arial" w:cs="Arial" w:eastAsia="Arial" w:hAnsi="Arial"/>
                <w:sz w:val="18"/>
                <w:szCs w:val="18"/>
                <w:color w:val="auto"/>
              </w:rPr>
              <w:t>Born:</w:t>
            </w:r>
          </w:p>
        </w:tc>
        <w:tc>
          <w:tcPr>
            <w:tcW w:w="7360" w:type="dxa"/>
            <w:vAlign w:val="bottom"/>
          </w:tcPr>
          <w:p>
            <w:pPr>
              <w:ind w:left="240"/>
              <w:spacing w:after="0"/>
              <w:rPr>
                <w:sz w:val="20"/>
                <w:szCs w:val="20"/>
                <w:color w:val="auto"/>
              </w:rPr>
            </w:pPr>
            <w:r>
              <w:rPr>
                <w:rFonts w:ascii="Arial" w:cs="Arial" w:eastAsia="Arial" w:hAnsi="Arial"/>
                <w:sz w:val="18"/>
                <w:szCs w:val="18"/>
                <w:color w:val="auto"/>
              </w:rPr>
              <w:t>July 1932</w:t>
            </w: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320"/>
              <w:spacing w:after="0"/>
              <w:rPr>
                <w:sz w:val="20"/>
                <w:szCs w:val="20"/>
                <w:color w:val="auto"/>
              </w:rPr>
            </w:pPr>
            <w:r>
              <w:rPr>
                <w:rFonts w:ascii="Arial" w:cs="Arial" w:eastAsia="Arial" w:hAnsi="Arial"/>
                <w:sz w:val="18"/>
                <w:szCs w:val="18"/>
                <w:color w:val="auto"/>
              </w:rPr>
              <w:t>First elected:</w:t>
            </w:r>
          </w:p>
        </w:tc>
        <w:tc>
          <w:tcPr>
            <w:tcW w:w="7360" w:type="dxa"/>
            <w:vAlign w:val="bottom"/>
          </w:tcPr>
          <w:p>
            <w:pPr>
              <w:ind w:left="240"/>
              <w:spacing w:after="0"/>
              <w:rPr>
                <w:sz w:val="20"/>
                <w:szCs w:val="20"/>
                <w:color w:val="auto"/>
              </w:rPr>
            </w:pPr>
            <w:r>
              <w:rPr>
                <w:rFonts w:ascii="Arial" w:cs="Arial" w:eastAsia="Arial" w:hAnsi="Arial"/>
                <w:sz w:val="18"/>
                <w:szCs w:val="18"/>
                <w:color w:val="auto"/>
              </w:rPr>
              <w:t>1985</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Term expires:</w:t>
            </w:r>
          </w:p>
        </w:tc>
        <w:tc>
          <w:tcPr>
            <w:tcW w:w="736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Principal occupation:</w:t>
            </w:r>
          </w:p>
        </w:tc>
        <w:tc>
          <w:tcPr>
            <w:tcW w:w="7360" w:type="dxa"/>
            <w:vAlign w:val="bottom"/>
          </w:tcPr>
          <w:p>
            <w:pPr>
              <w:ind w:left="240"/>
              <w:spacing w:after="0"/>
              <w:rPr>
                <w:sz w:val="20"/>
                <w:szCs w:val="20"/>
                <w:color w:val="auto"/>
              </w:rPr>
            </w:pPr>
            <w:r>
              <w:rPr>
                <w:rFonts w:ascii="Arial" w:cs="Arial" w:eastAsia="Arial" w:hAnsi="Arial"/>
                <w:sz w:val="18"/>
                <w:szCs w:val="18"/>
                <w:color w:val="auto"/>
              </w:rPr>
              <w:t>Honorary Chairman of the Board of El Puerto de Liverpool, S.A.B. de C.V.</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Other directorships:</w:t>
            </w:r>
          </w:p>
        </w:tc>
        <w:tc>
          <w:tcPr>
            <w:tcW w:w="7360" w:type="dxa"/>
            <w:vAlign w:val="bottom"/>
          </w:tcPr>
          <w:p>
            <w:pPr>
              <w:ind w:left="240"/>
              <w:spacing w:after="0"/>
              <w:rPr>
                <w:sz w:val="20"/>
                <w:szCs w:val="20"/>
                <w:color w:val="auto"/>
              </w:rPr>
            </w:pPr>
            <w:r>
              <w:rPr>
                <w:rFonts w:ascii="Arial" w:cs="Arial" w:eastAsia="Arial" w:hAnsi="Arial"/>
                <w:sz w:val="18"/>
                <w:szCs w:val="18"/>
                <w:color w:val="auto"/>
                <w:w w:val="87"/>
              </w:rPr>
              <w:t>Member of the boards of Grupo Lamosa, S.A.B. de C.V., Industrias Peñoles, S.A. de C.V., and Grupo</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Nacional Provincial, S.A. (GNP)</w:t>
            </w:r>
          </w:p>
        </w:tc>
      </w:tr>
      <w:tr>
        <w:trPr>
          <w:trHeight w:val="216"/>
        </w:trPr>
        <w:tc>
          <w:tcPr>
            <w:tcW w:w="196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Education:</w:t>
            </w:r>
          </w:p>
        </w:tc>
        <w:tc>
          <w:tcPr>
            <w:tcW w:w="7360" w:type="dxa"/>
            <w:vAlign w:val="bottom"/>
          </w:tcPr>
          <w:p>
            <w:pPr>
              <w:ind w:left="240"/>
              <w:spacing w:after="0"/>
              <w:rPr>
                <w:sz w:val="20"/>
                <w:szCs w:val="20"/>
                <w:color w:val="auto"/>
              </w:rPr>
            </w:pPr>
            <w:r>
              <w:rPr>
                <w:rFonts w:ascii="Arial" w:cs="Arial" w:eastAsia="Arial" w:hAnsi="Arial"/>
                <w:sz w:val="18"/>
                <w:szCs w:val="18"/>
                <w:color w:val="auto"/>
                <w:w w:val="94"/>
              </w:rPr>
              <w:t>Holds a graduate degree from The Massachusetts Institute of Technology and completed post-</w:t>
            </w:r>
          </w:p>
        </w:tc>
      </w:tr>
      <w:tr>
        <w:trPr>
          <w:trHeight w:val="216"/>
        </w:trPr>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graduate studies at Harvard University</w:t>
            </w:r>
          </w:p>
        </w:tc>
      </w:tr>
      <w:tr>
        <w:trPr>
          <w:trHeight w:val="299"/>
        </w:trPr>
        <w:tc>
          <w:tcPr>
            <w:tcW w:w="1960" w:type="dxa"/>
            <w:vAlign w:val="bottom"/>
          </w:tcPr>
          <w:p>
            <w:pPr>
              <w:spacing w:after="0"/>
              <w:rPr>
                <w:sz w:val="24"/>
                <w:szCs w:val="24"/>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Alternate director:</w:t>
            </w:r>
          </w:p>
        </w:tc>
        <w:tc>
          <w:tcPr>
            <w:tcW w:w="7360" w:type="dxa"/>
            <w:vAlign w:val="bottom"/>
          </w:tcPr>
          <w:p>
            <w:pPr>
              <w:ind w:left="240"/>
              <w:spacing w:after="0"/>
              <w:rPr>
                <w:sz w:val="20"/>
                <w:szCs w:val="20"/>
                <w:color w:val="auto"/>
              </w:rPr>
            </w:pPr>
            <w:r>
              <w:rPr>
                <w:rFonts w:ascii="Arial" w:cs="Arial" w:eastAsia="Arial" w:hAnsi="Arial"/>
                <w:sz w:val="18"/>
                <w:szCs w:val="18"/>
                <w:color w:val="auto"/>
              </w:rPr>
              <w:t>Max Michel González</w:t>
            </w:r>
            <w:r>
              <w:rPr>
                <w:rFonts w:ascii="Arial" w:cs="Arial" w:eastAsia="Arial" w:hAnsi="Arial"/>
                <w:sz w:val="22"/>
                <w:szCs w:val="22"/>
                <w:color w:val="auto"/>
                <w:vertAlign w:val="superscript"/>
              </w:rPr>
              <w:t>(8)</w:t>
            </w:r>
          </w:p>
        </w:tc>
      </w:tr>
      <w:tr>
        <w:trPr>
          <w:trHeight w:val="288"/>
        </w:trPr>
        <w:tc>
          <w:tcPr>
            <w:tcW w:w="1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360" w:type="dxa"/>
            <w:vAlign w:val="bottom"/>
          </w:tcPr>
          <w:p>
            <w:pPr>
              <w:ind w:left="162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Alberto Bailleres</w:t>
            </w:r>
          </w:p>
        </w:tc>
        <w:tc>
          <w:tcPr>
            <w:tcW w:w="2100" w:type="dxa"/>
            <w:vAlign w:val="bottom"/>
          </w:tcPr>
          <w:p>
            <w:pPr>
              <w:ind w:left="380"/>
              <w:spacing w:after="0"/>
              <w:rPr>
                <w:sz w:val="20"/>
                <w:szCs w:val="20"/>
                <w:color w:val="auto"/>
              </w:rPr>
            </w:pPr>
            <w:r>
              <w:rPr>
                <w:rFonts w:ascii="Arial" w:cs="Arial" w:eastAsia="Arial" w:hAnsi="Arial"/>
                <w:sz w:val="18"/>
                <w:szCs w:val="18"/>
                <w:color w:val="auto"/>
              </w:rPr>
              <w:t>Born:</w:t>
            </w:r>
          </w:p>
        </w:tc>
        <w:tc>
          <w:tcPr>
            <w:tcW w:w="7420" w:type="dxa"/>
            <w:vAlign w:val="bottom"/>
          </w:tcPr>
          <w:p>
            <w:pPr>
              <w:ind w:left="240"/>
              <w:spacing w:after="0"/>
              <w:rPr>
                <w:sz w:val="20"/>
                <w:szCs w:val="20"/>
                <w:color w:val="auto"/>
              </w:rPr>
            </w:pPr>
            <w:r>
              <w:rPr>
                <w:rFonts w:ascii="Arial" w:cs="Arial" w:eastAsia="Arial" w:hAnsi="Arial"/>
                <w:sz w:val="18"/>
                <w:szCs w:val="18"/>
                <w:color w:val="auto"/>
              </w:rPr>
              <w:t>August 1931</w:t>
            </w:r>
          </w:p>
        </w:tc>
      </w:tr>
      <w:tr>
        <w:trPr>
          <w:trHeight w:val="216"/>
        </w:trPr>
        <w:tc>
          <w:tcPr>
            <w:tcW w:w="19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0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20" w:type="dxa"/>
            <w:vAlign w:val="bottom"/>
          </w:tcPr>
          <w:p>
            <w:pPr>
              <w:ind w:left="240"/>
              <w:spacing w:after="0"/>
              <w:rPr>
                <w:sz w:val="20"/>
                <w:szCs w:val="20"/>
                <w:color w:val="auto"/>
              </w:rPr>
            </w:pPr>
            <w:r>
              <w:rPr>
                <w:rFonts w:ascii="Arial" w:cs="Arial" w:eastAsia="Arial" w:hAnsi="Arial"/>
                <w:sz w:val="18"/>
                <w:szCs w:val="18"/>
                <w:color w:val="auto"/>
              </w:rPr>
              <w:t>1995</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2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Principal occupation:</w:t>
            </w:r>
          </w:p>
        </w:tc>
        <w:tc>
          <w:tcPr>
            <w:tcW w:w="7420" w:type="dxa"/>
            <w:vAlign w:val="bottom"/>
          </w:tcPr>
          <w:p>
            <w:pPr>
              <w:ind w:left="240"/>
              <w:spacing w:after="0"/>
              <w:rPr>
                <w:sz w:val="20"/>
                <w:szCs w:val="20"/>
                <w:color w:val="auto"/>
              </w:rPr>
            </w:pPr>
            <w:r>
              <w:rPr>
                <w:rFonts w:ascii="Arial" w:cs="Arial" w:eastAsia="Arial" w:hAnsi="Arial"/>
                <w:sz w:val="18"/>
                <w:szCs w:val="18"/>
                <w:color w:val="auto"/>
                <w:w w:val="90"/>
              </w:rPr>
              <w:t>Chairman of the boards of Grupo BAL, S.A. de C.V. Peñoles, GNP, Grupo Palacio de Hierro, S.A.B.</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 C.V., Grupo Profuturo, S.A.B. de C.V. and Instituto Tecnológico Autónomo de México.</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Other directorships:</w:t>
            </w:r>
          </w:p>
        </w:tc>
        <w:tc>
          <w:tcPr>
            <w:tcW w:w="7420" w:type="dxa"/>
            <w:vAlign w:val="bottom"/>
          </w:tcPr>
          <w:p>
            <w:pPr>
              <w:ind w:left="240"/>
              <w:spacing w:after="0"/>
              <w:rPr>
                <w:sz w:val="20"/>
                <w:szCs w:val="20"/>
                <w:color w:val="auto"/>
              </w:rPr>
            </w:pPr>
            <w:r>
              <w:rPr>
                <w:rFonts w:ascii="Arial" w:cs="Arial" w:eastAsia="Arial" w:hAnsi="Arial"/>
                <w:sz w:val="18"/>
                <w:szCs w:val="18"/>
                <w:color w:val="auto"/>
                <w:w w:val="89"/>
              </w:rPr>
              <w:t>Member of the boards of BBVA Bancomer, BBVA Bancomer, S.A., BBVA Bancomer Servicios, S.A.,</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w w:val="92"/>
              </w:rPr>
              <w:t>Dine, S.A.B. de C.V. (formerly Grupo Desc) (Dine), Televisa, Grupo Kuo, S.A.B. de C.V. (formerly</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Grupo Desc) (Kuo) and Valores Mexicanos Casa de Bolsa, S.A. de C.V.</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240"/>
              <w:spacing w:after="0"/>
              <w:rPr>
                <w:sz w:val="20"/>
                <w:szCs w:val="20"/>
                <w:color w:val="auto"/>
              </w:rPr>
            </w:pPr>
            <w:r>
              <w:rPr>
                <w:rFonts w:ascii="Arial" w:cs="Arial" w:eastAsia="Arial" w:hAnsi="Arial"/>
                <w:sz w:val="18"/>
                <w:szCs w:val="18"/>
                <w:color w:val="auto"/>
              </w:rPr>
              <w:t>Holds an economics degree from Instituto Tecnológico Autónomo de México</w:t>
            </w:r>
          </w:p>
        </w:tc>
      </w:tr>
      <w:tr>
        <w:trPr>
          <w:trHeight w:val="222"/>
        </w:trPr>
        <w:tc>
          <w:tcPr>
            <w:tcW w:w="1900" w:type="dxa"/>
            <w:vAlign w:val="bottom"/>
          </w:tcPr>
          <w:p>
            <w:pPr>
              <w:spacing w:after="0"/>
              <w:rPr>
                <w:sz w:val="19"/>
                <w:szCs w:val="19"/>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20" w:type="dxa"/>
            <w:vAlign w:val="bottom"/>
          </w:tcPr>
          <w:p>
            <w:pPr>
              <w:ind w:left="240"/>
              <w:spacing w:after="0"/>
              <w:rPr>
                <w:sz w:val="20"/>
                <w:szCs w:val="20"/>
                <w:color w:val="auto"/>
              </w:rPr>
            </w:pPr>
            <w:r>
              <w:rPr>
                <w:rFonts w:ascii="Arial" w:cs="Arial" w:eastAsia="Arial" w:hAnsi="Arial"/>
                <w:sz w:val="18"/>
                <w:szCs w:val="18"/>
                <w:color w:val="auto"/>
              </w:rPr>
              <w:t>Arturo Fernández Pérez</w:t>
            </w:r>
          </w:p>
        </w:tc>
      </w:tr>
      <w:tr>
        <w:trPr>
          <w:trHeight w:val="318"/>
        </w:trPr>
        <w:tc>
          <w:tcPr>
            <w:tcW w:w="1900" w:type="dxa"/>
            <w:vAlign w:val="bottom"/>
          </w:tcPr>
          <w:p>
            <w:pPr>
              <w:spacing w:after="0"/>
              <w:rPr>
                <w:sz w:val="20"/>
                <w:szCs w:val="20"/>
                <w:color w:val="auto"/>
              </w:rPr>
            </w:pPr>
            <w:r>
              <w:rPr>
                <w:rFonts w:ascii="Arial" w:cs="Arial" w:eastAsia="Arial" w:hAnsi="Arial"/>
                <w:sz w:val="18"/>
                <w:szCs w:val="18"/>
                <w:color w:val="auto"/>
              </w:rPr>
              <w:t>Francisco Javier</w:t>
            </w:r>
          </w:p>
        </w:tc>
        <w:tc>
          <w:tcPr>
            <w:tcW w:w="2100" w:type="dxa"/>
            <w:vAlign w:val="bottom"/>
          </w:tcPr>
          <w:p>
            <w:pPr>
              <w:ind w:left="380"/>
              <w:spacing w:after="0"/>
              <w:rPr>
                <w:sz w:val="20"/>
                <w:szCs w:val="20"/>
                <w:color w:val="auto"/>
              </w:rPr>
            </w:pPr>
            <w:r>
              <w:rPr>
                <w:rFonts w:ascii="Arial" w:cs="Arial" w:eastAsia="Arial" w:hAnsi="Arial"/>
                <w:sz w:val="18"/>
                <w:szCs w:val="18"/>
                <w:color w:val="auto"/>
              </w:rPr>
              <w:t>Born:</w:t>
            </w:r>
          </w:p>
        </w:tc>
        <w:tc>
          <w:tcPr>
            <w:tcW w:w="7420" w:type="dxa"/>
            <w:vAlign w:val="bottom"/>
          </w:tcPr>
          <w:p>
            <w:pPr>
              <w:ind w:left="240"/>
              <w:spacing w:after="0"/>
              <w:rPr>
                <w:sz w:val="20"/>
                <w:szCs w:val="20"/>
                <w:color w:val="auto"/>
              </w:rPr>
            </w:pPr>
            <w:r>
              <w:rPr>
                <w:rFonts w:ascii="Arial" w:cs="Arial" w:eastAsia="Arial" w:hAnsi="Arial"/>
                <w:sz w:val="18"/>
                <w:szCs w:val="18"/>
                <w:color w:val="auto"/>
              </w:rPr>
              <w:t>April 1955</w:t>
            </w:r>
          </w:p>
        </w:tc>
      </w:tr>
      <w:tr>
        <w:trPr>
          <w:trHeight w:val="230"/>
        </w:trPr>
        <w:tc>
          <w:tcPr>
            <w:tcW w:w="1900" w:type="dxa"/>
            <w:vAlign w:val="bottom"/>
          </w:tcPr>
          <w:p>
            <w:pPr>
              <w:spacing w:after="0" w:line="229" w:lineRule="exact"/>
              <w:rPr>
                <w:sz w:val="20"/>
                <w:szCs w:val="20"/>
                <w:color w:val="auto"/>
              </w:rPr>
            </w:pPr>
            <w:r>
              <w:rPr>
                <w:rFonts w:ascii="Arial" w:cs="Arial" w:eastAsia="Arial" w:hAnsi="Arial"/>
                <w:sz w:val="18"/>
                <w:szCs w:val="18"/>
                <w:color w:val="auto"/>
              </w:rPr>
              <w:t>Fernández Carbajal</w:t>
            </w:r>
            <w:r>
              <w:rPr>
                <w:rFonts w:ascii="Arial" w:cs="Arial" w:eastAsia="Arial" w:hAnsi="Arial"/>
                <w:sz w:val="22"/>
                <w:szCs w:val="22"/>
                <w:color w:val="auto"/>
                <w:vertAlign w:val="superscript"/>
              </w:rPr>
              <w:t>(9)</w:t>
            </w:r>
          </w:p>
        </w:tc>
        <w:tc>
          <w:tcPr>
            <w:tcW w:w="210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0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20" w:type="dxa"/>
            <w:vAlign w:val="bottom"/>
          </w:tcPr>
          <w:p>
            <w:pPr>
              <w:ind w:left="240"/>
              <w:spacing w:after="0"/>
              <w:rPr>
                <w:sz w:val="20"/>
                <w:szCs w:val="20"/>
                <w:color w:val="auto"/>
              </w:rPr>
            </w:pPr>
            <w:r>
              <w:rPr>
                <w:rFonts w:ascii="Arial" w:cs="Arial" w:eastAsia="Arial" w:hAnsi="Arial"/>
                <w:sz w:val="18"/>
                <w:szCs w:val="18"/>
                <w:color w:val="auto"/>
              </w:rPr>
              <w:t>2005</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2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Principal occupation:</w:t>
            </w:r>
          </w:p>
        </w:tc>
        <w:tc>
          <w:tcPr>
            <w:tcW w:w="7420" w:type="dxa"/>
            <w:vAlign w:val="bottom"/>
          </w:tcPr>
          <w:p>
            <w:pPr>
              <w:ind w:left="240"/>
              <w:spacing w:after="0"/>
              <w:rPr>
                <w:sz w:val="20"/>
                <w:szCs w:val="20"/>
                <w:color w:val="auto"/>
              </w:rPr>
            </w:pPr>
            <w:r>
              <w:rPr>
                <w:rFonts w:ascii="Arial" w:cs="Arial" w:eastAsia="Arial" w:hAnsi="Arial"/>
                <w:sz w:val="18"/>
                <w:szCs w:val="18"/>
                <w:color w:val="auto"/>
              </w:rPr>
              <w:t>Private business consultant</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Other directorships:</w:t>
            </w:r>
          </w:p>
        </w:tc>
        <w:tc>
          <w:tcPr>
            <w:tcW w:w="7420" w:type="dxa"/>
            <w:vAlign w:val="bottom"/>
          </w:tcPr>
          <w:p>
            <w:pPr>
              <w:ind w:left="240"/>
              <w:spacing w:after="0"/>
              <w:rPr>
                <w:sz w:val="20"/>
                <w:szCs w:val="20"/>
                <w:color w:val="auto"/>
              </w:rPr>
            </w:pPr>
            <w:r>
              <w:rPr>
                <w:rFonts w:ascii="Arial" w:cs="Arial" w:eastAsia="Arial" w:hAnsi="Arial"/>
                <w:sz w:val="18"/>
                <w:szCs w:val="18"/>
                <w:color w:val="auto"/>
                <w:w w:val="88"/>
              </w:rPr>
              <w:t>Chairman of the boards of Primero Fianzas, S.A. de C.V. and Primero Seguros, S.A. de C.V. Member</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w w:val="92"/>
              </w:rPr>
              <w:t>of the boards of Visa, Inc., Grupo Aeroportuario del Pacífico, S.A.B. de C.V., Fresnillo, Ltd., Base</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Internacional, Casa de Bolsa.</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240"/>
              <w:spacing w:after="0"/>
              <w:rPr>
                <w:sz w:val="20"/>
                <w:szCs w:val="20"/>
                <w:color w:val="auto"/>
              </w:rPr>
            </w:pPr>
            <w:r>
              <w:rPr>
                <w:rFonts w:ascii="Arial" w:cs="Arial" w:eastAsia="Arial" w:hAnsi="Arial"/>
                <w:sz w:val="18"/>
                <w:szCs w:val="18"/>
                <w:color w:val="auto"/>
                <w:w w:val="94"/>
              </w:rPr>
              <w:t>Holds degrees in mechanical and electrical engineering from ITESM and an MBA from Harvard</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Business School</w:t>
            </w:r>
          </w:p>
        </w:tc>
      </w:tr>
      <w:tr>
        <w:trPr>
          <w:trHeight w:val="222"/>
        </w:trPr>
        <w:tc>
          <w:tcPr>
            <w:tcW w:w="1900" w:type="dxa"/>
            <w:vAlign w:val="bottom"/>
          </w:tcPr>
          <w:p>
            <w:pPr>
              <w:spacing w:after="0"/>
              <w:rPr>
                <w:sz w:val="19"/>
                <w:szCs w:val="19"/>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20" w:type="dxa"/>
            <w:vAlign w:val="bottom"/>
          </w:tcPr>
          <w:p>
            <w:pPr>
              <w:ind w:left="240"/>
              <w:spacing w:after="0"/>
              <w:rPr>
                <w:sz w:val="20"/>
                <w:szCs w:val="20"/>
                <w:color w:val="auto"/>
              </w:rPr>
            </w:pPr>
            <w:r>
              <w:rPr>
                <w:rFonts w:ascii="Arial" w:cs="Arial" w:eastAsia="Arial" w:hAnsi="Arial"/>
                <w:sz w:val="18"/>
                <w:szCs w:val="18"/>
                <w:color w:val="auto"/>
              </w:rPr>
              <w:t>Javier Astaburuaga Sanjines</w:t>
            </w:r>
          </w:p>
        </w:tc>
      </w:tr>
      <w:tr>
        <w:trPr>
          <w:trHeight w:val="318"/>
        </w:trPr>
        <w:tc>
          <w:tcPr>
            <w:tcW w:w="1900" w:type="dxa"/>
            <w:vAlign w:val="bottom"/>
          </w:tcPr>
          <w:p>
            <w:pPr>
              <w:spacing w:after="0"/>
              <w:rPr>
                <w:sz w:val="20"/>
                <w:szCs w:val="20"/>
                <w:color w:val="auto"/>
              </w:rPr>
            </w:pPr>
            <w:r>
              <w:rPr>
                <w:rFonts w:ascii="Arial" w:cs="Arial" w:eastAsia="Arial" w:hAnsi="Arial"/>
                <w:sz w:val="18"/>
                <w:szCs w:val="18"/>
                <w:color w:val="auto"/>
              </w:rPr>
              <w:t>Ricardo Guajardo</w:t>
            </w:r>
          </w:p>
        </w:tc>
        <w:tc>
          <w:tcPr>
            <w:tcW w:w="2100" w:type="dxa"/>
            <w:vAlign w:val="bottom"/>
          </w:tcPr>
          <w:p>
            <w:pPr>
              <w:ind w:left="380"/>
              <w:spacing w:after="0"/>
              <w:rPr>
                <w:sz w:val="20"/>
                <w:szCs w:val="20"/>
                <w:color w:val="auto"/>
              </w:rPr>
            </w:pPr>
            <w:r>
              <w:rPr>
                <w:rFonts w:ascii="Arial" w:cs="Arial" w:eastAsia="Arial" w:hAnsi="Arial"/>
                <w:sz w:val="18"/>
                <w:szCs w:val="18"/>
                <w:color w:val="auto"/>
              </w:rPr>
              <w:t>Born:</w:t>
            </w:r>
          </w:p>
        </w:tc>
        <w:tc>
          <w:tcPr>
            <w:tcW w:w="7420" w:type="dxa"/>
            <w:vAlign w:val="bottom"/>
          </w:tcPr>
          <w:p>
            <w:pPr>
              <w:ind w:left="240"/>
              <w:spacing w:after="0"/>
              <w:rPr>
                <w:sz w:val="20"/>
                <w:szCs w:val="20"/>
                <w:color w:val="auto"/>
              </w:rPr>
            </w:pPr>
            <w:r>
              <w:rPr>
                <w:rFonts w:ascii="Arial" w:cs="Arial" w:eastAsia="Arial" w:hAnsi="Arial"/>
                <w:sz w:val="18"/>
                <w:szCs w:val="18"/>
                <w:color w:val="auto"/>
              </w:rPr>
              <w:t>May 1948</w:t>
            </w:r>
          </w:p>
        </w:tc>
      </w:tr>
      <w:tr>
        <w:trPr>
          <w:trHeight w:val="222"/>
        </w:trPr>
        <w:tc>
          <w:tcPr>
            <w:tcW w:w="1900" w:type="dxa"/>
            <w:vAlign w:val="bottom"/>
          </w:tcPr>
          <w:p>
            <w:pPr>
              <w:spacing w:after="0"/>
              <w:rPr>
                <w:sz w:val="20"/>
                <w:szCs w:val="20"/>
                <w:color w:val="auto"/>
              </w:rPr>
            </w:pPr>
            <w:r>
              <w:rPr>
                <w:rFonts w:ascii="Arial" w:cs="Arial" w:eastAsia="Arial" w:hAnsi="Arial"/>
                <w:sz w:val="18"/>
                <w:szCs w:val="18"/>
                <w:color w:val="auto"/>
              </w:rPr>
              <w:t>Touché</w:t>
            </w:r>
          </w:p>
        </w:tc>
        <w:tc>
          <w:tcPr>
            <w:tcW w:w="210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223"/>
        </w:trPr>
        <w:tc>
          <w:tcPr>
            <w:tcW w:w="19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0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20" w:type="dxa"/>
            <w:vAlign w:val="bottom"/>
          </w:tcPr>
          <w:p>
            <w:pPr>
              <w:ind w:left="240"/>
              <w:spacing w:after="0"/>
              <w:rPr>
                <w:sz w:val="20"/>
                <w:szCs w:val="20"/>
                <w:color w:val="auto"/>
              </w:rPr>
            </w:pPr>
            <w:r>
              <w:rPr>
                <w:rFonts w:ascii="Arial" w:cs="Arial" w:eastAsia="Arial" w:hAnsi="Arial"/>
                <w:sz w:val="18"/>
                <w:szCs w:val="18"/>
                <w:color w:val="auto"/>
              </w:rPr>
              <w:t>1988</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2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Principal occupation:</w:t>
            </w:r>
          </w:p>
        </w:tc>
        <w:tc>
          <w:tcPr>
            <w:tcW w:w="7420" w:type="dxa"/>
            <w:vAlign w:val="bottom"/>
          </w:tcPr>
          <w:p>
            <w:pPr>
              <w:ind w:left="240"/>
              <w:spacing w:after="0"/>
              <w:rPr>
                <w:sz w:val="20"/>
                <w:szCs w:val="20"/>
                <w:color w:val="auto"/>
              </w:rPr>
            </w:pPr>
            <w:r>
              <w:rPr>
                <w:rFonts w:ascii="Arial" w:cs="Arial" w:eastAsia="Arial" w:hAnsi="Arial"/>
                <w:sz w:val="18"/>
                <w:szCs w:val="18"/>
                <w:color w:val="auto"/>
              </w:rPr>
              <w:t>Former Chairman of the Board of BBVA Bancomer</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Other directorships:</w:t>
            </w:r>
          </w:p>
        </w:tc>
        <w:tc>
          <w:tcPr>
            <w:tcW w:w="7420" w:type="dxa"/>
            <w:vAlign w:val="bottom"/>
          </w:tcPr>
          <w:p>
            <w:pPr>
              <w:ind w:left="240"/>
              <w:spacing w:after="0"/>
              <w:rPr>
                <w:sz w:val="20"/>
                <w:szCs w:val="20"/>
                <w:color w:val="auto"/>
              </w:rPr>
            </w:pPr>
            <w:r>
              <w:rPr>
                <w:rFonts w:ascii="Arial" w:cs="Arial" w:eastAsia="Arial" w:hAnsi="Arial"/>
                <w:sz w:val="18"/>
                <w:szCs w:val="18"/>
                <w:color w:val="auto"/>
                <w:w w:val="96"/>
              </w:rPr>
              <w:t>Member of the Board of El Puerto de Liverpool, S.A.B. de C.V., Alfa, BBVA Bancomer, Grupo</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Aeroportuario del Sureste, S.A. de C.V. (ASUR), Bimbo and Coca-Cola FEMSA.</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w w:val="99"/>
              </w:rPr>
              <w:t>Business experience:</w:t>
            </w:r>
          </w:p>
        </w:tc>
        <w:tc>
          <w:tcPr>
            <w:tcW w:w="7420" w:type="dxa"/>
            <w:vAlign w:val="bottom"/>
          </w:tcPr>
          <w:p>
            <w:pPr>
              <w:ind w:left="240"/>
              <w:spacing w:after="0"/>
              <w:rPr>
                <w:sz w:val="20"/>
                <w:szCs w:val="20"/>
                <w:color w:val="auto"/>
              </w:rPr>
            </w:pPr>
            <w:r>
              <w:rPr>
                <w:rFonts w:ascii="Arial" w:cs="Arial" w:eastAsia="Arial" w:hAnsi="Arial"/>
                <w:sz w:val="18"/>
                <w:szCs w:val="18"/>
                <w:color w:val="auto"/>
                <w:w w:val="95"/>
              </w:rPr>
              <w:t>Has held senior executive positions in our company, Grupo AXA, S.A. de C.V. and Valores de</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Monterrey, S.A. de C.V.</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240"/>
              <w:spacing w:after="0"/>
              <w:rPr>
                <w:sz w:val="20"/>
                <w:szCs w:val="20"/>
                <w:color w:val="auto"/>
              </w:rPr>
            </w:pPr>
            <w:r>
              <w:rPr>
                <w:rFonts w:ascii="Arial" w:cs="Arial" w:eastAsia="Arial" w:hAnsi="Arial"/>
                <w:sz w:val="18"/>
                <w:szCs w:val="18"/>
                <w:color w:val="auto"/>
                <w:w w:val="91"/>
              </w:rPr>
              <w:t>Holds degrees in electrical engineering from ITESM and the University of Wisconsin and a masters</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degree from the University of California at Berkeley</w:t>
            </w:r>
          </w:p>
        </w:tc>
      </w:tr>
      <w:tr>
        <w:trPr>
          <w:trHeight w:val="299"/>
        </w:trPr>
        <w:tc>
          <w:tcPr>
            <w:tcW w:w="190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20" w:type="dxa"/>
            <w:vAlign w:val="bottom"/>
          </w:tcPr>
          <w:p>
            <w:pPr>
              <w:ind w:left="240"/>
              <w:spacing w:after="0"/>
              <w:rPr>
                <w:sz w:val="20"/>
                <w:szCs w:val="20"/>
                <w:color w:val="auto"/>
              </w:rPr>
            </w:pPr>
            <w:r>
              <w:rPr>
                <w:rFonts w:ascii="Arial" w:cs="Arial" w:eastAsia="Arial" w:hAnsi="Arial"/>
                <w:sz w:val="18"/>
                <w:szCs w:val="18"/>
                <w:color w:val="auto"/>
              </w:rPr>
              <w:t>Othón Páez Garza</w:t>
            </w:r>
            <w:r>
              <w:rPr>
                <w:rFonts w:ascii="Arial" w:cs="Arial" w:eastAsia="Arial" w:hAnsi="Arial"/>
                <w:sz w:val="22"/>
                <w:szCs w:val="22"/>
                <w:color w:val="auto"/>
                <w:vertAlign w:val="superscript"/>
              </w:rPr>
              <w:t>(10)</w:t>
            </w:r>
          </w:p>
        </w:tc>
      </w:tr>
      <w:tr>
        <w:trPr>
          <w:trHeight w:val="241"/>
        </w:trPr>
        <w:tc>
          <w:tcPr>
            <w:tcW w:w="1900" w:type="dxa"/>
            <w:vAlign w:val="bottom"/>
          </w:tcPr>
          <w:p>
            <w:pPr>
              <w:spacing w:after="0"/>
              <w:rPr>
                <w:sz w:val="20"/>
                <w:szCs w:val="20"/>
                <w:color w:val="auto"/>
              </w:rPr>
            </w:pPr>
            <w:r>
              <w:rPr>
                <w:rFonts w:ascii="Arial" w:cs="Arial" w:eastAsia="Arial" w:hAnsi="Arial"/>
                <w:sz w:val="18"/>
                <w:szCs w:val="18"/>
                <w:color w:val="auto"/>
              </w:rPr>
              <w:t>Alfredo Livas Cantú</w:t>
            </w:r>
          </w:p>
        </w:tc>
        <w:tc>
          <w:tcPr>
            <w:tcW w:w="2100" w:type="dxa"/>
            <w:vAlign w:val="bottom"/>
          </w:tcPr>
          <w:p>
            <w:pPr>
              <w:ind w:left="380"/>
              <w:spacing w:after="0"/>
              <w:rPr>
                <w:sz w:val="20"/>
                <w:szCs w:val="20"/>
                <w:color w:val="auto"/>
              </w:rPr>
            </w:pPr>
            <w:r>
              <w:rPr>
                <w:rFonts w:ascii="Arial" w:cs="Arial" w:eastAsia="Arial" w:hAnsi="Arial"/>
                <w:sz w:val="18"/>
                <w:szCs w:val="18"/>
                <w:color w:val="auto"/>
              </w:rPr>
              <w:t>Born:</w:t>
            </w:r>
          </w:p>
        </w:tc>
        <w:tc>
          <w:tcPr>
            <w:tcW w:w="7420" w:type="dxa"/>
            <w:vAlign w:val="bottom"/>
          </w:tcPr>
          <w:p>
            <w:pPr>
              <w:ind w:left="240"/>
              <w:spacing w:after="0"/>
              <w:rPr>
                <w:sz w:val="20"/>
                <w:szCs w:val="20"/>
                <w:color w:val="auto"/>
              </w:rPr>
            </w:pPr>
            <w:r>
              <w:rPr>
                <w:rFonts w:ascii="Arial" w:cs="Arial" w:eastAsia="Arial" w:hAnsi="Arial"/>
                <w:sz w:val="18"/>
                <w:szCs w:val="18"/>
                <w:color w:val="auto"/>
              </w:rPr>
              <w:t>July 1951</w:t>
            </w:r>
          </w:p>
        </w:tc>
      </w:tr>
      <w:tr>
        <w:trPr>
          <w:trHeight w:val="216"/>
        </w:trPr>
        <w:tc>
          <w:tcPr>
            <w:tcW w:w="19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100" w:type="dxa"/>
            <w:vAlign w:val="bottom"/>
          </w:tcPr>
          <w:p>
            <w:pPr>
              <w:ind w:left="380"/>
              <w:spacing w:after="0"/>
              <w:rPr>
                <w:sz w:val="20"/>
                <w:szCs w:val="20"/>
                <w:color w:val="auto"/>
              </w:rPr>
            </w:pPr>
            <w:r>
              <w:rPr>
                <w:rFonts w:ascii="Arial" w:cs="Arial" w:eastAsia="Arial" w:hAnsi="Arial"/>
                <w:sz w:val="18"/>
                <w:szCs w:val="18"/>
                <w:color w:val="auto"/>
              </w:rPr>
              <w:t>First elected:</w:t>
            </w:r>
          </w:p>
        </w:tc>
        <w:tc>
          <w:tcPr>
            <w:tcW w:w="7420" w:type="dxa"/>
            <w:vAlign w:val="bottom"/>
          </w:tcPr>
          <w:p>
            <w:pPr>
              <w:ind w:left="240"/>
              <w:spacing w:after="0"/>
              <w:rPr>
                <w:sz w:val="20"/>
                <w:szCs w:val="20"/>
                <w:color w:val="auto"/>
              </w:rPr>
            </w:pPr>
            <w:r>
              <w:rPr>
                <w:rFonts w:ascii="Arial" w:cs="Arial" w:eastAsia="Arial" w:hAnsi="Arial"/>
                <w:sz w:val="18"/>
                <w:szCs w:val="18"/>
                <w:color w:val="auto"/>
              </w:rPr>
              <w:t>1995</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Term expires:</w:t>
            </w:r>
          </w:p>
        </w:tc>
        <w:tc>
          <w:tcPr>
            <w:tcW w:w="742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Principal occupation:</w:t>
            </w:r>
          </w:p>
        </w:tc>
        <w:tc>
          <w:tcPr>
            <w:tcW w:w="7420" w:type="dxa"/>
            <w:vAlign w:val="bottom"/>
          </w:tcPr>
          <w:p>
            <w:pPr>
              <w:ind w:left="240"/>
              <w:spacing w:after="0"/>
              <w:rPr>
                <w:sz w:val="20"/>
                <w:szCs w:val="20"/>
                <w:color w:val="auto"/>
              </w:rPr>
            </w:pPr>
            <w:r>
              <w:rPr>
                <w:rFonts w:ascii="Arial" w:cs="Arial" w:eastAsia="Arial" w:hAnsi="Arial"/>
                <w:sz w:val="18"/>
                <w:szCs w:val="18"/>
                <w:color w:val="auto"/>
              </w:rPr>
              <w:t>President of Praxis Financiera, S.C.</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Other directorships:</w:t>
            </w:r>
          </w:p>
        </w:tc>
        <w:tc>
          <w:tcPr>
            <w:tcW w:w="7420" w:type="dxa"/>
            <w:vAlign w:val="bottom"/>
          </w:tcPr>
          <w:p>
            <w:pPr>
              <w:ind w:left="240"/>
              <w:spacing w:after="0"/>
              <w:rPr>
                <w:sz w:val="20"/>
                <w:szCs w:val="20"/>
                <w:color w:val="auto"/>
              </w:rPr>
            </w:pPr>
            <w:r>
              <w:rPr>
                <w:rFonts w:ascii="Arial" w:cs="Arial" w:eastAsia="Arial" w:hAnsi="Arial"/>
                <w:sz w:val="18"/>
                <w:szCs w:val="18"/>
                <w:color w:val="auto"/>
                <w:w w:val="92"/>
              </w:rPr>
              <w:t>Member of the boards of Grupo Jomar, S.A. de C.V., British American Tobacco (Mexican board),</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Grupo Acosta Verde, Thermotek and Grupo Fianciero Banorte (alternate)</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w w:val="99"/>
              </w:rPr>
              <w:t>Business experience:</w:t>
            </w:r>
          </w:p>
        </w:tc>
        <w:tc>
          <w:tcPr>
            <w:tcW w:w="7420" w:type="dxa"/>
            <w:vAlign w:val="bottom"/>
          </w:tcPr>
          <w:p>
            <w:pPr>
              <w:ind w:left="240"/>
              <w:spacing w:after="0"/>
              <w:rPr>
                <w:sz w:val="20"/>
                <w:szCs w:val="20"/>
                <w:color w:val="auto"/>
              </w:rPr>
            </w:pPr>
            <w:r>
              <w:rPr>
                <w:rFonts w:ascii="Arial" w:cs="Arial" w:eastAsia="Arial" w:hAnsi="Arial"/>
                <w:sz w:val="18"/>
                <w:szCs w:val="18"/>
                <w:color w:val="auto"/>
                <w:w w:val="89"/>
              </w:rPr>
              <w:t>Joined FEMSA in 1978 and held several positions in the areas of financial planning and treasury and</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served as Chief Financial Officer from 1989 to 1999</w:t>
            </w:r>
          </w:p>
        </w:tc>
      </w:tr>
      <w:tr>
        <w:trPr>
          <w:trHeight w:val="216"/>
        </w:trPr>
        <w:tc>
          <w:tcPr>
            <w:tcW w:w="1900" w:type="dxa"/>
            <w:vAlign w:val="bottom"/>
          </w:tcPr>
          <w:p>
            <w:pPr>
              <w:spacing w:after="0"/>
              <w:rPr>
                <w:sz w:val="18"/>
                <w:szCs w:val="18"/>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240"/>
              <w:spacing w:after="0"/>
              <w:rPr>
                <w:sz w:val="20"/>
                <w:szCs w:val="20"/>
                <w:color w:val="auto"/>
              </w:rPr>
            </w:pPr>
            <w:r>
              <w:rPr>
                <w:rFonts w:ascii="Arial" w:cs="Arial" w:eastAsia="Arial" w:hAnsi="Arial"/>
                <w:sz w:val="18"/>
                <w:szCs w:val="18"/>
                <w:color w:val="auto"/>
                <w:w w:val="93"/>
              </w:rPr>
              <w:t>Holds an economics degree from UANL and an MBA and masters degree in economics from the</w:t>
            </w:r>
          </w:p>
        </w:tc>
      </w:tr>
      <w:tr>
        <w:trPr>
          <w:trHeight w:val="216"/>
        </w:trPr>
        <w:tc>
          <w:tcPr>
            <w:tcW w:w="1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University of Texas</w:t>
            </w:r>
          </w:p>
        </w:tc>
      </w:tr>
      <w:tr>
        <w:trPr>
          <w:trHeight w:val="222"/>
        </w:trPr>
        <w:tc>
          <w:tcPr>
            <w:tcW w:w="1900" w:type="dxa"/>
            <w:vAlign w:val="bottom"/>
          </w:tcPr>
          <w:p>
            <w:pPr>
              <w:spacing w:after="0"/>
              <w:rPr>
                <w:sz w:val="19"/>
                <w:szCs w:val="19"/>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Alternate Director:</w:t>
            </w:r>
          </w:p>
        </w:tc>
        <w:tc>
          <w:tcPr>
            <w:tcW w:w="7420" w:type="dxa"/>
            <w:vAlign w:val="bottom"/>
          </w:tcPr>
          <w:p>
            <w:pPr>
              <w:ind w:left="240"/>
              <w:spacing w:after="0"/>
              <w:rPr>
                <w:sz w:val="20"/>
                <w:szCs w:val="20"/>
                <w:color w:val="auto"/>
              </w:rPr>
            </w:pPr>
            <w:r>
              <w:rPr>
                <w:rFonts w:ascii="Arial" w:cs="Arial" w:eastAsia="Arial" w:hAnsi="Arial"/>
                <w:sz w:val="18"/>
                <w:szCs w:val="18"/>
                <w:color w:val="auto"/>
              </w:rPr>
              <w:t>Sergio Deschamps Ebergenyi</w:t>
            </w:r>
          </w:p>
        </w:tc>
      </w:tr>
      <w:tr>
        <w:trPr>
          <w:trHeight w:val="365"/>
        </w:trPr>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420" w:type="dxa"/>
            <w:vAlign w:val="bottom"/>
          </w:tcPr>
          <w:p>
            <w:pPr>
              <w:ind w:left="162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Roberto Servitje Sendra</w:t>
            </w:r>
          </w:p>
        </w:tc>
        <w:tc>
          <w:tcPr>
            <w:tcW w:w="2020" w:type="dxa"/>
            <w:vAlign w:val="bottom"/>
          </w:tcPr>
          <w:p>
            <w:pPr>
              <w:ind w:left="300"/>
              <w:spacing w:after="0"/>
              <w:rPr>
                <w:sz w:val="20"/>
                <w:szCs w:val="20"/>
                <w:color w:val="auto"/>
              </w:rPr>
            </w:pPr>
            <w:r>
              <w:rPr>
                <w:rFonts w:ascii="Arial" w:cs="Arial" w:eastAsia="Arial" w:hAnsi="Arial"/>
                <w:sz w:val="18"/>
                <w:szCs w:val="18"/>
                <w:color w:val="auto"/>
              </w:rPr>
              <w:t>Born:</w:t>
            </w:r>
          </w:p>
        </w:tc>
        <w:tc>
          <w:tcPr>
            <w:tcW w:w="7260" w:type="dxa"/>
            <w:vAlign w:val="bottom"/>
          </w:tcPr>
          <w:p>
            <w:pPr>
              <w:ind w:left="240"/>
              <w:spacing w:after="0"/>
              <w:rPr>
                <w:sz w:val="20"/>
                <w:szCs w:val="20"/>
                <w:color w:val="auto"/>
              </w:rPr>
            </w:pPr>
            <w:r>
              <w:rPr>
                <w:rFonts w:ascii="Arial" w:cs="Arial" w:eastAsia="Arial" w:hAnsi="Arial"/>
                <w:sz w:val="18"/>
                <w:szCs w:val="18"/>
                <w:color w:val="auto"/>
              </w:rPr>
              <w:t>January 1928</w:t>
            </w:r>
          </w:p>
        </w:tc>
      </w:t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20" w:type="dxa"/>
            <w:vAlign w:val="bottom"/>
          </w:tcPr>
          <w:p>
            <w:pPr>
              <w:ind w:left="300"/>
              <w:spacing w:after="0"/>
              <w:rPr>
                <w:sz w:val="20"/>
                <w:szCs w:val="20"/>
                <w:color w:val="auto"/>
              </w:rPr>
            </w:pPr>
            <w:r>
              <w:rPr>
                <w:rFonts w:ascii="Arial" w:cs="Arial" w:eastAsia="Arial" w:hAnsi="Arial"/>
                <w:sz w:val="18"/>
                <w:szCs w:val="18"/>
                <w:color w:val="auto"/>
              </w:rPr>
              <w:t>First elected:</w:t>
            </w:r>
          </w:p>
        </w:tc>
        <w:tc>
          <w:tcPr>
            <w:tcW w:w="7260" w:type="dxa"/>
            <w:vAlign w:val="bottom"/>
          </w:tcPr>
          <w:p>
            <w:pPr>
              <w:ind w:left="240"/>
              <w:spacing w:after="0"/>
              <w:rPr>
                <w:sz w:val="20"/>
                <w:szCs w:val="20"/>
                <w:color w:val="auto"/>
              </w:rPr>
            </w:pPr>
            <w:r>
              <w:rPr>
                <w:rFonts w:ascii="Arial" w:cs="Arial" w:eastAsia="Arial" w:hAnsi="Arial"/>
                <w:sz w:val="18"/>
                <w:szCs w:val="18"/>
                <w:color w:val="auto"/>
              </w:rPr>
              <w:t>1995</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Term expires:</w:t>
            </w:r>
          </w:p>
        </w:tc>
        <w:tc>
          <w:tcPr>
            <w:tcW w:w="726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Principal occupation:</w:t>
            </w:r>
          </w:p>
        </w:tc>
        <w:tc>
          <w:tcPr>
            <w:tcW w:w="7260" w:type="dxa"/>
            <w:vAlign w:val="bottom"/>
          </w:tcPr>
          <w:p>
            <w:pPr>
              <w:ind w:left="240"/>
              <w:spacing w:after="0"/>
              <w:rPr>
                <w:sz w:val="20"/>
                <w:szCs w:val="20"/>
                <w:color w:val="auto"/>
              </w:rPr>
            </w:pPr>
            <w:r>
              <w:rPr>
                <w:rFonts w:ascii="Arial" w:cs="Arial" w:eastAsia="Arial" w:hAnsi="Arial"/>
                <w:sz w:val="18"/>
                <w:szCs w:val="18"/>
                <w:color w:val="auto"/>
              </w:rPr>
              <w:t>Chairman of the board of Bimbo S.A.B.</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Other directorships:</w:t>
            </w:r>
          </w:p>
        </w:tc>
        <w:tc>
          <w:tcPr>
            <w:tcW w:w="7260" w:type="dxa"/>
            <w:vAlign w:val="bottom"/>
          </w:tcPr>
          <w:p>
            <w:pPr>
              <w:ind w:left="240"/>
              <w:spacing w:after="0"/>
              <w:rPr>
                <w:sz w:val="20"/>
                <w:szCs w:val="20"/>
                <w:color w:val="auto"/>
              </w:rPr>
            </w:pPr>
            <w:r>
              <w:rPr>
                <w:rFonts w:ascii="Arial" w:cs="Arial" w:eastAsia="Arial" w:hAnsi="Arial"/>
                <w:sz w:val="18"/>
                <w:szCs w:val="18"/>
                <w:color w:val="auto"/>
                <w:w w:val="93"/>
              </w:rPr>
              <w:t>Member of the boards of Chrysler de México, S.A. de C.V., Grupo Altex, S.A. de C.V., Escuela</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Bancaria y Comercial, Memorial Hermann International and ASUR.</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w w:val="99"/>
              </w:rPr>
              <w:t>Business experience:</w:t>
            </w:r>
          </w:p>
        </w:tc>
        <w:tc>
          <w:tcPr>
            <w:tcW w:w="7260" w:type="dxa"/>
            <w:vAlign w:val="bottom"/>
          </w:tcPr>
          <w:p>
            <w:pPr>
              <w:ind w:left="240"/>
              <w:spacing w:after="0"/>
              <w:rPr>
                <w:sz w:val="20"/>
                <w:szCs w:val="20"/>
                <w:color w:val="auto"/>
              </w:rPr>
            </w:pPr>
            <w:r>
              <w:rPr>
                <w:rFonts w:ascii="Arial" w:cs="Arial" w:eastAsia="Arial" w:hAnsi="Arial"/>
                <w:sz w:val="18"/>
                <w:szCs w:val="18"/>
                <w:color w:val="auto"/>
              </w:rPr>
              <w:t>Founding member and active chairman of Bimbo</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Education:</w:t>
            </w:r>
          </w:p>
        </w:tc>
        <w:tc>
          <w:tcPr>
            <w:tcW w:w="7260" w:type="dxa"/>
            <w:vAlign w:val="bottom"/>
          </w:tcPr>
          <w:p>
            <w:pPr>
              <w:ind w:left="240"/>
              <w:spacing w:after="0"/>
              <w:rPr>
                <w:sz w:val="20"/>
                <w:szCs w:val="20"/>
                <w:color w:val="auto"/>
              </w:rPr>
            </w:pPr>
            <w:r>
              <w:rPr>
                <w:rFonts w:ascii="Arial" w:cs="Arial" w:eastAsia="Arial" w:hAnsi="Arial"/>
                <w:sz w:val="18"/>
                <w:szCs w:val="18"/>
                <w:color w:val="auto"/>
              </w:rPr>
              <w:t>Holds a PMD degree from Harvard University</w:t>
            </w:r>
          </w:p>
        </w:tc>
      </w:tr>
      <w:tr>
        <w:trPr>
          <w:trHeight w:val="299"/>
        </w:trPr>
        <w:tc>
          <w:tcPr>
            <w:tcW w:w="1980" w:type="dxa"/>
            <w:vAlign w:val="bottom"/>
          </w:tcPr>
          <w:p>
            <w:pPr>
              <w:spacing w:after="0"/>
              <w:rPr>
                <w:sz w:val="24"/>
                <w:szCs w:val="24"/>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Alternate director:</w:t>
            </w:r>
          </w:p>
        </w:tc>
        <w:tc>
          <w:tcPr>
            <w:tcW w:w="7260" w:type="dxa"/>
            <w:vAlign w:val="bottom"/>
          </w:tcPr>
          <w:p>
            <w:pPr>
              <w:ind w:left="240"/>
              <w:spacing w:after="0"/>
              <w:rPr>
                <w:sz w:val="20"/>
                <w:szCs w:val="20"/>
                <w:color w:val="auto"/>
              </w:rPr>
            </w:pPr>
            <w:r>
              <w:rPr>
                <w:rFonts w:ascii="Arial" w:cs="Arial" w:eastAsia="Arial" w:hAnsi="Arial"/>
                <w:sz w:val="18"/>
                <w:szCs w:val="18"/>
                <w:color w:val="auto"/>
              </w:rPr>
              <w:t>Juan Guichard Michel</w:t>
            </w:r>
            <w:r>
              <w:rPr>
                <w:rFonts w:ascii="Arial" w:cs="Arial" w:eastAsia="Arial" w:hAnsi="Arial"/>
                <w:sz w:val="22"/>
                <w:szCs w:val="22"/>
                <w:color w:val="auto"/>
                <w:vertAlign w:val="superscript"/>
              </w:rPr>
              <w:t>(8)</w:t>
            </w:r>
          </w:p>
        </w:tc>
      </w:tr>
      <w:tr>
        <w:trPr>
          <w:trHeight w:val="241"/>
        </w:trPr>
        <w:tc>
          <w:tcPr>
            <w:tcW w:w="1980" w:type="dxa"/>
            <w:vAlign w:val="bottom"/>
          </w:tcPr>
          <w:p>
            <w:pPr>
              <w:spacing w:after="0"/>
              <w:rPr>
                <w:sz w:val="20"/>
                <w:szCs w:val="20"/>
                <w:color w:val="auto"/>
              </w:rPr>
            </w:pPr>
            <w:r>
              <w:rPr>
                <w:rFonts w:ascii="Arial" w:cs="Arial" w:eastAsia="Arial" w:hAnsi="Arial"/>
                <w:sz w:val="18"/>
                <w:szCs w:val="18"/>
                <w:color w:val="auto"/>
              </w:rPr>
              <w:t>Carlos Salguero</w:t>
            </w:r>
          </w:p>
        </w:tc>
        <w:tc>
          <w:tcPr>
            <w:tcW w:w="2020" w:type="dxa"/>
            <w:vAlign w:val="bottom"/>
          </w:tcPr>
          <w:p>
            <w:pPr>
              <w:ind w:left="300"/>
              <w:spacing w:after="0"/>
              <w:rPr>
                <w:sz w:val="20"/>
                <w:szCs w:val="20"/>
                <w:color w:val="auto"/>
              </w:rPr>
            </w:pPr>
            <w:r>
              <w:rPr>
                <w:rFonts w:ascii="Arial" w:cs="Arial" w:eastAsia="Arial" w:hAnsi="Arial"/>
                <w:sz w:val="18"/>
                <w:szCs w:val="18"/>
                <w:color w:val="auto"/>
              </w:rPr>
              <w:t>Born:</w:t>
            </w:r>
          </w:p>
        </w:tc>
        <w:tc>
          <w:tcPr>
            <w:tcW w:w="7260" w:type="dxa"/>
            <w:vAlign w:val="bottom"/>
          </w:tcPr>
          <w:p>
            <w:pPr>
              <w:ind w:left="240"/>
              <w:spacing w:after="0"/>
              <w:rPr>
                <w:sz w:val="20"/>
                <w:szCs w:val="20"/>
                <w:color w:val="auto"/>
              </w:rPr>
            </w:pPr>
            <w:r>
              <w:rPr>
                <w:rFonts w:ascii="Arial" w:cs="Arial" w:eastAsia="Arial" w:hAnsi="Arial"/>
                <w:sz w:val="18"/>
                <w:szCs w:val="18"/>
                <w:color w:val="auto"/>
              </w:rPr>
              <w:t>October 1929</w:t>
            </w:r>
          </w:p>
        </w:tc>
      </w:t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20" w:type="dxa"/>
            <w:vAlign w:val="bottom"/>
          </w:tcPr>
          <w:p>
            <w:pPr>
              <w:ind w:left="300"/>
              <w:spacing w:after="0"/>
              <w:rPr>
                <w:sz w:val="20"/>
                <w:szCs w:val="20"/>
                <w:color w:val="auto"/>
              </w:rPr>
            </w:pPr>
            <w:r>
              <w:rPr>
                <w:rFonts w:ascii="Arial" w:cs="Arial" w:eastAsia="Arial" w:hAnsi="Arial"/>
                <w:sz w:val="18"/>
                <w:szCs w:val="18"/>
                <w:color w:val="auto"/>
              </w:rPr>
              <w:t>First elected:</w:t>
            </w:r>
          </w:p>
        </w:tc>
        <w:tc>
          <w:tcPr>
            <w:tcW w:w="7260" w:type="dxa"/>
            <w:vAlign w:val="bottom"/>
          </w:tcPr>
          <w:p>
            <w:pPr>
              <w:ind w:left="240"/>
              <w:spacing w:after="0"/>
              <w:rPr>
                <w:sz w:val="20"/>
                <w:szCs w:val="20"/>
                <w:color w:val="auto"/>
              </w:rPr>
            </w:pPr>
            <w:r>
              <w:rPr>
                <w:rFonts w:ascii="Arial" w:cs="Arial" w:eastAsia="Arial" w:hAnsi="Arial"/>
                <w:sz w:val="18"/>
                <w:szCs w:val="18"/>
                <w:color w:val="auto"/>
              </w:rPr>
              <w:t>1995</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Term expires:</w:t>
            </w:r>
          </w:p>
        </w:tc>
        <w:tc>
          <w:tcPr>
            <w:tcW w:w="726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w w:val="99"/>
              </w:rPr>
              <w:t>Business experience:</w:t>
            </w:r>
          </w:p>
        </w:tc>
        <w:tc>
          <w:tcPr>
            <w:tcW w:w="7260" w:type="dxa"/>
            <w:vAlign w:val="bottom"/>
          </w:tcPr>
          <w:p>
            <w:pPr>
              <w:ind w:left="240"/>
              <w:spacing w:after="0"/>
              <w:rPr>
                <w:sz w:val="20"/>
                <w:szCs w:val="20"/>
                <w:color w:val="auto"/>
              </w:rPr>
            </w:pPr>
            <w:r>
              <w:rPr>
                <w:rFonts w:ascii="Arial" w:cs="Arial" w:eastAsia="Arial" w:hAnsi="Arial"/>
                <w:sz w:val="18"/>
                <w:szCs w:val="18"/>
                <w:color w:val="auto"/>
              </w:rPr>
              <w:t>Former Executive Vice President of Phillip Morris International</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Other directorships:</w:t>
            </w:r>
          </w:p>
        </w:tc>
        <w:tc>
          <w:tcPr>
            <w:tcW w:w="7260" w:type="dxa"/>
            <w:vAlign w:val="bottom"/>
          </w:tcPr>
          <w:p>
            <w:pPr>
              <w:ind w:left="240"/>
              <w:spacing w:after="0"/>
              <w:rPr>
                <w:sz w:val="20"/>
                <w:szCs w:val="20"/>
                <w:color w:val="auto"/>
              </w:rPr>
            </w:pPr>
            <w:r>
              <w:rPr>
                <w:rFonts w:ascii="Arial" w:cs="Arial" w:eastAsia="Arial" w:hAnsi="Arial"/>
                <w:sz w:val="18"/>
                <w:szCs w:val="18"/>
                <w:color w:val="auto"/>
                <w:w w:val="91"/>
              </w:rPr>
              <w:t>Member of the boards of Hotel Esencia, México, City Net, España and Mazarron Beach. Former</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3"/>
              </w:rPr>
              <w:t>member of the boards of Tabacalera Mexicana, S.A. de C.V., Tabacalera Costarricense, S.A.,</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Tabacalera Centroamericana, S.A. and other Latin American companies</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Education:</w:t>
            </w:r>
          </w:p>
        </w:tc>
        <w:tc>
          <w:tcPr>
            <w:tcW w:w="7260" w:type="dxa"/>
            <w:vAlign w:val="bottom"/>
          </w:tcPr>
          <w:p>
            <w:pPr>
              <w:ind w:left="240"/>
              <w:spacing w:after="0"/>
              <w:rPr>
                <w:sz w:val="20"/>
                <w:szCs w:val="20"/>
                <w:color w:val="auto"/>
              </w:rPr>
            </w:pPr>
            <w:r>
              <w:rPr>
                <w:rFonts w:ascii="Arial" w:cs="Arial" w:eastAsia="Arial" w:hAnsi="Arial"/>
                <w:sz w:val="18"/>
                <w:szCs w:val="18"/>
                <w:color w:val="auto"/>
                <w:w w:val="87"/>
              </w:rPr>
              <w:t>Holds a business degree from the Columbian Faculty of Economic Sciences, postgraduate studies in</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88"/>
              </w:rPr>
              <w:t>economics and management from Albany Business College and University College (Syracuse) and</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received an Honor for Civil Merit by H.M. the King of Spain in 1995</w:t>
            </w:r>
          </w:p>
        </w:tc>
      </w:tr>
      <w:tr>
        <w:trPr>
          <w:trHeight w:val="222"/>
        </w:trPr>
        <w:tc>
          <w:tcPr>
            <w:tcW w:w="1980" w:type="dxa"/>
            <w:vAlign w:val="bottom"/>
          </w:tcPr>
          <w:p>
            <w:pPr>
              <w:spacing w:after="0"/>
              <w:rPr>
                <w:sz w:val="19"/>
                <w:szCs w:val="19"/>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Alternate director:</w:t>
            </w:r>
          </w:p>
        </w:tc>
        <w:tc>
          <w:tcPr>
            <w:tcW w:w="7260" w:type="dxa"/>
            <w:vAlign w:val="bottom"/>
          </w:tcPr>
          <w:p>
            <w:pPr>
              <w:ind w:left="240"/>
              <w:spacing w:after="0"/>
              <w:rPr>
                <w:sz w:val="20"/>
                <w:szCs w:val="20"/>
                <w:color w:val="auto"/>
              </w:rPr>
            </w:pPr>
            <w:r>
              <w:rPr>
                <w:rFonts w:ascii="Arial" w:cs="Arial" w:eastAsia="Arial" w:hAnsi="Arial"/>
                <w:sz w:val="18"/>
                <w:szCs w:val="18"/>
                <w:color w:val="auto"/>
              </w:rPr>
              <w:t>Alfonso González Migoya</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Paulina Garza de</w:t>
            </w:r>
          </w:p>
        </w:tc>
        <w:tc>
          <w:tcPr>
            <w:tcW w:w="2020" w:type="dxa"/>
            <w:vAlign w:val="bottom"/>
          </w:tcPr>
          <w:p>
            <w:pPr>
              <w:ind w:left="300"/>
              <w:spacing w:after="0"/>
              <w:rPr>
                <w:sz w:val="20"/>
                <w:szCs w:val="20"/>
                <w:color w:val="auto"/>
              </w:rPr>
            </w:pPr>
            <w:r>
              <w:rPr>
                <w:rFonts w:ascii="Arial" w:cs="Arial" w:eastAsia="Arial" w:hAnsi="Arial"/>
                <w:sz w:val="18"/>
                <w:szCs w:val="18"/>
                <w:color w:val="auto"/>
              </w:rPr>
              <w:t>Born:</w:t>
            </w:r>
          </w:p>
        </w:tc>
        <w:tc>
          <w:tcPr>
            <w:tcW w:w="7260" w:type="dxa"/>
            <w:vAlign w:val="bottom"/>
          </w:tcPr>
          <w:p>
            <w:pPr>
              <w:ind w:left="240"/>
              <w:spacing w:after="0"/>
              <w:rPr>
                <w:sz w:val="20"/>
                <w:szCs w:val="20"/>
                <w:color w:val="auto"/>
              </w:rPr>
            </w:pPr>
            <w:r>
              <w:rPr>
                <w:rFonts w:ascii="Arial" w:cs="Arial" w:eastAsia="Arial" w:hAnsi="Arial"/>
                <w:sz w:val="18"/>
                <w:szCs w:val="18"/>
                <w:color w:val="auto"/>
              </w:rPr>
              <w:t>March 1972</w:t>
            </w:r>
          </w:p>
        </w:tc>
      </w:tr>
      <w:tr>
        <w:trPr>
          <w:trHeight w:val="230"/>
        </w:trPr>
        <w:tc>
          <w:tcPr>
            <w:tcW w:w="1980" w:type="dxa"/>
            <w:vAlign w:val="bottom"/>
          </w:tcPr>
          <w:p>
            <w:pPr>
              <w:spacing w:after="0" w:line="229" w:lineRule="exact"/>
              <w:rPr>
                <w:sz w:val="20"/>
                <w:szCs w:val="20"/>
                <w:color w:val="auto"/>
              </w:rPr>
            </w:pPr>
            <w:r>
              <w:rPr>
                <w:rFonts w:ascii="Arial" w:cs="Arial" w:eastAsia="Arial" w:hAnsi="Arial"/>
                <w:sz w:val="18"/>
                <w:szCs w:val="18"/>
                <w:color w:val="auto"/>
              </w:rPr>
              <w:t>Marroquín</w:t>
            </w:r>
            <w:r>
              <w:rPr>
                <w:rFonts w:ascii="Arial" w:cs="Arial" w:eastAsia="Arial" w:hAnsi="Arial"/>
                <w:sz w:val="22"/>
                <w:szCs w:val="22"/>
                <w:color w:val="auto"/>
                <w:vertAlign w:val="superscript"/>
              </w:rPr>
              <w:t>(1)(2)</w:t>
            </w:r>
          </w:p>
        </w:tc>
        <w:tc>
          <w:tcPr>
            <w:tcW w:w="2020" w:type="dxa"/>
            <w:vAlign w:val="bottom"/>
          </w:tcPr>
          <w:p>
            <w:pPr>
              <w:spacing w:after="0"/>
              <w:rPr>
                <w:sz w:val="19"/>
                <w:szCs w:val="19"/>
                <w:color w:val="auto"/>
              </w:rPr>
            </w:pPr>
          </w:p>
        </w:tc>
        <w:tc>
          <w:tcPr>
            <w:tcW w:w="7260" w:type="dxa"/>
            <w:vAlign w:val="bottom"/>
          </w:tcPr>
          <w:p>
            <w:pPr>
              <w:spacing w:after="0"/>
              <w:rPr>
                <w:sz w:val="19"/>
                <w:szCs w:val="19"/>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20" w:type="dxa"/>
            <w:vAlign w:val="bottom"/>
          </w:tcPr>
          <w:p>
            <w:pPr>
              <w:ind w:left="300"/>
              <w:spacing w:after="0"/>
              <w:rPr>
                <w:sz w:val="20"/>
                <w:szCs w:val="20"/>
                <w:color w:val="auto"/>
              </w:rPr>
            </w:pPr>
            <w:r>
              <w:rPr>
                <w:rFonts w:ascii="Arial" w:cs="Arial" w:eastAsia="Arial" w:hAnsi="Arial"/>
                <w:sz w:val="18"/>
                <w:szCs w:val="18"/>
                <w:color w:val="auto"/>
              </w:rPr>
              <w:t>First elected:</w:t>
            </w:r>
          </w:p>
        </w:tc>
        <w:tc>
          <w:tcPr>
            <w:tcW w:w="7260" w:type="dxa"/>
            <w:vAlign w:val="bottom"/>
          </w:tcPr>
          <w:p>
            <w:pPr>
              <w:ind w:left="240"/>
              <w:spacing w:after="0"/>
              <w:rPr>
                <w:sz w:val="20"/>
                <w:szCs w:val="20"/>
                <w:color w:val="auto"/>
              </w:rPr>
            </w:pPr>
            <w:r>
              <w:rPr>
                <w:rFonts w:ascii="Arial" w:cs="Arial" w:eastAsia="Arial" w:hAnsi="Arial"/>
                <w:sz w:val="18"/>
                <w:szCs w:val="18"/>
                <w:color w:val="auto"/>
              </w:rPr>
              <w:t>1999 as alternate; 2004 as main Board Member</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Term expires:</w:t>
            </w:r>
          </w:p>
        </w:tc>
        <w:tc>
          <w:tcPr>
            <w:tcW w:w="726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w w:val="99"/>
              </w:rPr>
              <w:t>Business experience:</w:t>
            </w:r>
          </w:p>
        </w:tc>
        <w:tc>
          <w:tcPr>
            <w:tcW w:w="7260" w:type="dxa"/>
            <w:vAlign w:val="bottom"/>
          </w:tcPr>
          <w:p>
            <w:pPr>
              <w:ind w:left="240"/>
              <w:spacing w:after="0"/>
              <w:rPr>
                <w:sz w:val="20"/>
                <w:szCs w:val="20"/>
                <w:color w:val="auto"/>
              </w:rPr>
            </w:pPr>
            <w:r>
              <w:rPr>
                <w:rFonts w:ascii="Arial" w:cs="Arial" w:eastAsia="Arial" w:hAnsi="Arial"/>
                <w:sz w:val="18"/>
                <w:szCs w:val="18"/>
                <w:color w:val="auto"/>
              </w:rPr>
              <w:t>Private Investor</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Other directorships:</w:t>
            </w:r>
          </w:p>
        </w:tc>
        <w:tc>
          <w:tcPr>
            <w:tcW w:w="72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Education:</w:t>
            </w:r>
          </w:p>
        </w:tc>
        <w:tc>
          <w:tcPr>
            <w:tcW w:w="7260" w:type="dxa"/>
            <w:vAlign w:val="bottom"/>
          </w:tcPr>
          <w:p>
            <w:pPr>
              <w:ind w:left="240"/>
              <w:spacing w:after="0"/>
              <w:rPr>
                <w:sz w:val="20"/>
                <w:szCs w:val="20"/>
                <w:color w:val="auto"/>
              </w:rPr>
            </w:pPr>
            <w:r>
              <w:rPr>
                <w:rFonts w:ascii="Arial" w:cs="Arial" w:eastAsia="Arial" w:hAnsi="Arial"/>
                <w:sz w:val="18"/>
                <w:szCs w:val="18"/>
                <w:color w:val="auto"/>
              </w:rPr>
              <w:t>Holds a business administration degree from ITESM</w:t>
            </w:r>
          </w:p>
        </w:tc>
      </w:tr>
      <w:tr>
        <w:trPr>
          <w:trHeight w:val="222"/>
        </w:trPr>
        <w:tc>
          <w:tcPr>
            <w:tcW w:w="1980" w:type="dxa"/>
            <w:vAlign w:val="bottom"/>
          </w:tcPr>
          <w:p>
            <w:pPr>
              <w:spacing w:after="0"/>
              <w:rPr>
                <w:sz w:val="19"/>
                <w:szCs w:val="19"/>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Alternate director:</w:t>
            </w:r>
          </w:p>
        </w:tc>
        <w:tc>
          <w:tcPr>
            <w:tcW w:w="7260" w:type="dxa"/>
            <w:vAlign w:val="bottom"/>
          </w:tcPr>
          <w:p>
            <w:pPr>
              <w:ind w:left="240"/>
              <w:spacing w:after="0"/>
              <w:rPr>
                <w:sz w:val="20"/>
                <w:szCs w:val="20"/>
                <w:color w:val="auto"/>
              </w:rPr>
            </w:pPr>
            <w:r>
              <w:rPr>
                <w:rFonts w:ascii="Arial" w:cs="Arial" w:eastAsia="Arial" w:hAnsi="Arial"/>
                <w:sz w:val="18"/>
                <w:szCs w:val="18"/>
                <w:color w:val="auto"/>
              </w:rPr>
              <w:t>Carlos Salazar Lomelín</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José Manuel Canal</w:t>
            </w:r>
          </w:p>
        </w:tc>
        <w:tc>
          <w:tcPr>
            <w:tcW w:w="2020" w:type="dxa"/>
            <w:vAlign w:val="bottom"/>
          </w:tcPr>
          <w:p>
            <w:pPr>
              <w:ind w:left="300"/>
              <w:spacing w:after="0"/>
              <w:rPr>
                <w:sz w:val="20"/>
                <w:szCs w:val="20"/>
                <w:color w:val="auto"/>
              </w:rPr>
            </w:pPr>
            <w:r>
              <w:rPr>
                <w:rFonts w:ascii="Arial" w:cs="Arial" w:eastAsia="Arial" w:hAnsi="Arial"/>
                <w:sz w:val="18"/>
                <w:szCs w:val="18"/>
                <w:color w:val="auto"/>
              </w:rPr>
              <w:t>Born:</w:t>
            </w:r>
          </w:p>
        </w:tc>
        <w:tc>
          <w:tcPr>
            <w:tcW w:w="7260" w:type="dxa"/>
            <w:vAlign w:val="bottom"/>
          </w:tcPr>
          <w:p>
            <w:pPr>
              <w:ind w:left="240"/>
              <w:spacing w:after="0"/>
              <w:rPr>
                <w:sz w:val="20"/>
                <w:szCs w:val="20"/>
                <w:color w:val="auto"/>
              </w:rPr>
            </w:pPr>
            <w:r>
              <w:rPr>
                <w:rFonts w:ascii="Arial" w:cs="Arial" w:eastAsia="Arial" w:hAnsi="Arial"/>
                <w:sz w:val="18"/>
                <w:szCs w:val="18"/>
                <w:color w:val="auto"/>
              </w:rPr>
              <w:t>February 1940</w:t>
            </w:r>
          </w:p>
        </w:tc>
      </w:tr>
      <w:tr>
        <w:trPr>
          <w:trHeight w:val="222"/>
        </w:trPr>
        <w:tc>
          <w:tcPr>
            <w:tcW w:w="1980" w:type="dxa"/>
            <w:vAlign w:val="bottom"/>
          </w:tcPr>
          <w:p>
            <w:pPr>
              <w:spacing w:after="0"/>
              <w:rPr>
                <w:sz w:val="20"/>
                <w:szCs w:val="20"/>
                <w:color w:val="auto"/>
              </w:rPr>
            </w:pPr>
            <w:r>
              <w:rPr>
                <w:rFonts w:ascii="Arial" w:cs="Arial" w:eastAsia="Arial" w:hAnsi="Arial"/>
                <w:sz w:val="18"/>
                <w:szCs w:val="18"/>
                <w:color w:val="auto"/>
              </w:rPr>
              <w:t>Hernando</w:t>
            </w:r>
          </w:p>
        </w:tc>
        <w:tc>
          <w:tcPr>
            <w:tcW w:w="2020" w:type="dxa"/>
            <w:vAlign w:val="bottom"/>
          </w:tcPr>
          <w:p>
            <w:pPr>
              <w:spacing w:after="0"/>
              <w:rPr>
                <w:sz w:val="19"/>
                <w:szCs w:val="19"/>
                <w:color w:val="auto"/>
              </w:rPr>
            </w:pPr>
          </w:p>
        </w:tc>
        <w:tc>
          <w:tcPr>
            <w:tcW w:w="7260" w:type="dxa"/>
            <w:vAlign w:val="bottom"/>
          </w:tcPr>
          <w:p>
            <w:pPr>
              <w:spacing w:after="0"/>
              <w:rPr>
                <w:sz w:val="19"/>
                <w:szCs w:val="19"/>
                <w:color w:val="auto"/>
              </w:rPr>
            </w:pPr>
          </w:p>
        </w:tc>
      </w:tr>
      <w:tr>
        <w:trPr>
          <w:trHeight w:val="223"/>
        </w:trPr>
        <w:tc>
          <w:tcPr>
            <w:tcW w:w="19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20" w:type="dxa"/>
            <w:vAlign w:val="bottom"/>
          </w:tcPr>
          <w:p>
            <w:pPr>
              <w:ind w:left="300"/>
              <w:spacing w:after="0"/>
              <w:rPr>
                <w:sz w:val="20"/>
                <w:szCs w:val="20"/>
                <w:color w:val="auto"/>
              </w:rPr>
            </w:pPr>
            <w:r>
              <w:rPr>
                <w:rFonts w:ascii="Arial" w:cs="Arial" w:eastAsia="Arial" w:hAnsi="Arial"/>
                <w:sz w:val="18"/>
                <w:szCs w:val="18"/>
                <w:color w:val="auto"/>
              </w:rPr>
              <w:t>First elected:</w:t>
            </w:r>
          </w:p>
        </w:tc>
        <w:tc>
          <w:tcPr>
            <w:tcW w:w="7260" w:type="dxa"/>
            <w:vAlign w:val="bottom"/>
          </w:tcPr>
          <w:p>
            <w:pPr>
              <w:ind w:left="240"/>
              <w:spacing w:after="0"/>
              <w:rPr>
                <w:sz w:val="20"/>
                <w:szCs w:val="20"/>
                <w:color w:val="auto"/>
              </w:rPr>
            </w:pPr>
            <w:r>
              <w:rPr>
                <w:rFonts w:ascii="Arial" w:cs="Arial" w:eastAsia="Arial" w:hAnsi="Arial"/>
                <w:sz w:val="18"/>
                <w:szCs w:val="18"/>
                <w:color w:val="auto"/>
              </w:rPr>
              <w:t>2003</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Term expires:</w:t>
            </w:r>
          </w:p>
        </w:tc>
        <w:tc>
          <w:tcPr>
            <w:tcW w:w="726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Principal occupation:</w:t>
            </w:r>
          </w:p>
        </w:tc>
        <w:tc>
          <w:tcPr>
            <w:tcW w:w="7260" w:type="dxa"/>
            <w:vAlign w:val="bottom"/>
          </w:tcPr>
          <w:p>
            <w:pPr>
              <w:ind w:left="240"/>
              <w:spacing w:after="0"/>
              <w:rPr>
                <w:sz w:val="20"/>
                <w:szCs w:val="20"/>
                <w:color w:val="auto"/>
              </w:rPr>
            </w:pPr>
            <w:r>
              <w:rPr>
                <w:rFonts w:ascii="Arial" w:cs="Arial" w:eastAsia="Arial" w:hAnsi="Arial"/>
                <w:sz w:val="18"/>
                <w:szCs w:val="18"/>
                <w:color w:val="auto"/>
              </w:rPr>
              <w:t>Private consultant</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Other directorships:</w:t>
            </w:r>
          </w:p>
        </w:tc>
        <w:tc>
          <w:tcPr>
            <w:tcW w:w="7260" w:type="dxa"/>
            <w:vAlign w:val="bottom"/>
          </w:tcPr>
          <w:p>
            <w:pPr>
              <w:ind w:left="240"/>
              <w:spacing w:after="0"/>
              <w:rPr>
                <w:sz w:val="20"/>
                <w:szCs w:val="20"/>
                <w:color w:val="auto"/>
              </w:rPr>
            </w:pPr>
            <w:r>
              <w:rPr>
                <w:rFonts w:ascii="Arial" w:cs="Arial" w:eastAsia="Arial" w:hAnsi="Arial"/>
                <w:sz w:val="18"/>
                <w:szCs w:val="18"/>
                <w:color w:val="auto"/>
                <w:w w:val="90"/>
              </w:rPr>
              <w:t>Chairman of the board of Banco Compartamos, S.A. Member of the boards of Coca-Cola FEMSA</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1"/>
              </w:rPr>
              <w:t>and member of its audit committee; ALSEA, S.A.B. de C.V. and chairman of its audit committee.</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Member of the boards and audit committees of Dine and Kuo.</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w w:val="99"/>
              </w:rPr>
              <w:t>Business experience:</w:t>
            </w:r>
          </w:p>
        </w:tc>
        <w:tc>
          <w:tcPr>
            <w:tcW w:w="7260" w:type="dxa"/>
            <w:vAlign w:val="bottom"/>
          </w:tcPr>
          <w:p>
            <w:pPr>
              <w:ind w:left="240"/>
              <w:spacing w:after="0"/>
              <w:rPr>
                <w:sz w:val="20"/>
                <w:szCs w:val="20"/>
                <w:color w:val="auto"/>
              </w:rPr>
            </w:pPr>
            <w:r>
              <w:rPr>
                <w:rFonts w:ascii="Arial" w:cs="Arial" w:eastAsia="Arial" w:hAnsi="Arial"/>
                <w:sz w:val="18"/>
                <w:szCs w:val="18"/>
                <w:color w:val="auto"/>
                <w:w w:val="91"/>
              </w:rPr>
              <w:t>Former managing partner at Ruiz, Urquiza y Cía, S.C. from 1981 to 1999, acted as our statutory</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89"/>
              </w:rPr>
              <w:t>examiner from 1984 to 2002, presided in the Committee of Surveillance of the Mexican Institute of</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3"/>
              </w:rPr>
              <w:t>Finance Executives, has participated in several commissions at the Mexican Institute of Public</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w w:val="90"/>
              </w:rPr>
              <w:t>Accountants and has extensive experience in financial auditing for holding companies, banks and</w:t>
            </w:r>
          </w:p>
        </w:tc>
      </w:tr>
      <w:tr>
        <w:trPr>
          <w:trHeight w:val="216"/>
        </w:trPr>
        <w:tc>
          <w:tcPr>
            <w:tcW w:w="1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financial brokers</w:t>
            </w:r>
          </w:p>
        </w:tc>
      </w:tr>
      <w:tr>
        <w:trPr>
          <w:trHeight w:val="216"/>
        </w:trPr>
        <w:tc>
          <w:tcPr>
            <w:tcW w:w="19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Education:</w:t>
            </w:r>
          </w:p>
        </w:tc>
        <w:tc>
          <w:tcPr>
            <w:tcW w:w="7260" w:type="dxa"/>
            <w:vAlign w:val="bottom"/>
          </w:tcPr>
          <w:p>
            <w:pPr>
              <w:ind w:left="240"/>
              <w:spacing w:after="0"/>
              <w:rPr>
                <w:sz w:val="20"/>
                <w:szCs w:val="20"/>
                <w:color w:val="auto"/>
              </w:rPr>
            </w:pPr>
            <w:r>
              <w:rPr>
                <w:rFonts w:ascii="Arial" w:cs="Arial" w:eastAsia="Arial" w:hAnsi="Arial"/>
                <w:sz w:val="18"/>
                <w:szCs w:val="18"/>
                <w:color w:val="auto"/>
              </w:rPr>
              <w:t>Holds a CPA degree from the Universidad Nacional Autónoma de México</w:t>
            </w:r>
          </w:p>
        </w:tc>
      </w:tr>
      <w:tr>
        <w:trPr>
          <w:trHeight w:val="222"/>
        </w:trPr>
        <w:tc>
          <w:tcPr>
            <w:tcW w:w="1980" w:type="dxa"/>
            <w:vAlign w:val="bottom"/>
          </w:tcPr>
          <w:p>
            <w:pPr>
              <w:spacing w:after="0"/>
              <w:rPr>
                <w:sz w:val="19"/>
                <w:szCs w:val="19"/>
                <w:color w:val="auto"/>
              </w:rPr>
            </w:pPr>
          </w:p>
        </w:tc>
        <w:tc>
          <w:tcPr>
            <w:tcW w:w="2020" w:type="dxa"/>
            <w:vAlign w:val="bottom"/>
          </w:tcPr>
          <w:p>
            <w:pPr>
              <w:ind w:left="300"/>
              <w:spacing w:after="0"/>
              <w:rPr>
                <w:sz w:val="20"/>
                <w:szCs w:val="20"/>
                <w:color w:val="auto"/>
              </w:rPr>
            </w:pPr>
            <w:r>
              <w:rPr>
                <w:rFonts w:ascii="Arial" w:cs="Arial" w:eastAsia="Arial" w:hAnsi="Arial"/>
                <w:sz w:val="18"/>
                <w:szCs w:val="18"/>
                <w:color w:val="auto"/>
              </w:rPr>
              <w:t>Alternate director:</w:t>
            </w:r>
          </w:p>
        </w:tc>
        <w:tc>
          <w:tcPr>
            <w:tcW w:w="7260" w:type="dxa"/>
            <w:vAlign w:val="bottom"/>
          </w:tcPr>
          <w:p>
            <w:pPr>
              <w:ind w:left="240"/>
              <w:spacing w:after="0"/>
              <w:rPr>
                <w:sz w:val="20"/>
                <w:szCs w:val="20"/>
                <w:color w:val="auto"/>
              </w:rPr>
            </w:pPr>
            <w:r>
              <w:rPr>
                <w:rFonts w:ascii="Arial" w:cs="Arial" w:eastAsia="Arial" w:hAnsi="Arial"/>
                <w:sz w:val="18"/>
                <w:szCs w:val="18"/>
                <w:color w:val="auto"/>
              </w:rPr>
              <w:t>Ricardo Saldívar Escajadillo</w:t>
            </w:r>
          </w:p>
        </w:tc>
      </w:tr>
      <w:tr>
        <w:trPr>
          <w:trHeight w:val="365"/>
        </w:trPr>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60" w:type="dxa"/>
            <w:vAlign w:val="bottom"/>
          </w:tcPr>
          <w:p>
            <w:pPr>
              <w:ind w:left="1620"/>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1260"/>
          </w:cols>
          <w:pgMar w:left="240" w:top="459" w:right="3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Armando Garza Sada</w:t>
            </w:r>
          </w:p>
        </w:tc>
        <w:tc>
          <w:tcPr>
            <w:tcW w:w="2060" w:type="dxa"/>
            <w:vAlign w:val="bottom"/>
          </w:tcPr>
          <w:p>
            <w:pPr>
              <w:ind w:left="340"/>
              <w:spacing w:after="0"/>
              <w:rPr>
                <w:sz w:val="20"/>
                <w:szCs w:val="20"/>
                <w:color w:val="auto"/>
              </w:rPr>
            </w:pPr>
            <w:r>
              <w:rPr>
                <w:rFonts w:ascii="Arial" w:cs="Arial" w:eastAsia="Arial" w:hAnsi="Arial"/>
                <w:sz w:val="18"/>
                <w:szCs w:val="18"/>
                <w:color w:val="auto"/>
              </w:rPr>
              <w:t>Born:</w:t>
            </w:r>
          </w:p>
        </w:tc>
        <w:tc>
          <w:tcPr>
            <w:tcW w:w="7380" w:type="dxa"/>
            <w:vAlign w:val="bottom"/>
          </w:tcPr>
          <w:p>
            <w:pPr>
              <w:ind w:left="240"/>
              <w:spacing w:after="0"/>
              <w:rPr>
                <w:sz w:val="20"/>
                <w:szCs w:val="20"/>
                <w:color w:val="auto"/>
              </w:rPr>
            </w:pPr>
            <w:r>
              <w:rPr>
                <w:rFonts w:ascii="Arial" w:cs="Arial" w:eastAsia="Arial" w:hAnsi="Arial"/>
                <w:sz w:val="18"/>
                <w:szCs w:val="18"/>
                <w:color w:val="auto"/>
              </w:rPr>
              <w:t>June 1957</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60" w:type="dxa"/>
            <w:vAlign w:val="bottom"/>
          </w:tcPr>
          <w:p>
            <w:pPr>
              <w:ind w:left="340"/>
              <w:spacing w:after="0"/>
              <w:rPr>
                <w:sz w:val="20"/>
                <w:szCs w:val="20"/>
                <w:color w:val="auto"/>
              </w:rPr>
            </w:pPr>
            <w:r>
              <w:rPr>
                <w:rFonts w:ascii="Arial" w:cs="Arial" w:eastAsia="Arial" w:hAnsi="Arial"/>
                <w:sz w:val="18"/>
                <w:szCs w:val="18"/>
                <w:color w:val="auto"/>
              </w:rPr>
              <w:t>First elected:</w:t>
            </w:r>
          </w:p>
        </w:tc>
        <w:tc>
          <w:tcPr>
            <w:tcW w:w="7380" w:type="dxa"/>
            <w:vAlign w:val="bottom"/>
          </w:tcPr>
          <w:p>
            <w:pPr>
              <w:ind w:left="240"/>
              <w:spacing w:after="0"/>
              <w:rPr>
                <w:sz w:val="20"/>
                <w:szCs w:val="20"/>
                <w:color w:val="auto"/>
              </w:rPr>
            </w:pPr>
            <w:r>
              <w:rPr>
                <w:rFonts w:ascii="Arial" w:cs="Arial" w:eastAsia="Arial" w:hAnsi="Arial"/>
                <w:sz w:val="18"/>
                <w:szCs w:val="18"/>
                <w:color w:val="auto"/>
              </w:rPr>
              <w:t>2006</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Term expires:</w:t>
            </w:r>
          </w:p>
        </w:tc>
        <w:tc>
          <w:tcPr>
            <w:tcW w:w="738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Principal occupation:</w:t>
            </w:r>
          </w:p>
        </w:tc>
        <w:tc>
          <w:tcPr>
            <w:tcW w:w="7380" w:type="dxa"/>
            <w:vAlign w:val="bottom"/>
          </w:tcPr>
          <w:p>
            <w:pPr>
              <w:ind w:left="240"/>
              <w:spacing w:after="0"/>
              <w:rPr>
                <w:sz w:val="20"/>
                <w:szCs w:val="20"/>
                <w:color w:val="auto"/>
              </w:rPr>
            </w:pPr>
            <w:r>
              <w:rPr>
                <w:rFonts w:ascii="Arial" w:cs="Arial" w:eastAsia="Arial" w:hAnsi="Arial"/>
                <w:sz w:val="18"/>
                <w:szCs w:val="18"/>
                <w:color w:val="auto"/>
              </w:rPr>
              <w:t>Executive Vice-President of Corporate Development of Alfa, S.A.B. de C.V.</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Other directorships:</w:t>
            </w:r>
          </w:p>
        </w:tc>
        <w:tc>
          <w:tcPr>
            <w:tcW w:w="7380" w:type="dxa"/>
            <w:vAlign w:val="bottom"/>
          </w:tcPr>
          <w:p>
            <w:pPr>
              <w:ind w:left="240"/>
              <w:spacing w:after="0"/>
              <w:rPr>
                <w:sz w:val="20"/>
                <w:szCs w:val="20"/>
                <w:color w:val="auto"/>
              </w:rPr>
            </w:pPr>
            <w:r>
              <w:rPr>
                <w:rFonts w:ascii="Arial" w:cs="Arial" w:eastAsia="Arial" w:hAnsi="Arial"/>
                <w:sz w:val="18"/>
                <w:szCs w:val="18"/>
                <w:color w:val="auto"/>
                <w:w w:val="94"/>
              </w:rPr>
              <w:t>Member of the Board of Directors of Alfa, Grupo Gigante, S.A. de C.V., El Puerto de Liverpool.</w:t>
            </w:r>
          </w:p>
        </w:tc>
      </w:tr>
      <w:tr>
        <w:trPr>
          <w:trHeight w:val="216"/>
        </w:trPr>
        <w:tc>
          <w:tcPr>
            <w:tcW w:w="1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w w:val="94"/>
              </w:rPr>
              <w:t>S.A.B. de C.V., Grupo Lamosa S.A.B. de C.V., Bolsa Mexicana de Valores, S.A.B. de C.V. and</w:t>
            </w:r>
          </w:p>
        </w:tc>
      </w:tr>
      <w:tr>
        <w:trPr>
          <w:trHeight w:val="216"/>
        </w:trPr>
        <w:tc>
          <w:tcPr>
            <w:tcW w:w="1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CYDSA, S.A.B. de C.V.</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w w:val="99"/>
              </w:rPr>
              <w:t>Business experience:</w:t>
            </w:r>
          </w:p>
        </w:tc>
        <w:tc>
          <w:tcPr>
            <w:tcW w:w="7380" w:type="dxa"/>
            <w:vAlign w:val="bottom"/>
          </w:tcPr>
          <w:p>
            <w:pPr>
              <w:ind w:left="240"/>
              <w:spacing w:after="0"/>
              <w:rPr>
                <w:sz w:val="20"/>
                <w:szCs w:val="20"/>
                <w:color w:val="auto"/>
              </w:rPr>
            </w:pPr>
            <w:r>
              <w:rPr>
                <w:rFonts w:ascii="Arial" w:cs="Arial" w:eastAsia="Arial" w:hAnsi="Arial"/>
                <w:sz w:val="18"/>
                <w:szCs w:val="18"/>
                <w:color w:val="auto"/>
                <w:w w:val="91"/>
              </w:rPr>
              <w:t>He has a long professional career in Alfa, former Chief Executive Officer at Sigma Alimentos, S.A.</w:t>
            </w:r>
          </w:p>
        </w:tc>
      </w:tr>
      <w:tr>
        <w:trPr>
          <w:trHeight w:val="216"/>
        </w:trPr>
        <w:tc>
          <w:tcPr>
            <w:tcW w:w="1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de C.V.</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Education:</w:t>
            </w:r>
          </w:p>
        </w:tc>
        <w:tc>
          <w:tcPr>
            <w:tcW w:w="7380" w:type="dxa"/>
            <w:vAlign w:val="bottom"/>
          </w:tcPr>
          <w:p>
            <w:pPr>
              <w:ind w:left="240"/>
              <w:spacing w:after="0"/>
              <w:rPr>
                <w:sz w:val="20"/>
                <w:szCs w:val="20"/>
                <w:color w:val="auto"/>
              </w:rPr>
            </w:pPr>
            <w:r>
              <w:rPr>
                <w:rFonts w:ascii="Arial" w:cs="Arial" w:eastAsia="Arial" w:hAnsi="Arial"/>
                <w:sz w:val="18"/>
                <w:szCs w:val="18"/>
                <w:color w:val="auto"/>
              </w:rPr>
              <w:t>Holds a degree in industrial engineering from ITESM and a MBA from Stanford University</w:t>
            </w:r>
          </w:p>
        </w:tc>
      </w:tr>
      <w:tr>
        <w:trPr>
          <w:trHeight w:val="222"/>
        </w:trPr>
        <w:tc>
          <w:tcPr>
            <w:tcW w:w="194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Alternate director:</w:t>
            </w:r>
          </w:p>
        </w:tc>
        <w:tc>
          <w:tcPr>
            <w:tcW w:w="7380" w:type="dxa"/>
            <w:vAlign w:val="bottom"/>
          </w:tcPr>
          <w:p>
            <w:pPr>
              <w:ind w:left="240"/>
              <w:spacing w:after="0"/>
              <w:rPr>
                <w:sz w:val="20"/>
                <w:szCs w:val="20"/>
                <w:color w:val="auto"/>
              </w:rPr>
            </w:pPr>
            <w:r>
              <w:rPr>
                <w:rFonts w:ascii="Arial" w:cs="Arial" w:eastAsia="Arial" w:hAnsi="Arial"/>
                <w:sz w:val="18"/>
                <w:szCs w:val="18"/>
                <w:color w:val="auto"/>
              </w:rPr>
              <w:t>Eduardo Padilla Silva</w:t>
            </w:r>
          </w:p>
        </w:tc>
      </w:tr>
      <w:tr>
        <w:trPr>
          <w:trHeight w:val="318"/>
        </w:trPr>
        <w:tc>
          <w:tcPr>
            <w:tcW w:w="1940" w:type="dxa"/>
            <w:vAlign w:val="bottom"/>
          </w:tcPr>
          <w:p>
            <w:pPr>
              <w:spacing w:after="0"/>
              <w:rPr>
                <w:sz w:val="20"/>
                <w:szCs w:val="20"/>
                <w:color w:val="auto"/>
              </w:rPr>
            </w:pPr>
            <w:r>
              <w:rPr>
                <w:rFonts w:ascii="Arial" w:cs="Arial" w:eastAsia="Arial" w:hAnsi="Arial"/>
                <w:sz w:val="18"/>
                <w:szCs w:val="18"/>
                <w:color w:val="auto"/>
              </w:rPr>
              <w:t>Alexis E. Rovzar de la</w:t>
            </w:r>
          </w:p>
        </w:tc>
        <w:tc>
          <w:tcPr>
            <w:tcW w:w="2060" w:type="dxa"/>
            <w:vAlign w:val="bottom"/>
          </w:tcPr>
          <w:p>
            <w:pPr>
              <w:ind w:left="340"/>
              <w:spacing w:after="0"/>
              <w:rPr>
                <w:sz w:val="20"/>
                <w:szCs w:val="20"/>
                <w:color w:val="auto"/>
              </w:rPr>
            </w:pPr>
            <w:r>
              <w:rPr>
                <w:rFonts w:ascii="Arial" w:cs="Arial" w:eastAsia="Arial" w:hAnsi="Arial"/>
                <w:sz w:val="18"/>
                <w:szCs w:val="18"/>
                <w:color w:val="auto"/>
              </w:rPr>
              <w:t>Born:</w:t>
            </w:r>
          </w:p>
        </w:tc>
        <w:tc>
          <w:tcPr>
            <w:tcW w:w="7380" w:type="dxa"/>
            <w:vAlign w:val="bottom"/>
          </w:tcPr>
          <w:p>
            <w:pPr>
              <w:ind w:left="240"/>
              <w:spacing w:after="0"/>
              <w:rPr>
                <w:sz w:val="20"/>
                <w:szCs w:val="20"/>
                <w:color w:val="auto"/>
              </w:rPr>
            </w:pPr>
            <w:r>
              <w:rPr>
                <w:rFonts w:ascii="Arial" w:cs="Arial" w:eastAsia="Arial" w:hAnsi="Arial"/>
                <w:sz w:val="18"/>
                <w:szCs w:val="18"/>
                <w:color w:val="auto"/>
              </w:rPr>
              <w:t>July 1951</w:t>
            </w:r>
          </w:p>
        </w:tc>
      </w:t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Torre</w:t>
            </w:r>
          </w:p>
        </w:tc>
        <w:tc>
          <w:tcPr>
            <w:tcW w:w="2060" w:type="dxa"/>
            <w:vAlign w:val="bottom"/>
          </w:tcPr>
          <w:p>
            <w:pPr>
              <w:spacing w:after="0"/>
              <w:rPr>
                <w:sz w:val="19"/>
                <w:szCs w:val="19"/>
                <w:color w:val="auto"/>
              </w:rPr>
            </w:pPr>
          </w:p>
        </w:tc>
        <w:tc>
          <w:tcPr>
            <w:tcW w:w="7380" w:type="dxa"/>
            <w:vAlign w:val="bottom"/>
          </w:tcPr>
          <w:p>
            <w:pPr>
              <w:spacing w:after="0"/>
              <w:rPr>
                <w:sz w:val="19"/>
                <w:szCs w:val="19"/>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60" w:type="dxa"/>
            <w:vAlign w:val="bottom"/>
          </w:tcPr>
          <w:p>
            <w:pPr>
              <w:ind w:left="340"/>
              <w:spacing w:after="0"/>
              <w:rPr>
                <w:sz w:val="20"/>
                <w:szCs w:val="20"/>
                <w:color w:val="auto"/>
              </w:rPr>
            </w:pPr>
            <w:r>
              <w:rPr>
                <w:rFonts w:ascii="Arial" w:cs="Arial" w:eastAsia="Arial" w:hAnsi="Arial"/>
                <w:sz w:val="18"/>
                <w:szCs w:val="18"/>
                <w:color w:val="auto"/>
              </w:rPr>
              <w:t>First elected:</w:t>
            </w:r>
          </w:p>
        </w:tc>
        <w:tc>
          <w:tcPr>
            <w:tcW w:w="7380" w:type="dxa"/>
            <w:vAlign w:val="bottom"/>
          </w:tcPr>
          <w:p>
            <w:pPr>
              <w:ind w:left="240"/>
              <w:spacing w:after="0"/>
              <w:rPr>
                <w:sz w:val="20"/>
                <w:szCs w:val="20"/>
                <w:color w:val="auto"/>
              </w:rPr>
            </w:pPr>
            <w:r>
              <w:rPr>
                <w:rFonts w:ascii="Arial" w:cs="Arial" w:eastAsia="Arial" w:hAnsi="Arial"/>
                <w:sz w:val="18"/>
                <w:szCs w:val="18"/>
                <w:color w:val="auto"/>
              </w:rPr>
              <w:t>1989</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Term expires:</w:t>
            </w:r>
          </w:p>
        </w:tc>
        <w:tc>
          <w:tcPr>
            <w:tcW w:w="738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Principal occupation:</w:t>
            </w:r>
          </w:p>
        </w:tc>
        <w:tc>
          <w:tcPr>
            <w:tcW w:w="7380" w:type="dxa"/>
            <w:vAlign w:val="bottom"/>
          </w:tcPr>
          <w:p>
            <w:pPr>
              <w:ind w:left="240"/>
              <w:spacing w:after="0"/>
              <w:rPr>
                <w:sz w:val="20"/>
                <w:szCs w:val="20"/>
                <w:color w:val="auto"/>
              </w:rPr>
            </w:pPr>
            <w:r>
              <w:rPr>
                <w:rFonts w:ascii="Arial" w:cs="Arial" w:eastAsia="Arial" w:hAnsi="Arial"/>
                <w:sz w:val="18"/>
                <w:szCs w:val="18"/>
                <w:color w:val="auto"/>
              </w:rPr>
              <w:t>Executive Partner at White &amp; Case, S.C. law firm</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Other directorships:</w:t>
            </w:r>
          </w:p>
        </w:tc>
        <w:tc>
          <w:tcPr>
            <w:tcW w:w="7380" w:type="dxa"/>
            <w:vAlign w:val="bottom"/>
          </w:tcPr>
          <w:p>
            <w:pPr>
              <w:ind w:left="240"/>
              <w:spacing w:after="0"/>
              <w:rPr>
                <w:sz w:val="20"/>
                <w:szCs w:val="20"/>
                <w:color w:val="auto"/>
              </w:rPr>
            </w:pPr>
            <w:r>
              <w:rPr>
                <w:rFonts w:ascii="Arial" w:cs="Arial" w:eastAsia="Arial" w:hAnsi="Arial"/>
                <w:sz w:val="18"/>
                <w:szCs w:val="18"/>
                <w:color w:val="auto"/>
                <w:w w:val="89"/>
              </w:rPr>
              <w:t>Member of the boards of Coca-Cola FEMSA (chairman of its audit committee), Grupo Bimbo S.A.B.</w:t>
            </w:r>
          </w:p>
        </w:tc>
      </w:tr>
      <w:tr>
        <w:trPr>
          <w:trHeight w:val="216"/>
        </w:trPr>
        <w:tc>
          <w:tcPr>
            <w:tcW w:w="1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de C.V., Bank of Nova Scotia, and Grupo ACIR, S.A. de C.V.</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w w:val="99"/>
              </w:rPr>
              <w:t>Business experience:</w:t>
            </w:r>
          </w:p>
        </w:tc>
        <w:tc>
          <w:tcPr>
            <w:tcW w:w="7380" w:type="dxa"/>
            <w:vAlign w:val="bottom"/>
          </w:tcPr>
          <w:p>
            <w:pPr>
              <w:ind w:left="240"/>
              <w:spacing w:after="0"/>
              <w:rPr>
                <w:sz w:val="20"/>
                <w:szCs w:val="20"/>
                <w:color w:val="auto"/>
              </w:rPr>
            </w:pPr>
            <w:r>
              <w:rPr>
                <w:rFonts w:ascii="Arial" w:cs="Arial" w:eastAsia="Arial" w:hAnsi="Arial"/>
                <w:sz w:val="18"/>
                <w:szCs w:val="18"/>
                <w:color w:val="auto"/>
                <w:w w:val="87"/>
              </w:rPr>
              <w:t>Expert in private and public mergers and acquisitions as well as other aspects of financial law and has</w:t>
            </w:r>
          </w:p>
        </w:tc>
      </w:tr>
      <w:tr>
        <w:trPr>
          <w:trHeight w:val="216"/>
        </w:trPr>
        <w:tc>
          <w:tcPr>
            <w:tcW w:w="1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been advisor to many companies on international business and joint venture transactions</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Education:</w:t>
            </w:r>
          </w:p>
        </w:tc>
        <w:tc>
          <w:tcPr>
            <w:tcW w:w="7380" w:type="dxa"/>
            <w:vAlign w:val="bottom"/>
          </w:tcPr>
          <w:p>
            <w:pPr>
              <w:ind w:left="240"/>
              <w:spacing w:after="0"/>
              <w:rPr>
                <w:sz w:val="20"/>
                <w:szCs w:val="20"/>
                <w:color w:val="auto"/>
              </w:rPr>
            </w:pPr>
            <w:r>
              <w:rPr>
                <w:rFonts w:ascii="Arial" w:cs="Arial" w:eastAsia="Arial" w:hAnsi="Arial"/>
                <w:sz w:val="18"/>
                <w:szCs w:val="18"/>
                <w:color w:val="auto"/>
              </w:rPr>
              <w:t>Holds a law degree from the Universidad Nacional Autónoma de México</w:t>
            </w:r>
          </w:p>
        </w:tc>
      </w:tr>
      <w:tr>
        <w:trPr>
          <w:trHeight w:val="222"/>
        </w:trPr>
        <w:tc>
          <w:tcPr>
            <w:tcW w:w="194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Alternate director:</w:t>
            </w:r>
          </w:p>
        </w:tc>
        <w:tc>
          <w:tcPr>
            <w:tcW w:w="7380" w:type="dxa"/>
            <w:vAlign w:val="bottom"/>
          </w:tcPr>
          <w:p>
            <w:pPr>
              <w:ind w:left="240"/>
              <w:spacing w:after="0"/>
              <w:rPr>
                <w:sz w:val="20"/>
                <w:szCs w:val="20"/>
                <w:color w:val="auto"/>
              </w:rPr>
            </w:pPr>
            <w:r>
              <w:rPr>
                <w:rFonts w:ascii="Arial" w:cs="Arial" w:eastAsia="Arial" w:hAnsi="Arial"/>
                <w:sz w:val="18"/>
                <w:szCs w:val="18"/>
                <w:color w:val="auto"/>
              </w:rPr>
              <w:t>Francisco Zambrano Rodríguez</w:t>
            </w:r>
          </w:p>
        </w:tc>
      </w:tr>
      <w:tr>
        <w:trPr>
          <w:trHeight w:val="318"/>
        </w:trPr>
        <w:tc>
          <w:tcPr>
            <w:tcW w:w="1940" w:type="dxa"/>
            <w:vAlign w:val="bottom"/>
          </w:tcPr>
          <w:p>
            <w:pPr>
              <w:spacing w:after="0"/>
              <w:rPr>
                <w:sz w:val="20"/>
                <w:szCs w:val="20"/>
                <w:color w:val="auto"/>
              </w:rPr>
            </w:pPr>
            <w:r>
              <w:rPr>
                <w:rFonts w:ascii="Arial" w:cs="Arial" w:eastAsia="Arial" w:hAnsi="Arial"/>
                <w:sz w:val="18"/>
                <w:szCs w:val="18"/>
                <w:color w:val="auto"/>
              </w:rPr>
              <w:t>Helmut Paul</w:t>
            </w:r>
          </w:p>
        </w:tc>
        <w:tc>
          <w:tcPr>
            <w:tcW w:w="2060" w:type="dxa"/>
            <w:vAlign w:val="bottom"/>
          </w:tcPr>
          <w:p>
            <w:pPr>
              <w:ind w:left="340"/>
              <w:spacing w:after="0"/>
              <w:rPr>
                <w:sz w:val="20"/>
                <w:szCs w:val="20"/>
                <w:color w:val="auto"/>
              </w:rPr>
            </w:pPr>
            <w:r>
              <w:rPr>
                <w:rFonts w:ascii="Arial" w:cs="Arial" w:eastAsia="Arial" w:hAnsi="Arial"/>
                <w:sz w:val="18"/>
                <w:szCs w:val="18"/>
                <w:color w:val="auto"/>
              </w:rPr>
              <w:t>Born:</w:t>
            </w:r>
          </w:p>
        </w:tc>
        <w:tc>
          <w:tcPr>
            <w:tcW w:w="7380" w:type="dxa"/>
            <w:vAlign w:val="bottom"/>
          </w:tcPr>
          <w:p>
            <w:pPr>
              <w:ind w:left="240"/>
              <w:spacing w:after="0"/>
              <w:rPr>
                <w:sz w:val="20"/>
                <w:szCs w:val="20"/>
                <w:color w:val="auto"/>
              </w:rPr>
            </w:pPr>
            <w:r>
              <w:rPr>
                <w:rFonts w:ascii="Arial" w:cs="Arial" w:eastAsia="Arial" w:hAnsi="Arial"/>
                <w:sz w:val="18"/>
                <w:szCs w:val="18"/>
                <w:color w:val="auto"/>
              </w:rPr>
              <w:t>March 1940</w:t>
            </w:r>
          </w:p>
        </w:tc>
      </w:tr>
      <w:tr>
        <w:trPr>
          <w:trHeight w:val="216"/>
        </w:trPr>
        <w:tc>
          <w:tcPr>
            <w:tcW w:w="1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60" w:type="dxa"/>
            <w:vAlign w:val="bottom"/>
          </w:tcPr>
          <w:p>
            <w:pPr>
              <w:ind w:left="340"/>
              <w:spacing w:after="0"/>
              <w:rPr>
                <w:sz w:val="20"/>
                <w:szCs w:val="20"/>
                <w:color w:val="auto"/>
              </w:rPr>
            </w:pPr>
            <w:r>
              <w:rPr>
                <w:rFonts w:ascii="Arial" w:cs="Arial" w:eastAsia="Arial" w:hAnsi="Arial"/>
                <w:sz w:val="18"/>
                <w:szCs w:val="18"/>
                <w:color w:val="auto"/>
              </w:rPr>
              <w:t>First elected:</w:t>
            </w:r>
          </w:p>
        </w:tc>
        <w:tc>
          <w:tcPr>
            <w:tcW w:w="7380" w:type="dxa"/>
            <w:vAlign w:val="bottom"/>
          </w:tcPr>
          <w:p>
            <w:pPr>
              <w:ind w:left="240"/>
              <w:spacing w:after="0"/>
              <w:rPr>
                <w:sz w:val="20"/>
                <w:szCs w:val="20"/>
                <w:color w:val="auto"/>
              </w:rPr>
            </w:pPr>
            <w:r>
              <w:rPr>
                <w:rFonts w:ascii="Arial" w:cs="Arial" w:eastAsia="Arial" w:hAnsi="Arial"/>
                <w:sz w:val="18"/>
                <w:szCs w:val="18"/>
                <w:color w:val="auto"/>
              </w:rPr>
              <w:t>1988</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Term expires:</w:t>
            </w:r>
          </w:p>
        </w:tc>
        <w:tc>
          <w:tcPr>
            <w:tcW w:w="7380" w:type="dxa"/>
            <w:vAlign w:val="bottom"/>
          </w:tcPr>
          <w:p>
            <w:pPr>
              <w:ind w:left="240"/>
              <w:spacing w:after="0"/>
              <w:rPr>
                <w:sz w:val="20"/>
                <w:szCs w:val="20"/>
                <w:color w:val="auto"/>
              </w:rPr>
            </w:pPr>
            <w:r>
              <w:rPr>
                <w:rFonts w:ascii="Arial" w:cs="Arial" w:eastAsia="Arial" w:hAnsi="Arial"/>
                <w:sz w:val="18"/>
                <w:szCs w:val="18"/>
                <w:color w:val="auto"/>
              </w:rPr>
              <w:t>2009</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Principal occupation:</w:t>
            </w:r>
          </w:p>
        </w:tc>
        <w:tc>
          <w:tcPr>
            <w:tcW w:w="7380" w:type="dxa"/>
            <w:vAlign w:val="bottom"/>
          </w:tcPr>
          <w:p>
            <w:pPr>
              <w:ind w:left="240"/>
              <w:spacing w:after="0"/>
              <w:rPr>
                <w:sz w:val="20"/>
                <w:szCs w:val="20"/>
                <w:color w:val="auto"/>
              </w:rPr>
            </w:pPr>
            <w:r>
              <w:rPr>
                <w:rFonts w:ascii="Arial" w:cs="Arial" w:eastAsia="Arial" w:hAnsi="Arial"/>
                <w:sz w:val="18"/>
                <w:szCs w:val="18"/>
                <w:color w:val="auto"/>
              </w:rPr>
              <w:t>Owner of H. Paul &amp; Company LLC (a corporate finance advisory firm)</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Other directorships:</w:t>
            </w:r>
          </w:p>
        </w:tc>
        <w:tc>
          <w:tcPr>
            <w:tcW w:w="7380" w:type="dxa"/>
            <w:vAlign w:val="bottom"/>
          </w:tcPr>
          <w:p>
            <w:pPr>
              <w:ind w:left="240"/>
              <w:spacing w:after="0"/>
              <w:rPr>
                <w:sz w:val="20"/>
                <w:szCs w:val="20"/>
                <w:color w:val="auto"/>
              </w:rPr>
            </w:pPr>
            <w:r>
              <w:rPr>
                <w:rFonts w:ascii="Arial" w:cs="Arial" w:eastAsia="Arial" w:hAnsi="Arial"/>
                <w:sz w:val="18"/>
                <w:szCs w:val="18"/>
                <w:color w:val="auto"/>
              </w:rPr>
              <w:t>Member of the boards of Zurich Emerging Markets Solutions and Coca-Cola FEMSA.</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w w:val="99"/>
              </w:rPr>
              <w:t>Business experience:</w:t>
            </w:r>
          </w:p>
        </w:tc>
        <w:tc>
          <w:tcPr>
            <w:tcW w:w="7380" w:type="dxa"/>
            <w:vAlign w:val="bottom"/>
          </w:tcPr>
          <w:p>
            <w:pPr>
              <w:ind w:left="240"/>
              <w:spacing w:after="0"/>
              <w:rPr>
                <w:sz w:val="20"/>
                <w:szCs w:val="20"/>
                <w:color w:val="auto"/>
              </w:rPr>
            </w:pPr>
            <w:r>
              <w:rPr>
                <w:rFonts w:ascii="Arial" w:cs="Arial" w:eastAsia="Arial" w:hAnsi="Arial"/>
                <w:sz w:val="18"/>
                <w:szCs w:val="18"/>
                <w:color w:val="auto"/>
                <w:w w:val="94"/>
              </w:rPr>
              <w:t>Ex-director Latin-America International Finance Corporation (IFC), and senior advisor of Darby</w:t>
            </w:r>
          </w:p>
        </w:tc>
      </w:tr>
      <w:tr>
        <w:trPr>
          <w:trHeight w:val="216"/>
        </w:trPr>
        <w:tc>
          <w:tcPr>
            <w:tcW w:w="1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380" w:type="dxa"/>
            <w:vAlign w:val="bottom"/>
          </w:tcPr>
          <w:p>
            <w:pPr>
              <w:ind w:left="240"/>
              <w:spacing w:after="0"/>
              <w:rPr>
                <w:sz w:val="20"/>
                <w:szCs w:val="20"/>
                <w:color w:val="auto"/>
              </w:rPr>
            </w:pPr>
            <w:r>
              <w:rPr>
                <w:rFonts w:ascii="Arial" w:cs="Arial" w:eastAsia="Arial" w:hAnsi="Arial"/>
                <w:sz w:val="18"/>
                <w:szCs w:val="18"/>
                <w:color w:val="auto"/>
              </w:rPr>
              <w:t>Overseas Investment, Ltd.</w:t>
            </w:r>
          </w:p>
        </w:tc>
      </w:tr>
      <w:tr>
        <w:trPr>
          <w:trHeight w:val="216"/>
        </w:trPr>
        <w:tc>
          <w:tcPr>
            <w:tcW w:w="1940" w:type="dxa"/>
            <w:vAlign w:val="bottom"/>
          </w:tcPr>
          <w:p>
            <w:pPr>
              <w:spacing w:after="0"/>
              <w:rPr>
                <w:sz w:val="18"/>
                <w:szCs w:val="18"/>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Education:</w:t>
            </w:r>
          </w:p>
        </w:tc>
        <w:tc>
          <w:tcPr>
            <w:tcW w:w="7380" w:type="dxa"/>
            <w:vAlign w:val="bottom"/>
          </w:tcPr>
          <w:p>
            <w:pPr>
              <w:ind w:left="240"/>
              <w:spacing w:after="0"/>
              <w:rPr>
                <w:sz w:val="20"/>
                <w:szCs w:val="20"/>
                <w:color w:val="auto"/>
              </w:rPr>
            </w:pPr>
            <w:r>
              <w:rPr>
                <w:rFonts w:ascii="Arial" w:cs="Arial" w:eastAsia="Arial" w:hAnsi="Arial"/>
                <w:sz w:val="18"/>
                <w:szCs w:val="18"/>
                <w:color w:val="auto"/>
              </w:rPr>
              <w:t>Holds an MBA from the University of Hamburg</w:t>
            </w:r>
          </w:p>
        </w:tc>
      </w:tr>
      <w:tr>
        <w:trPr>
          <w:trHeight w:val="222"/>
        </w:trPr>
        <w:tc>
          <w:tcPr>
            <w:tcW w:w="1940" w:type="dxa"/>
            <w:vAlign w:val="bottom"/>
          </w:tcPr>
          <w:p>
            <w:pPr>
              <w:spacing w:after="0"/>
              <w:rPr>
                <w:sz w:val="19"/>
                <w:szCs w:val="19"/>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Alternate director:</w:t>
            </w:r>
          </w:p>
        </w:tc>
        <w:tc>
          <w:tcPr>
            <w:tcW w:w="7380" w:type="dxa"/>
            <w:vAlign w:val="bottom"/>
          </w:tcPr>
          <w:p>
            <w:pPr>
              <w:ind w:left="240"/>
              <w:spacing w:after="0"/>
              <w:rPr>
                <w:sz w:val="20"/>
                <w:szCs w:val="20"/>
                <w:color w:val="auto"/>
              </w:rPr>
            </w:pPr>
            <w:r>
              <w:rPr>
                <w:rFonts w:ascii="Arial" w:cs="Arial" w:eastAsia="Arial" w:hAnsi="Arial"/>
                <w:sz w:val="18"/>
                <w:szCs w:val="18"/>
                <w:color w:val="auto"/>
              </w:rPr>
              <w:t>Antonio Elosúa Muguerza</w:t>
            </w:r>
          </w:p>
        </w:tc>
      </w:tr>
      <w:tr>
        <w:trPr>
          <w:trHeight w:val="365"/>
        </w:trPr>
        <w:tc>
          <w:tcPr>
            <w:tcW w:w="1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380" w:type="dxa"/>
            <w:vAlign w:val="bottom"/>
          </w:tcPr>
          <w:p>
            <w:pPr>
              <w:ind w:left="162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Lorenzo H. Zambrano</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i w:val="1"/>
          <w:iCs w:val="1"/>
          <w:color w:val="auto"/>
        </w:rPr>
        <w:t>Director</w:t>
      </w:r>
      <w:r>
        <w:rPr>
          <w:sz w:val="20"/>
          <w:szCs w:val="20"/>
          <w:color w:val="auto"/>
        </w:rPr>
        <w:tab/>
      </w:r>
      <w:r>
        <w:rPr>
          <w:rFonts w:ascii="Arial" w:cs="Arial" w:eastAsia="Arial" w:hAnsi="Arial"/>
          <w:sz w:val="18"/>
          <w:szCs w:val="18"/>
          <w:color w:val="auto"/>
        </w:rPr>
        <w:t>First elected:</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Principal occupation: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Other directorships: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Education:</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Alternate director:</w:t>
      </w:r>
    </w:p>
    <w:p>
      <w:pPr>
        <w:spacing w:after="0" w:line="117"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Robert E. Denham</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i w:val="1"/>
          <w:iCs w:val="1"/>
          <w:color w:val="auto"/>
        </w:rPr>
        <w:t>Director</w:t>
      </w:r>
      <w:r>
        <w:rPr>
          <w:sz w:val="20"/>
          <w:szCs w:val="20"/>
          <w:color w:val="auto"/>
        </w:rPr>
        <w:tab/>
      </w:r>
      <w:r>
        <w:rPr>
          <w:rFonts w:ascii="Arial" w:cs="Arial" w:eastAsia="Arial" w:hAnsi="Arial"/>
          <w:sz w:val="18"/>
          <w:szCs w:val="18"/>
          <w:color w:val="auto"/>
        </w:rPr>
        <w:t>First elected:</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Principal occupation: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Other directorships:</w:t>
      </w:r>
    </w:p>
    <w:p>
      <w:pPr>
        <w:spacing w:after="0" w:line="219"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Business experience:</w:t>
      </w:r>
    </w:p>
    <w:p>
      <w:pPr>
        <w:spacing w:after="0" w:line="248"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Education:</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Alternate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Daughter of Eugenio Garza Lagüera.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Sister-in-law of José Antonio Fernández Carbajal.</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Son-in-law of Eugenio Garza Lagüera.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Wife of José Antonio Fernández Carbajal.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Brother of José Calderón Rojas.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Sister of Eugenio Garza Lagüera.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Son of Consuelo Garza de Garza.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Son of Max Michel Suberville.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Brother of José Antonio Fernández Carbajal.</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Nephew of Max Michel Suberville.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March 1944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-665480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1995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of Cemex, S.A.B. de C.V.</w:t>
      </w:r>
    </w:p>
    <w:p>
      <w:pPr>
        <w:spacing w:after="0" w:line="9"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Member of the boards of IBM Corporation, Alfa, S.A.B. de C.V. (Human Resources Committee), Vitro, S.A.B. de C.V. (Chairman of the Compensation Committee), Grupo Televisa, S.A.B. de C.V. and Grupo Financiero Banamex, S.A. de C.V., and member of Citigroup’s International Advisory Board.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Holds a degree in mechanical engineering and administration from ITESM and an MBA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Stanford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Francisco Garza Zambrano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August 1945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 of Munger, Tolles &amp; Olson LLP law firm</w:t>
      </w:r>
    </w:p>
    <w:p>
      <w:pPr>
        <w:spacing w:after="0" w:line="9"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Member of the Boards of Wesco Financial Corporation, US Trust Company, Lucent Technologies, Inc. and Chevron Corp.</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Former Chief Executive Officer of Salomon Inc., representative to the APEC Business Advisory Council and member of the OECD Business Sector Advisory Group on Corporate Governance </w:t>
      </w:r>
      <w:r>
        <w:rPr>
          <w:rFonts w:ascii="Arial" w:cs="Arial" w:eastAsia="Arial" w:hAnsi="Arial"/>
          <w:sz w:val="18"/>
          <w:szCs w:val="18"/>
          <w:i w:val="1"/>
          <w:iCs w:val="1"/>
          <w:color w:val="auto"/>
        </w:rPr>
        <w:t xml:space="preserve">Magna cum laude </w:t>
      </w:r>
      <w:r>
        <w:rPr>
          <w:rFonts w:ascii="Arial" w:cs="Arial" w:eastAsia="Arial" w:hAnsi="Arial"/>
          <w:sz w:val="18"/>
          <w:szCs w:val="18"/>
          <w:color w:val="auto"/>
        </w:rPr>
        <w:t>graduate from the University of Texas, holds a JD from Harvard Law School and a</w:t>
      </w:r>
      <w:r>
        <w:rPr>
          <w:rFonts w:ascii="Arial" w:cs="Arial" w:eastAsia="Arial" w:hAnsi="Arial"/>
          <w:sz w:val="18"/>
          <w:szCs w:val="18"/>
          <w:i w:val="1"/>
          <w:iCs w:val="1"/>
          <w:color w:val="auto"/>
        </w:rPr>
        <w:t xml:space="preserve"> </w:t>
      </w:r>
      <w:r>
        <w:rPr>
          <w:rFonts w:ascii="Arial" w:cs="Arial" w:eastAsia="Arial" w:hAnsi="Arial"/>
          <w:sz w:val="18"/>
          <w:szCs w:val="18"/>
          <w:color w:val="auto"/>
        </w:rPr>
        <w:t>masters degree in Government from Harvard University José González Ornelas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93</w:t>
      </w:r>
    </w:p>
    <w:p>
      <w:pPr>
        <w:sectPr>
          <w:pgSz w:w="11900" w:h="16838" w:orient="portrait"/>
          <w:cols w:equalWidth="0" w:num="2">
            <w:col w:w="3980" w:space="260"/>
            <w:col w:w="712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names and positions of our current senior management and that of our principal sub-holding companies, their dates of birth and information on their principal business activities both within and outside of FEMSA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FEMSA</w:t>
            </w:r>
          </w:p>
        </w:tc>
        <w:tc>
          <w:tcPr>
            <w:tcW w:w="176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480" w:type="dxa"/>
            <w:vAlign w:val="bottom"/>
          </w:tcPr>
          <w:p>
            <w:pPr>
              <w:spacing w:after="0"/>
              <w:rPr>
                <w:sz w:val="20"/>
                <w:szCs w:val="20"/>
                <w:color w:val="auto"/>
              </w:rPr>
            </w:pPr>
            <w:r>
              <w:rPr>
                <w:rFonts w:ascii="Arial" w:cs="Arial" w:eastAsia="Arial" w:hAnsi="Arial"/>
                <w:sz w:val="18"/>
                <w:szCs w:val="18"/>
                <w:color w:val="auto"/>
              </w:rPr>
              <w:t>José Antonio Fernández</w:t>
            </w:r>
          </w:p>
        </w:tc>
        <w:tc>
          <w:tcPr>
            <w:tcW w:w="1760" w:type="dxa"/>
            <w:vAlign w:val="bottom"/>
          </w:tcPr>
          <w:p>
            <w:pPr>
              <w:ind w:left="160"/>
              <w:spacing w:after="0"/>
              <w:rPr>
                <w:sz w:val="20"/>
                <w:szCs w:val="20"/>
                <w:color w:val="auto"/>
              </w:rPr>
            </w:pPr>
            <w:r>
              <w:rPr>
                <w:rFonts w:ascii="Arial" w:cs="Arial" w:eastAsia="Arial" w:hAnsi="Arial"/>
                <w:sz w:val="18"/>
                <w:szCs w:val="18"/>
                <w:color w:val="auto"/>
              </w:rPr>
              <w:t>See “—Directors.”</w:t>
            </w: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Carbajal</w:t>
            </w:r>
          </w:p>
        </w:tc>
        <w:tc>
          <w:tcPr>
            <w:tcW w:w="1760" w:type="dxa"/>
            <w:vAlign w:val="bottom"/>
          </w:tcPr>
          <w:p>
            <w:pPr>
              <w:ind w:left="160"/>
              <w:spacing w:after="0"/>
              <w:rPr>
                <w:sz w:val="20"/>
                <w:szCs w:val="20"/>
                <w:color w:val="auto"/>
              </w:rPr>
            </w:pPr>
            <w:r>
              <w:rPr>
                <w:rFonts w:ascii="Arial" w:cs="Arial" w:eastAsia="Arial" w:hAnsi="Arial"/>
                <w:sz w:val="18"/>
                <w:szCs w:val="18"/>
                <w:color w:val="auto"/>
              </w:rPr>
              <w:t>Joined FEMSA:</w:t>
            </w:r>
          </w:p>
        </w:tc>
        <w:tc>
          <w:tcPr>
            <w:tcW w:w="7160" w:type="dxa"/>
            <w:vAlign w:val="bottom"/>
          </w:tcPr>
          <w:p>
            <w:pPr>
              <w:ind w:left="12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760" w:type="dxa"/>
            <w:vAlign w:val="bottom"/>
          </w:tcPr>
          <w:p>
            <w:pPr>
              <w:ind w:left="160"/>
              <w:spacing w:after="0"/>
              <w:rPr>
                <w:sz w:val="20"/>
                <w:szCs w:val="20"/>
                <w:color w:val="auto"/>
              </w:rPr>
            </w:pPr>
            <w:r>
              <w:rPr>
                <w:rFonts w:ascii="Arial" w:cs="Arial" w:eastAsia="Arial" w:hAnsi="Arial"/>
                <w:sz w:val="18"/>
                <w:szCs w:val="18"/>
                <w:color w:val="auto"/>
                <w:w w:val="97"/>
              </w:rPr>
              <w:t>Appointed to current</w:t>
            </w: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position:</w:t>
            </w:r>
          </w:p>
        </w:tc>
        <w:tc>
          <w:tcPr>
            <w:tcW w:w="7160" w:type="dxa"/>
            <w:vAlign w:val="bottom"/>
          </w:tcPr>
          <w:p>
            <w:pPr>
              <w:ind w:left="12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331"/>
        </w:trPr>
        <w:tc>
          <w:tcPr>
            <w:tcW w:w="2480" w:type="dxa"/>
            <w:vAlign w:val="bottom"/>
          </w:tcPr>
          <w:p>
            <w:pPr>
              <w:spacing w:after="0"/>
              <w:rPr>
                <w:sz w:val="20"/>
                <w:szCs w:val="20"/>
                <w:color w:val="auto"/>
              </w:rPr>
            </w:pPr>
            <w:r>
              <w:rPr>
                <w:rFonts w:ascii="Arial" w:cs="Arial" w:eastAsia="Arial" w:hAnsi="Arial"/>
                <w:sz w:val="18"/>
                <w:szCs w:val="18"/>
                <w:color w:val="auto"/>
              </w:rPr>
              <w:t>Javier Astaburuaga</w:t>
            </w:r>
          </w:p>
        </w:tc>
        <w:tc>
          <w:tcPr>
            <w:tcW w:w="1760" w:type="dxa"/>
            <w:vAlign w:val="bottom"/>
          </w:tcPr>
          <w:p>
            <w:pPr>
              <w:ind w:left="160"/>
              <w:spacing w:after="0"/>
              <w:rPr>
                <w:sz w:val="20"/>
                <w:szCs w:val="20"/>
                <w:color w:val="auto"/>
              </w:rPr>
            </w:pPr>
            <w:r>
              <w:rPr>
                <w:rFonts w:ascii="Arial" w:cs="Arial" w:eastAsia="Arial" w:hAnsi="Arial"/>
                <w:sz w:val="18"/>
                <w:szCs w:val="18"/>
                <w:color w:val="auto"/>
              </w:rPr>
              <w:t>Born:</w:t>
            </w:r>
          </w:p>
        </w:tc>
        <w:tc>
          <w:tcPr>
            <w:tcW w:w="7160" w:type="dxa"/>
            <w:vAlign w:val="bottom"/>
          </w:tcPr>
          <w:p>
            <w:pPr>
              <w:ind w:left="120"/>
              <w:spacing w:after="0"/>
              <w:rPr>
                <w:sz w:val="20"/>
                <w:szCs w:val="20"/>
                <w:color w:val="auto"/>
              </w:rPr>
            </w:pPr>
            <w:r>
              <w:rPr>
                <w:rFonts w:ascii="Arial" w:cs="Arial" w:eastAsia="Arial" w:hAnsi="Arial"/>
                <w:sz w:val="18"/>
                <w:szCs w:val="18"/>
                <w:color w:val="auto"/>
              </w:rPr>
              <w:t>July 1959</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Sanjines</w:t>
            </w:r>
          </w:p>
        </w:tc>
        <w:tc>
          <w:tcPr>
            <w:tcW w:w="1760" w:type="dxa"/>
            <w:vAlign w:val="bottom"/>
          </w:tcPr>
          <w:p>
            <w:pPr>
              <w:ind w:left="160"/>
              <w:spacing w:after="0"/>
              <w:rPr>
                <w:sz w:val="20"/>
                <w:szCs w:val="20"/>
                <w:color w:val="auto"/>
              </w:rPr>
            </w:pPr>
            <w:r>
              <w:rPr>
                <w:rFonts w:ascii="Arial" w:cs="Arial" w:eastAsia="Arial" w:hAnsi="Arial"/>
                <w:sz w:val="18"/>
                <w:szCs w:val="18"/>
                <w:color w:val="auto"/>
              </w:rPr>
              <w:t>Joined FEMSA:</w:t>
            </w:r>
          </w:p>
        </w:tc>
        <w:tc>
          <w:tcPr>
            <w:tcW w:w="7160" w:type="dxa"/>
            <w:vAlign w:val="bottom"/>
          </w:tcPr>
          <w:p>
            <w:pPr>
              <w:ind w:left="12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i w:val="1"/>
                <w:iCs w:val="1"/>
                <w:color w:val="auto"/>
              </w:rPr>
              <w:t>Executive Vice-President of</w:t>
            </w:r>
          </w:p>
        </w:tc>
        <w:tc>
          <w:tcPr>
            <w:tcW w:w="1760" w:type="dxa"/>
            <w:vAlign w:val="bottom"/>
          </w:tcPr>
          <w:p>
            <w:pPr>
              <w:ind w:left="160"/>
              <w:spacing w:after="0"/>
              <w:rPr>
                <w:sz w:val="20"/>
                <w:szCs w:val="20"/>
                <w:color w:val="auto"/>
              </w:rPr>
            </w:pPr>
            <w:r>
              <w:rPr>
                <w:rFonts w:ascii="Arial" w:cs="Arial" w:eastAsia="Arial" w:hAnsi="Arial"/>
                <w:sz w:val="18"/>
                <w:szCs w:val="18"/>
                <w:color w:val="auto"/>
                <w:w w:val="97"/>
              </w:rPr>
              <w:t>Appointed to current</w:t>
            </w:r>
          </w:p>
        </w:tc>
        <w:tc>
          <w:tcPr>
            <w:tcW w:w="7160" w:type="dxa"/>
            <w:vAlign w:val="bottom"/>
            <w:vMerge w:val="restart"/>
          </w:tcPr>
          <w:p>
            <w:pPr>
              <w:ind w:left="1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3"/>
        </w:trPr>
        <w:tc>
          <w:tcPr>
            <w:tcW w:w="2480" w:type="dxa"/>
            <w:vAlign w:val="bottom"/>
          </w:tcPr>
          <w:p>
            <w:pPr>
              <w:ind w:left="220"/>
              <w:spacing w:after="0" w:line="202" w:lineRule="exact"/>
              <w:rPr>
                <w:sz w:val="20"/>
                <w:szCs w:val="20"/>
                <w:color w:val="auto"/>
              </w:rPr>
            </w:pPr>
            <w:r>
              <w:rPr>
                <w:rFonts w:ascii="Arial" w:cs="Arial" w:eastAsia="Arial" w:hAnsi="Arial"/>
                <w:sz w:val="18"/>
                <w:szCs w:val="18"/>
                <w:i w:val="1"/>
                <w:iCs w:val="1"/>
                <w:color w:val="auto"/>
              </w:rPr>
              <w:t>Finance and Strategic</w:t>
            </w:r>
          </w:p>
        </w:tc>
        <w:tc>
          <w:tcPr>
            <w:tcW w:w="1760" w:type="dxa"/>
            <w:vAlign w:val="bottom"/>
          </w:tcPr>
          <w:p>
            <w:pPr>
              <w:ind w:left="160"/>
              <w:spacing w:after="0" w:line="202" w:lineRule="exact"/>
              <w:rPr>
                <w:sz w:val="20"/>
                <w:szCs w:val="20"/>
                <w:color w:val="auto"/>
              </w:rPr>
            </w:pPr>
            <w:r>
              <w:rPr>
                <w:rFonts w:ascii="Arial" w:cs="Arial" w:eastAsia="Arial" w:hAnsi="Arial"/>
                <w:sz w:val="18"/>
                <w:szCs w:val="18"/>
                <w:color w:val="auto"/>
              </w:rPr>
              <w:t>position:</w:t>
            </w:r>
          </w:p>
        </w:tc>
        <w:tc>
          <w:tcPr>
            <w:tcW w:w="7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220"/>
              <w:spacing w:after="0"/>
              <w:rPr>
                <w:sz w:val="20"/>
                <w:szCs w:val="20"/>
                <w:color w:val="auto"/>
              </w:rPr>
            </w:pPr>
            <w:r>
              <w:rPr>
                <w:rFonts w:ascii="Arial" w:cs="Arial" w:eastAsia="Arial" w:hAnsi="Arial"/>
                <w:sz w:val="18"/>
                <w:szCs w:val="18"/>
                <w:i w:val="1"/>
                <w:iCs w:val="1"/>
                <w:color w:val="auto"/>
              </w:rPr>
              <w:t>Development</w:t>
            </w:r>
          </w:p>
        </w:tc>
        <w:tc>
          <w:tcPr>
            <w:tcW w:w="1760" w:type="dxa"/>
            <w:vAlign w:val="bottom"/>
          </w:tcPr>
          <w:p>
            <w:pPr>
              <w:ind w:left="160"/>
              <w:spacing w:after="0"/>
              <w:rPr>
                <w:sz w:val="20"/>
                <w:szCs w:val="20"/>
                <w:color w:val="auto"/>
              </w:rPr>
            </w:pPr>
            <w:r>
              <w:rPr>
                <w:rFonts w:ascii="Arial" w:cs="Arial" w:eastAsia="Arial" w:hAnsi="Arial"/>
                <w:sz w:val="18"/>
                <w:szCs w:val="18"/>
                <w:color w:val="auto"/>
                <w:w w:val="95"/>
              </w:rPr>
              <w:t>Business experience</w:t>
            </w:r>
          </w:p>
        </w:tc>
        <w:tc>
          <w:tcPr>
            <w:tcW w:w="7160" w:type="dxa"/>
            <w:vAlign w:val="bottom"/>
          </w:tcPr>
          <w:p>
            <w:pPr>
              <w:ind w:left="120"/>
              <w:spacing w:after="0"/>
              <w:rPr>
                <w:sz w:val="20"/>
                <w:szCs w:val="20"/>
                <w:color w:val="auto"/>
              </w:rPr>
            </w:pPr>
            <w:r>
              <w:rPr>
                <w:rFonts w:ascii="Arial" w:cs="Arial" w:eastAsia="Arial" w:hAnsi="Arial"/>
                <w:sz w:val="18"/>
                <w:szCs w:val="18"/>
                <w:color w:val="auto"/>
                <w:w w:val="96"/>
              </w:rPr>
              <w:t>Joined FEMSA as a financial information analyst and later acquired experience in corporate</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within FEMSA:</w:t>
            </w:r>
          </w:p>
        </w:tc>
        <w:tc>
          <w:tcPr>
            <w:tcW w:w="7160" w:type="dxa"/>
            <w:vAlign w:val="bottom"/>
          </w:tcPr>
          <w:p>
            <w:pPr>
              <w:ind w:left="120"/>
              <w:spacing w:after="0"/>
              <w:rPr>
                <w:sz w:val="20"/>
                <w:szCs w:val="20"/>
                <w:color w:val="auto"/>
              </w:rPr>
            </w:pPr>
            <w:r>
              <w:rPr>
                <w:rFonts w:ascii="Arial" w:cs="Arial" w:eastAsia="Arial" w:hAnsi="Arial"/>
                <w:sz w:val="18"/>
                <w:szCs w:val="18"/>
                <w:color w:val="auto"/>
                <w:w w:val="88"/>
              </w:rPr>
              <w:t>development, administration and finance, held various senior positions at FEMSA Cerveza between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w w:val="89"/>
              </w:rPr>
              <w:t>1993 and 2001, including Chief Financial Officer and for two years was FEMSA Cerveza’s Director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w w:val="92"/>
              </w:rPr>
              <w:t>of Sales for the north region of Mexico until 2003 in which he was appointed FEMSA Cerveza’s</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Co-Chief Executive Officer-Operations.</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7160" w:type="dxa"/>
            <w:vAlign w:val="bottom"/>
          </w:tcPr>
          <w:p>
            <w:pPr>
              <w:ind w:left="120"/>
              <w:spacing w:after="0"/>
              <w:rPr>
                <w:sz w:val="20"/>
                <w:szCs w:val="20"/>
                <w:color w:val="auto"/>
              </w:rPr>
            </w:pPr>
            <w:r>
              <w:rPr>
                <w:rFonts w:ascii="Arial" w:cs="Arial" w:eastAsia="Arial" w:hAnsi="Arial"/>
                <w:sz w:val="18"/>
                <w:szCs w:val="18"/>
                <w:color w:val="auto"/>
              </w:rPr>
              <w:t>Holds a CPA degree from ITESM.</w:t>
            </w:r>
          </w:p>
        </w:tc>
        <w:tc>
          <w:tcPr>
            <w:tcW w:w="0" w:type="dxa"/>
            <w:vAlign w:val="bottom"/>
          </w:tcPr>
          <w:p>
            <w:pPr>
              <w:spacing w:after="0"/>
              <w:rPr>
                <w:sz w:val="1"/>
                <w:szCs w:val="1"/>
                <w:color w:val="auto"/>
              </w:rPr>
            </w:pPr>
          </w:p>
        </w:tc>
      </w:tr>
      <w:tr>
        <w:trPr>
          <w:trHeight w:val="318"/>
        </w:trPr>
        <w:tc>
          <w:tcPr>
            <w:tcW w:w="2480" w:type="dxa"/>
            <w:vAlign w:val="bottom"/>
          </w:tcPr>
          <w:p>
            <w:pPr>
              <w:spacing w:after="0"/>
              <w:rPr>
                <w:sz w:val="20"/>
                <w:szCs w:val="20"/>
                <w:color w:val="auto"/>
              </w:rPr>
            </w:pPr>
            <w:r>
              <w:rPr>
                <w:rFonts w:ascii="Arial" w:cs="Arial" w:eastAsia="Arial" w:hAnsi="Arial"/>
                <w:sz w:val="18"/>
                <w:szCs w:val="18"/>
                <w:color w:val="auto"/>
              </w:rPr>
              <w:t>Federico Reyes García</w:t>
            </w:r>
          </w:p>
        </w:tc>
        <w:tc>
          <w:tcPr>
            <w:tcW w:w="1760" w:type="dxa"/>
            <w:vAlign w:val="bottom"/>
          </w:tcPr>
          <w:p>
            <w:pPr>
              <w:ind w:left="160"/>
              <w:spacing w:after="0"/>
              <w:rPr>
                <w:sz w:val="20"/>
                <w:szCs w:val="20"/>
                <w:color w:val="auto"/>
              </w:rPr>
            </w:pPr>
            <w:r>
              <w:rPr>
                <w:rFonts w:ascii="Arial" w:cs="Arial" w:eastAsia="Arial" w:hAnsi="Arial"/>
                <w:sz w:val="18"/>
                <w:szCs w:val="18"/>
                <w:color w:val="auto"/>
              </w:rPr>
              <w:t>Born:</w:t>
            </w:r>
          </w:p>
        </w:tc>
        <w:tc>
          <w:tcPr>
            <w:tcW w:w="7160" w:type="dxa"/>
            <w:vAlign w:val="bottom"/>
          </w:tcPr>
          <w:p>
            <w:pPr>
              <w:ind w:left="120"/>
              <w:spacing w:after="0"/>
              <w:rPr>
                <w:sz w:val="20"/>
                <w:szCs w:val="20"/>
                <w:color w:val="auto"/>
              </w:rPr>
            </w:pPr>
            <w:r>
              <w:rPr>
                <w:rFonts w:ascii="Arial" w:cs="Arial" w:eastAsia="Arial" w:hAnsi="Arial"/>
                <w:sz w:val="18"/>
                <w:szCs w:val="18"/>
                <w:color w:val="auto"/>
              </w:rPr>
              <w:t>September 1945</w:t>
            </w:r>
          </w:p>
        </w:tc>
        <w:tc>
          <w:tcPr>
            <w:tcW w:w="0" w:type="dxa"/>
            <w:vAlign w:val="bottom"/>
          </w:tcPr>
          <w:p>
            <w:pPr>
              <w:spacing w:after="0"/>
              <w:rPr>
                <w:sz w:val="1"/>
                <w:szCs w:val="1"/>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i w:val="1"/>
                <w:iCs w:val="1"/>
                <w:color w:val="auto"/>
              </w:rPr>
              <w:t>Executive Vice-President of</w:t>
            </w:r>
          </w:p>
        </w:tc>
        <w:tc>
          <w:tcPr>
            <w:tcW w:w="1760" w:type="dxa"/>
            <w:vAlign w:val="bottom"/>
          </w:tcPr>
          <w:p>
            <w:pPr>
              <w:ind w:left="160"/>
              <w:spacing w:after="0"/>
              <w:rPr>
                <w:sz w:val="20"/>
                <w:szCs w:val="20"/>
                <w:color w:val="auto"/>
              </w:rPr>
            </w:pPr>
            <w:r>
              <w:rPr>
                <w:rFonts w:ascii="Arial" w:cs="Arial" w:eastAsia="Arial" w:hAnsi="Arial"/>
                <w:sz w:val="18"/>
                <w:szCs w:val="18"/>
                <w:color w:val="auto"/>
              </w:rPr>
              <w:t>Joined FEMSA:</w:t>
            </w:r>
          </w:p>
        </w:tc>
        <w:tc>
          <w:tcPr>
            <w:tcW w:w="7160" w:type="dxa"/>
            <w:vAlign w:val="bottom"/>
          </w:tcPr>
          <w:p>
            <w:pPr>
              <w:ind w:left="12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480" w:type="dxa"/>
            <w:vAlign w:val="bottom"/>
          </w:tcPr>
          <w:p>
            <w:pPr>
              <w:ind w:left="220"/>
              <w:spacing w:after="0"/>
              <w:rPr>
                <w:sz w:val="20"/>
                <w:szCs w:val="20"/>
                <w:color w:val="auto"/>
              </w:rPr>
            </w:pPr>
            <w:r>
              <w:rPr>
                <w:rFonts w:ascii="Arial" w:cs="Arial" w:eastAsia="Arial" w:hAnsi="Arial"/>
                <w:sz w:val="18"/>
                <w:szCs w:val="18"/>
                <w:i w:val="1"/>
                <w:iCs w:val="1"/>
                <w:color w:val="auto"/>
              </w:rPr>
              <w:t>Corporate Development</w:t>
            </w:r>
          </w:p>
        </w:tc>
        <w:tc>
          <w:tcPr>
            <w:tcW w:w="1760" w:type="dxa"/>
            <w:vAlign w:val="bottom"/>
          </w:tcPr>
          <w:p>
            <w:pPr>
              <w:ind w:left="160"/>
              <w:spacing w:after="0"/>
              <w:rPr>
                <w:sz w:val="20"/>
                <w:szCs w:val="20"/>
                <w:color w:val="auto"/>
              </w:rPr>
            </w:pPr>
            <w:r>
              <w:rPr>
                <w:rFonts w:ascii="Arial" w:cs="Arial" w:eastAsia="Arial" w:hAnsi="Arial"/>
                <w:sz w:val="18"/>
                <w:szCs w:val="18"/>
                <w:color w:val="auto"/>
                <w:w w:val="97"/>
              </w:rPr>
              <w:t>Appointed to current</w:t>
            </w:r>
          </w:p>
        </w:tc>
        <w:tc>
          <w:tcPr>
            <w:tcW w:w="7160" w:type="dxa"/>
            <w:vAlign w:val="bottom"/>
            <w:vMerge w:val="restart"/>
          </w:tcPr>
          <w:p>
            <w:pPr>
              <w:ind w:left="1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position:</w:t>
            </w:r>
          </w:p>
        </w:tc>
        <w:tc>
          <w:tcPr>
            <w:tcW w:w="7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w w:val="95"/>
              </w:rPr>
              <w:t>Business experience</w:t>
            </w: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within FEMSA:</w:t>
            </w:r>
          </w:p>
        </w:tc>
        <w:tc>
          <w:tcPr>
            <w:tcW w:w="7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w w:val="97"/>
              </w:rPr>
              <w:t>Director of Corporate Development, 1992 and Chief Financial Officer from 1999 until 2006.</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Other business</w:t>
            </w:r>
          </w:p>
        </w:tc>
        <w:tc>
          <w:tcPr>
            <w:tcW w:w="7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experience:</w:t>
            </w:r>
          </w:p>
        </w:tc>
        <w:tc>
          <w:tcPr>
            <w:tcW w:w="7160" w:type="dxa"/>
            <w:vAlign w:val="bottom"/>
            <w:vMerge w:val="restart"/>
          </w:tcPr>
          <w:p>
            <w:pPr>
              <w:ind w:left="120"/>
              <w:spacing w:after="0"/>
              <w:rPr>
                <w:sz w:val="20"/>
                <w:szCs w:val="20"/>
                <w:color w:val="auto"/>
              </w:rPr>
            </w:pPr>
            <w:r>
              <w:rPr>
                <w:rFonts w:ascii="Arial" w:cs="Arial" w:eastAsia="Arial" w:hAnsi="Arial"/>
                <w:sz w:val="18"/>
                <w:szCs w:val="18"/>
                <w:color w:val="auto"/>
                <w:w w:val="89"/>
              </w:rPr>
              <w:t>Served as Director of Corporate Staff at Grupo AXA and has extensive experience in the insurance</w:t>
            </w: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w w:val="91"/>
              </w:rPr>
              <w:t>sector, working eight years in Valores de Monterrey, S.A. de C.V., six of them as Chief Executive</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7160" w:type="dxa"/>
            <w:vAlign w:val="bottom"/>
          </w:tcPr>
          <w:p>
            <w:pPr>
              <w:ind w:left="120"/>
              <w:spacing w:after="0"/>
              <w:rPr>
                <w:sz w:val="20"/>
                <w:szCs w:val="20"/>
                <w:color w:val="auto"/>
              </w:rPr>
            </w:pPr>
            <w:r>
              <w:rPr>
                <w:rFonts w:ascii="Arial" w:cs="Arial" w:eastAsia="Arial" w:hAnsi="Arial"/>
                <w:sz w:val="18"/>
                <w:szCs w:val="18"/>
                <w:color w:val="auto"/>
              </w:rPr>
              <w:t>Holds a degree in business and finance from ITESM</w:t>
            </w:r>
          </w:p>
        </w:tc>
        <w:tc>
          <w:tcPr>
            <w:tcW w:w="0" w:type="dxa"/>
            <w:vAlign w:val="bottom"/>
          </w:tcPr>
          <w:p>
            <w:pPr>
              <w:spacing w:after="0"/>
              <w:rPr>
                <w:sz w:val="1"/>
                <w:szCs w:val="1"/>
                <w:color w:val="auto"/>
              </w:rPr>
            </w:pPr>
          </w:p>
        </w:tc>
      </w:tr>
      <w:tr>
        <w:trPr>
          <w:trHeight w:val="318"/>
        </w:trPr>
        <w:tc>
          <w:tcPr>
            <w:tcW w:w="2480" w:type="dxa"/>
            <w:vAlign w:val="bottom"/>
          </w:tcPr>
          <w:p>
            <w:pPr>
              <w:spacing w:after="0"/>
              <w:rPr>
                <w:sz w:val="20"/>
                <w:szCs w:val="20"/>
                <w:color w:val="auto"/>
              </w:rPr>
            </w:pPr>
            <w:r>
              <w:rPr>
                <w:rFonts w:ascii="Arial" w:cs="Arial" w:eastAsia="Arial" w:hAnsi="Arial"/>
                <w:sz w:val="18"/>
                <w:szCs w:val="18"/>
                <w:color w:val="auto"/>
              </w:rPr>
              <w:t>José González Ornelas</w:t>
            </w:r>
          </w:p>
        </w:tc>
        <w:tc>
          <w:tcPr>
            <w:tcW w:w="1760" w:type="dxa"/>
            <w:vAlign w:val="bottom"/>
          </w:tcPr>
          <w:p>
            <w:pPr>
              <w:ind w:left="160"/>
              <w:spacing w:after="0"/>
              <w:rPr>
                <w:sz w:val="20"/>
                <w:szCs w:val="20"/>
                <w:color w:val="auto"/>
              </w:rPr>
            </w:pPr>
            <w:r>
              <w:rPr>
                <w:rFonts w:ascii="Arial" w:cs="Arial" w:eastAsia="Arial" w:hAnsi="Arial"/>
                <w:sz w:val="18"/>
                <w:szCs w:val="18"/>
                <w:color w:val="auto"/>
              </w:rPr>
              <w:t>Born:</w:t>
            </w:r>
          </w:p>
        </w:tc>
        <w:tc>
          <w:tcPr>
            <w:tcW w:w="7160" w:type="dxa"/>
            <w:vAlign w:val="bottom"/>
          </w:tcPr>
          <w:p>
            <w:pPr>
              <w:ind w:left="120"/>
              <w:spacing w:after="0"/>
              <w:rPr>
                <w:sz w:val="20"/>
                <w:szCs w:val="20"/>
                <w:color w:val="auto"/>
              </w:rPr>
            </w:pPr>
            <w:r>
              <w:rPr>
                <w:rFonts w:ascii="Arial" w:cs="Arial" w:eastAsia="Arial" w:hAnsi="Arial"/>
                <w:sz w:val="18"/>
                <w:szCs w:val="18"/>
                <w:color w:val="auto"/>
              </w:rPr>
              <w:t>April 1951</w:t>
            </w:r>
          </w:p>
        </w:tc>
        <w:tc>
          <w:tcPr>
            <w:tcW w:w="0" w:type="dxa"/>
            <w:vAlign w:val="bottom"/>
          </w:tcPr>
          <w:p>
            <w:pPr>
              <w:spacing w:after="0"/>
              <w:rPr>
                <w:sz w:val="1"/>
                <w:szCs w:val="1"/>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i w:val="1"/>
                <w:iCs w:val="1"/>
                <w:color w:val="auto"/>
              </w:rPr>
              <w:t>Executive Vice President of</w:t>
            </w:r>
          </w:p>
        </w:tc>
        <w:tc>
          <w:tcPr>
            <w:tcW w:w="1760" w:type="dxa"/>
            <w:vAlign w:val="bottom"/>
          </w:tcPr>
          <w:p>
            <w:pPr>
              <w:ind w:left="160"/>
              <w:spacing w:after="0"/>
              <w:rPr>
                <w:sz w:val="20"/>
                <w:szCs w:val="20"/>
                <w:color w:val="auto"/>
              </w:rPr>
            </w:pPr>
            <w:r>
              <w:rPr>
                <w:rFonts w:ascii="Arial" w:cs="Arial" w:eastAsia="Arial" w:hAnsi="Arial"/>
                <w:sz w:val="18"/>
                <w:szCs w:val="18"/>
                <w:color w:val="auto"/>
              </w:rPr>
              <w:t>Joined FEMSA:</w:t>
            </w:r>
          </w:p>
        </w:tc>
        <w:tc>
          <w:tcPr>
            <w:tcW w:w="7160" w:type="dxa"/>
            <w:vAlign w:val="bottom"/>
          </w:tcPr>
          <w:p>
            <w:pPr>
              <w:ind w:left="12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2480" w:type="dxa"/>
            <w:vAlign w:val="bottom"/>
          </w:tcPr>
          <w:p>
            <w:pPr>
              <w:ind w:left="220"/>
              <w:spacing w:after="0"/>
              <w:rPr>
                <w:sz w:val="20"/>
                <w:szCs w:val="20"/>
                <w:color w:val="auto"/>
              </w:rPr>
            </w:pPr>
            <w:r>
              <w:rPr>
                <w:rFonts w:ascii="Arial" w:cs="Arial" w:eastAsia="Arial" w:hAnsi="Arial"/>
                <w:sz w:val="18"/>
                <w:szCs w:val="18"/>
                <w:i w:val="1"/>
                <w:iCs w:val="1"/>
                <w:color w:val="auto"/>
                <w:w w:val="96"/>
              </w:rPr>
              <w:t>Administration and Operative</w:t>
            </w:r>
          </w:p>
        </w:tc>
        <w:tc>
          <w:tcPr>
            <w:tcW w:w="1760" w:type="dxa"/>
            <w:vAlign w:val="bottom"/>
          </w:tcPr>
          <w:p>
            <w:pPr>
              <w:ind w:left="160"/>
              <w:spacing w:after="0"/>
              <w:rPr>
                <w:sz w:val="20"/>
                <w:szCs w:val="20"/>
                <w:color w:val="auto"/>
              </w:rPr>
            </w:pPr>
            <w:r>
              <w:rPr>
                <w:rFonts w:ascii="Arial" w:cs="Arial" w:eastAsia="Arial" w:hAnsi="Arial"/>
                <w:sz w:val="18"/>
                <w:szCs w:val="18"/>
                <w:color w:val="auto"/>
                <w:w w:val="97"/>
              </w:rPr>
              <w:t>Appointed to current</w:t>
            </w:r>
          </w:p>
        </w:tc>
        <w:tc>
          <w:tcPr>
            <w:tcW w:w="7160" w:type="dxa"/>
            <w:vAlign w:val="bottom"/>
            <w:vMerge w:val="restart"/>
          </w:tcPr>
          <w:p>
            <w:pPr>
              <w:ind w:left="12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480" w:type="dxa"/>
            <w:vAlign w:val="bottom"/>
          </w:tcPr>
          <w:p>
            <w:pPr>
              <w:ind w:left="220"/>
              <w:spacing w:after="0"/>
              <w:rPr>
                <w:sz w:val="20"/>
                <w:szCs w:val="20"/>
                <w:color w:val="auto"/>
              </w:rPr>
            </w:pPr>
            <w:r>
              <w:rPr>
                <w:rFonts w:ascii="Arial" w:cs="Arial" w:eastAsia="Arial" w:hAnsi="Arial"/>
                <w:sz w:val="18"/>
                <w:szCs w:val="18"/>
                <w:i w:val="1"/>
                <w:iCs w:val="1"/>
                <w:color w:val="auto"/>
              </w:rPr>
              <w:t>Control</w:t>
            </w:r>
          </w:p>
        </w:tc>
        <w:tc>
          <w:tcPr>
            <w:tcW w:w="1760" w:type="dxa"/>
            <w:vAlign w:val="bottom"/>
          </w:tcPr>
          <w:p>
            <w:pPr>
              <w:ind w:left="160"/>
              <w:spacing w:after="0"/>
              <w:rPr>
                <w:sz w:val="20"/>
                <w:szCs w:val="20"/>
                <w:color w:val="auto"/>
              </w:rPr>
            </w:pPr>
            <w:r>
              <w:rPr>
                <w:rFonts w:ascii="Arial" w:cs="Arial" w:eastAsia="Arial" w:hAnsi="Arial"/>
                <w:sz w:val="18"/>
                <w:szCs w:val="18"/>
                <w:color w:val="auto"/>
              </w:rPr>
              <w:t>position:</w:t>
            </w:r>
          </w:p>
        </w:tc>
        <w:tc>
          <w:tcPr>
            <w:tcW w:w="7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w w:val="95"/>
              </w:rPr>
              <w:t>Business experience</w:t>
            </w: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within FEMSA:</w:t>
            </w:r>
          </w:p>
        </w:tc>
        <w:tc>
          <w:tcPr>
            <w:tcW w:w="7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w w:val="95"/>
              </w:rPr>
              <w:t>Has held several managerial positions in FEMSA including Chief Financial Officer of FEMSA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w w:val="90"/>
              </w:rPr>
              <w:t>Cerveza, Director of Planning and Corporate Development of FEMSA and Chief Executive Officer</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of FEMSA Logística, S.A. de C.V.</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rPr>
              <w:t>Education:</w:t>
            </w:r>
          </w:p>
        </w:tc>
        <w:tc>
          <w:tcPr>
            <w:tcW w:w="7160" w:type="dxa"/>
            <w:vAlign w:val="bottom"/>
          </w:tcPr>
          <w:p>
            <w:pPr>
              <w:ind w:left="120"/>
              <w:spacing w:after="0"/>
              <w:rPr>
                <w:sz w:val="20"/>
                <w:szCs w:val="20"/>
                <w:color w:val="auto"/>
              </w:rPr>
            </w:pPr>
            <w:r>
              <w:rPr>
                <w:rFonts w:ascii="Arial" w:cs="Arial" w:eastAsia="Arial" w:hAnsi="Arial"/>
                <w:sz w:val="18"/>
                <w:szCs w:val="18"/>
                <w:color w:val="auto"/>
                <w:w w:val="89"/>
              </w:rPr>
              <w:t>Holds a CPA degree from UANL and has post-graduate studies in business administration from the</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Instituto Panamericano de Alta Dirección de Empresa (IPADE)</w:t>
            </w: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400"/>
          </w:cols>
          <w:pgMar w:left="240" w:top="459"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2380" w:type="dxa"/>
            <w:vAlign w:val="bottom"/>
          </w:tcPr>
          <w:p>
            <w:pPr>
              <w:jc w:val="right"/>
              <w:ind w:right="792"/>
              <w:spacing w:after="0"/>
              <w:rPr>
                <w:sz w:val="20"/>
                <w:szCs w:val="20"/>
                <w:color w:val="auto"/>
              </w:rPr>
            </w:pPr>
            <w:r>
              <w:rPr>
                <w:rFonts w:ascii="Arial" w:cs="Arial" w:eastAsia="Arial" w:hAnsi="Arial"/>
                <w:sz w:val="18"/>
                <w:szCs w:val="18"/>
                <w:color w:val="auto"/>
                <w:w w:val="88"/>
              </w:rPr>
              <w:t>Alfonso Garza Garza</w:t>
            </w:r>
          </w:p>
        </w:tc>
        <w:tc>
          <w:tcPr>
            <w:tcW w:w="1720" w:type="dxa"/>
            <w:vAlign w:val="bottom"/>
          </w:tcPr>
          <w:p>
            <w:pPr>
              <w:ind w:left="260"/>
              <w:spacing w:after="0"/>
              <w:rPr>
                <w:sz w:val="20"/>
                <w:szCs w:val="20"/>
                <w:color w:val="auto"/>
              </w:rPr>
            </w:pPr>
            <w:r>
              <w:rPr>
                <w:rFonts w:ascii="Arial" w:cs="Arial" w:eastAsia="Arial" w:hAnsi="Arial"/>
                <w:sz w:val="18"/>
                <w:szCs w:val="18"/>
                <w:color w:val="auto"/>
              </w:rPr>
              <w:t>Born:</w:t>
            </w:r>
          </w:p>
        </w:tc>
      </w:tr>
      <w:tr>
        <w:trPr>
          <w:trHeight w:val="216"/>
        </w:trPr>
        <w:tc>
          <w:tcPr>
            <w:tcW w:w="2380" w:type="dxa"/>
            <w:vAlign w:val="bottom"/>
          </w:tcPr>
          <w:p>
            <w:pPr>
              <w:jc w:val="right"/>
              <w:ind w:right="192"/>
              <w:spacing w:after="0"/>
              <w:rPr>
                <w:sz w:val="20"/>
                <w:szCs w:val="20"/>
                <w:color w:val="auto"/>
              </w:rPr>
            </w:pPr>
            <w:r>
              <w:rPr>
                <w:rFonts w:ascii="Arial" w:cs="Arial" w:eastAsia="Arial" w:hAnsi="Arial"/>
                <w:sz w:val="18"/>
                <w:szCs w:val="18"/>
                <w:i w:val="1"/>
                <w:iCs w:val="1"/>
                <w:color w:val="auto"/>
                <w:w w:val="94"/>
              </w:rPr>
              <w:t>Executive Vice President of</w:t>
            </w:r>
          </w:p>
        </w:tc>
        <w:tc>
          <w:tcPr>
            <w:tcW w:w="1720" w:type="dxa"/>
            <w:vAlign w:val="bottom"/>
          </w:tcPr>
          <w:p>
            <w:pPr>
              <w:ind w:left="260"/>
              <w:spacing w:after="0"/>
              <w:rPr>
                <w:sz w:val="20"/>
                <w:szCs w:val="20"/>
                <w:color w:val="auto"/>
              </w:rPr>
            </w:pPr>
            <w:r>
              <w:rPr>
                <w:rFonts w:ascii="Arial" w:cs="Arial" w:eastAsia="Arial" w:hAnsi="Arial"/>
                <w:sz w:val="18"/>
                <w:szCs w:val="18"/>
                <w:color w:val="auto"/>
              </w:rPr>
              <w:t>Joined FEMSA:</w:t>
            </w:r>
          </w:p>
        </w:tc>
      </w:tr>
      <w:tr>
        <w:trPr>
          <w:trHeight w:val="216"/>
        </w:trPr>
        <w:tc>
          <w:tcPr>
            <w:tcW w:w="2380" w:type="dxa"/>
            <w:vAlign w:val="bottom"/>
          </w:tcPr>
          <w:p>
            <w:pPr>
              <w:jc w:val="right"/>
              <w:ind w:right="792"/>
              <w:spacing w:after="0"/>
              <w:rPr>
                <w:sz w:val="20"/>
                <w:szCs w:val="20"/>
                <w:color w:val="auto"/>
              </w:rPr>
            </w:pPr>
            <w:r>
              <w:rPr>
                <w:rFonts w:ascii="Arial" w:cs="Arial" w:eastAsia="Arial" w:hAnsi="Arial"/>
                <w:sz w:val="18"/>
                <w:szCs w:val="18"/>
                <w:i w:val="1"/>
                <w:iCs w:val="1"/>
                <w:color w:val="auto"/>
                <w:w w:val="99"/>
              </w:rPr>
              <w:t>Human Resources</w:t>
            </w:r>
          </w:p>
        </w:tc>
        <w:tc>
          <w:tcPr>
            <w:tcW w:w="1720" w:type="dxa"/>
            <w:vAlign w:val="bottom"/>
          </w:tcPr>
          <w:p>
            <w:pPr>
              <w:ind w:left="260"/>
              <w:spacing w:after="0"/>
              <w:rPr>
                <w:sz w:val="20"/>
                <w:szCs w:val="20"/>
                <w:color w:val="auto"/>
              </w:rPr>
            </w:pPr>
            <w:r>
              <w:rPr>
                <w:rFonts w:ascii="Arial" w:cs="Arial" w:eastAsia="Arial" w:hAnsi="Arial"/>
                <w:sz w:val="18"/>
                <w:szCs w:val="18"/>
                <w:color w:val="auto"/>
                <w:w w:val="88"/>
              </w:rPr>
              <w:t>Appointed to current</w:t>
            </w:r>
          </w:p>
        </w:tc>
      </w:tr>
      <w:tr>
        <w:trPr>
          <w:trHeight w:val="216"/>
        </w:trPr>
        <w:tc>
          <w:tcPr>
            <w:tcW w:w="2380" w:type="dxa"/>
            <w:vAlign w:val="bottom"/>
          </w:tcPr>
          <w:p>
            <w:pPr>
              <w:spacing w:after="0"/>
              <w:rPr>
                <w:sz w:val="18"/>
                <w:szCs w:val="18"/>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position:</w:t>
            </w:r>
          </w:p>
        </w:tc>
      </w:tr>
      <w:tr>
        <w:trPr>
          <w:trHeight w:val="222"/>
        </w:trPr>
        <w:tc>
          <w:tcPr>
            <w:tcW w:w="2380" w:type="dxa"/>
            <w:vAlign w:val="bottom"/>
          </w:tcPr>
          <w:p>
            <w:pPr>
              <w:spacing w:after="0"/>
              <w:rPr>
                <w:sz w:val="19"/>
                <w:szCs w:val="19"/>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Directorships:</w:t>
            </w:r>
          </w:p>
        </w:tc>
      </w:tr>
      <w:tr>
        <w:trPr>
          <w:trHeight w:val="817"/>
        </w:trPr>
        <w:tc>
          <w:tcPr>
            <w:tcW w:w="238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Business</w:t>
            </w:r>
          </w:p>
        </w:tc>
      </w:tr>
      <w:tr>
        <w:trPr>
          <w:trHeight w:val="216"/>
        </w:trPr>
        <w:tc>
          <w:tcPr>
            <w:tcW w:w="2380" w:type="dxa"/>
            <w:vAlign w:val="bottom"/>
          </w:tcPr>
          <w:p>
            <w:pPr>
              <w:spacing w:after="0"/>
              <w:rPr>
                <w:sz w:val="18"/>
                <w:szCs w:val="18"/>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experience</w:t>
            </w:r>
          </w:p>
        </w:tc>
      </w:tr>
      <w:tr>
        <w:trPr>
          <w:trHeight w:val="222"/>
        </w:trPr>
        <w:tc>
          <w:tcPr>
            <w:tcW w:w="2380" w:type="dxa"/>
            <w:vAlign w:val="bottom"/>
          </w:tcPr>
          <w:p>
            <w:pPr>
              <w:spacing w:after="0"/>
              <w:rPr>
                <w:sz w:val="19"/>
                <w:szCs w:val="19"/>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within FEMSA:</w:t>
            </w:r>
          </w:p>
        </w:tc>
      </w:tr>
      <w:tr>
        <w:trPr>
          <w:trHeight w:val="851"/>
        </w:trPr>
        <w:tc>
          <w:tcPr>
            <w:tcW w:w="238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Education:</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July 1962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1985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Member of the board of Coca-Cola FEMSA and Hospital San José Tec de Monterrey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40"/>
        <w:spacing w:after="0" w:line="254" w:lineRule="auto"/>
        <w:rPr>
          <w:sz w:val="20"/>
          <w:szCs w:val="20"/>
          <w:color w:val="auto"/>
        </w:rPr>
      </w:pPr>
      <w:r>
        <w:rPr>
          <w:rFonts w:ascii="Arial" w:cs="Arial" w:eastAsia="Arial" w:hAnsi="Arial"/>
          <w:sz w:val="18"/>
          <w:szCs w:val="18"/>
          <w:color w:val="auto"/>
        </w:rPr>
        <w:t>Has experience in several FEMSA business units and departments, including domestic sales, international sales, procurement and marketing, mainly at Cervecería Cuauhtémoc Moctezuma, S.A. de C.V and as Chief Executive Officer of FEMSA Empaques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Holds a degree in Industrial Engineering from ITESM and an MBA from IPADE</w:t>
      </w:r>
    </w:p>
    <w:p>
      <w:pPr>
        <w:spacing w:after="0" w:line="180" w:lineRule="exact"/>
        <w:rPr>
          <w:sz w:val="20"/>
          <w:szCs w:val="20"/>
          <w:color w:val="auto"/>
        </w:rPr>
      </w:pPr>
    </w:p>
    <w:p>
      <w:pPr>
        <w:sectPr>
          <w:pgSz w:w="11900" w:h="16838" w:orient="portrait"/>
          <w:cols w:equalWidth="0" w:num="2">
            <w:col w:w="4100" w:space="260"/>
            <w:col w:w="70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459" w:right="25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Genaro Borrego Estrada</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ind w:left="180"/>
        <w:spacing w:after="0"/>
        <w:tabs>
          <w:tab w:leader="none" w:pos="2620" w:val="left"/>
        </w:tabs>
        <w:rPr>
          <w:sz w:val="20"/>
          <w:szCs w:val="20"/>
          <w:color w:val="auto"/>
        </w:rPr>
      </w:pPr>
      <w:r>
        <w:rPr>
          <w:rFonts w:ascii="Arial" w:cs="Arial" w:eastAsia="Arial" w:hAnsi="Arial"/>
          <w:sz w:val="18"/>
          <w:szCs w:val="18"/>
          <w:i w:val="1"/>
          <w:iCs w:val="1"/>
          <w:color w:val="auto"/>
        </w:rPr>
        <w:t>Director of Corporate Affairs</w:t>
      </w:r>
      <w:r>
        <w:rPr>
          <w:sz w:val="20"/>
          <w:szCs w:val="20"/>
          <w:color w:val="auto"/>
        </w:rPr>
        <w:tab/>
      </w:r>
      <w:r>
        <w:rPr>
          <w:rFonts w:ascii="Arial" w:cs="Arial" w:eastAsia="Arial" w:hAnsi="Arial"/>
          <w:sz w:val="16"/>
          <w:szCs w:val="16"/>
          <w:color w:val="auto"/>
        </w:rPr>
        <w:t>Joined FEMSA:</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Appointed to current</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position:</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Professional Experience: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Education:</w:t>
      </w:r>
    </w:p>
    <w:p>
      <w:pPr>
        <w:spacing w:after="0" w:line="117"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Carlos Aldrete Ancira</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ind w:left="180"/>
        <w:spacing w:after="0"/>
        <w:tabs>
          <w:tab w:leader="none" w:pos="2620" w:val="left"/>
        </w:tabs>
        <w:rPr>
          <w:sz w:val="20"/>
          <w:szCs w:val="20"/>
          <w:color w:val="auto"/>
        </w:rPr>
      </w:pPr>
      <w:r>
        <w:rPr>
          <w:rFonts w:ascii="Arial" w:cs="Arial" w:eastAsia="Arial" w:hAnsi="Arial"/>
          <w:sz w:val="18"/>
          <w:szCs w:val="18"/>
          <w:i w:val="1"/>
          <w:iCs w:val="1"/>
          <w:color w:val="auto"/>
        </w:rPr>
        <w:t>General Counsel and Secretary</w:t>
      </w:r>
      <w:r>
        <w:rPr>
          <w:sz w:val="20"/>
          <w:szCs w:val="20"/>
          <w:color w:val="auto"/>
        </w:rPr>
        <w:tab/>
      </w:r>
      <w:r>
        <w:rPr>
          <w:rFonts w:ascii="Arial" w:cs="Arial" w:eastAsia="Arial" w:hAnsi="Arial"/>
          <w:sz w:val="16"/>
          <w:szCs w:val="16"/>
          <w:color w:val="auto"/>
        </w:rPr>
        <w:t>Joined FEMSA:</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Appointed to current</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Directorships:</w:t>
      </w:r>
    </w:p>
    <w:p>
      <w:pPr>
        <w:spacing w:after="0" w:line="30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Business experience</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within FEMSA:</w:t>
      </w:r>
    </w:p>
    <w:p>
      <w:pPr>
        <w:spacing w:after="0" w:line="21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Education: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February, 1949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-665480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2007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34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Constitutional Governor of the Mexican State of Zacatecas from 1986 to 1992, General Director of the Mexican Social Security Institute from 1993 to 2000, and Senator in Mexico for the State of Zacatecas from 2000 to 2006.</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Holds a bachelor’s degree in International Relations from the Universidad Iberoamericana.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August 1956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1979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1996</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Secretary of the Board of directors of FEMSA and secretary of the board of directors of all of the sub-holding companies</w:t>
      </w:r>
    </w:p>
    <w:p>
      <w:pPr>
        <w:spacing w:after="0" w:line="18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Extensive experience in international business and financial transactions, debt issuances and corporate restructurings and expertise in securities and private mergers and acquisitions law Holds a law degree from the UANL and a masters degree in Comparative Law from the College of Law of the University of Illinois</w:t>
      </w:r>
    </w:p>
    <w:p>
      <w:pPr>
        <w:spacing w:after="0" w:line="200" w:lineRule="exact"/>
        <w:rPr>
          <w:sz w:val="20"/>
          <w:szCs w:val="20"/>
          <w:color w:val="auto"/>
        </w:rPr>
      </w:pPr>
    </w:p>
    <w:p>
      <w:pPr>
        <w:sectPr>
          <w:pgSz w:w="11900" w:h="16838" w:orient="portrait"/>
          <w:cols w:equalWidth="0" w:num="2">
            <w:col w:w="4400" w:space="180"/>
            <w:col w:w="6820"/>
          </w:cols>
          <w:pgMar w:left="240" w:top="459" w:right="25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FEMSA Cerveza</w:t>
      </w:r>
    </w:p>
    <w:p>
      <w:pPr>
        <w:sectPr>
          <w:pgSz w:w="11900" w:h="16838" w:orient="portrait"/>
          <w:cols w:equalWidth="0" w:num="1">
            <w:col w:w="11400"/>
          </w:cols>
          <w:pgMar w:left="240" w:top="459" w:right="259" w:bottom="1440" w:gutter="0" w:footer="0" w:header="0"/>
          <w:type w:val="continuous"/>
        </w:sectPr>
      </w:pPr>
    </w:p>
    <w:p>
      <w:pPr>
        <w:spacing w:after="0" w:line="248"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Jorge Luis Ramos Santos</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ind w:left="180"/>
        <w:spacing w:after="0"/>
        <w:tabs>
          <w:tab w:leader="none" w:pos="2620" w:val="left"/>
        </w:tabs>
        <w:rPr>
          <w:sz w:val="20"/>
          <w:szCs w:val="20"/>
          <w:color w:val="auto"/>
        </w:rPr>
      </w:pPr>
      <w:r>
        <w:rPr>
          <w:rFonts w:ascii="Arial" w:cs="Arial" w:eastAsia="Arial" w:hAnsi="Arial"/>
          <w:sz w:val="18"/>
          <w:szCs w:val="18"/>
          <w:i w:val="1"/>
          <w:iCs w:val="1"/>
          <w:color w:val="auto"/>
        </w:rPr>
        <w:t>Chief Executive Officer</w:t>
      </w:r>
      <w:r>
        <w:rPr>
          <w:sz w:val="20"/>
          <w:szCs w:val="20"/>
          <w:color w:val="auto"/>
        </w:rPr>
        <w:tab/>
      </w:r>
      <w:r>
        <w:rPr>
          <w:rFonts w:ascii="Arial" w:cs="Arial" w:eastAsia="Arial" w:hAnsi="Arial"/>
          <w:sz w:val="16"/>
          <w:szCs w:val="16"/>
          <w:color w:val="auto"/>
        </w:rPr>
        <w:t>Joined FEMSA:</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Appointed to current</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5"/>
          <w:szCs w:val="15"/>
          <w:color w:val="auto"/>
        </w:rPr>
        <w:t>Business experience</w:t>
      </w:r>
    </w:p>
    <w:p>
      <w:pPr>
        <w:spacing w:after="0" w:line="44"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within FEMSA:</w:t>
      </w:r>
    </w:p>
    <w:p>
      <w:pPr>
        <w:spacing w:after="0" w:line="200" w:lineRule="exact"/>
        <w:rPr>
          <w:sz w:val="20"/>
          <w:szCs w:val="20"/>
          <w:color w:val="auto"/>
        </w:rPr>
      </w:pPr>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Education: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Coca-Cola FEMSA</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December 1952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1996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12"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Director of Human Resources of FEMSA Cerveza from 1996 until 2000 and Director of Sales for the south region from 2000 until 2003. He acted as Co-Chief Executive Officer-Sales of Femsa Cerveza from 2003 until his appointment to his current position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Holds a bachelor’s degree from ITESM and an MBA from the Wharton Business School.</w:t>
      </w:r>
    </w:p>
    <w:p>
      <w:pPr>
        <w:spacing w:after="0" w:line="763" w:lineRule="exact"/>
        <w:rPr>
          <w:sz w:val="20"/>
          <w:szCs w:val="20"/>
          <w:color w:val="auto"/>
        </w:rPr>
      </w:pPr>
    </w:p>
    <w:p>
      <w:pPr>
        <w:sectPr>
          <w:pgSz w:w="11900" w:h="16838" w:orient="portrait"/>
          <w:cols w:equalWidth="0" w:num="2">
            <w:col w:w="4100" w:space="480"/>
            <w:col w:w="6820"/>
          </w:cols>
          <w:pgMar w:left="240" w:top="459" w:right="259" w:bottom="1440" w:gutter="0" w:footer="0" w:header="0"/>
          <w:type w:val="continuous"/>
        </w:sectPr>
      </w:pPr>
    </w:p>
    <w:p>
      <w:pPr>
        <w:spacing w:after="0" w:line="25"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Carlos Salazar Lomelín</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ind w:left="180"/>
        <w:spacing w:after="0"/>
        <w:tabs>
          <w:tab w:leader="none" w:pos="2620" w:val="left"/>
        </w:tabs>
        <w:rPr>
          <w:sz w:val="20"/>
          <w:szCs w:val="20"/>
          <w:color w:val="auto"/>
        </w:rPr>
      </w:pPr>
      <w:r>
        <w:rPr>
          <w:rFonts w:ascii="Arial" w:cs="Arial" w:eastAsia="Arial" w:hAnsi="Arial"/>
          <w:sz w:val="18"/>
          <w:szCs w:val="18"/>
          <w:i w:val="1"/>
          <w:iCs w:val="1"/>
          <w:color w:val="auto"/>
        </w:rPr>
        <w:t>Chief Executive Officer</w:t>
      </w:r>
      <w:r>
        <w:rPr>
          <w:sz w:val="20"/>
          <w:szCs w:val="20"/>
          <w:color w:val="auto"/>
        </w:rPr>
        <w:tab/>
      </w:r>
      <w:r>
        <w:rPr>
          <w:rFonts w:ascii="Arial" w:cs="Arial" w:eastAsia="Arial" w:hAnsi="Arial"/>
          <w:sz w:val="16"/>
          <w:szCs w:val="16"/>
          <w:color w:val="auto"/>
        </w:rPr>
        <w:t>Joined FEMSA:</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Appointed to current</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5"/>
          <w:szCs w:val="15"/>
          <w:color w:val="auto"/>
        </w:rPr>
        <w:t>Business experience</w:t>
      </w:r>
    </w:p>
    <w:p>
      <w:pPr>
        <w:spacing w:after="0" w:line="44"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within FEMSA: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Education: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April 1951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1973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2000</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Has held managerial positions in several subsidiaries of FEMSA, including Grafo Regia, S.A. de C.V. and Plásticos Técnicos Mexicanos, S.A. de C.V., served as Chief Executive Officer of FEMSA Cerveza, where he also held various management positions in the Commercial Planning and Export divisions</w:t>
      </w:r>
    </w:p>
    <w:p>
      <w:pPr>
        <w:spacing w:after="0" w:line="2" w:lineRule="exact"/>
        <w:rPr>
          <w:sz w:val="20"/>
          <w:szCs w:val="20"/>
          <w:color w:val="auto"/>
        </w:rPr>
      </w:pPr>
    </w:p>
    <w:p>
      <w:pPr>
        <w:ind w:right="1540"/>
        <w:spacing w:after="0" w:line="259" w:lineRule="auto"/>
        <w:rPr>
          <w:sz w:val="20"/>
          <w:szCs w:val="20"/>
          <w:color w:val="auto"/>
        </w:rPr>
      </w:pPr>
      <w:r>
        <w:rPr>
          <w:rFonts w:ascii="Arial" w:cs="Arial" w:eastAsia="Arial" w:hAnsi="Arial"/>
          <w:sz w:val="18"/>
          <w:szCs w:val="18"/>
          <w:color w:val="auto"/>
        </w:rPr>
        <w:t>Holds a bachelor’s degree in economics from ITESM, and is engaged in postgraduate studies in business administration and economic development in Italy</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95</w:t>
      </w:r>
    </w:p>
    <w:p>
      <w:pPr>
        <w:sectPr>
          <w:pgSz w:w="11900" w:h="16838" w:orient="portrait"/>
          <w:cols w:equalWidth="0" w:num="2">
            <w:col w:w="4100" w:space="480"/>
            <w:col w:w="6820"/>
          </w:cols>
          <w:pgMar w:left="240" w:top="459" w:right="2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Héctor Treviño Gutiérrez</w:t>
            </w:r>
          </w:p>
        </w:tc>
        <w:tc>
          <w:tcPr>
            <w:tcW w:w="2100" w:type="dxa"/>
            <w:vAlign w:val="bottom"/>
          </w:tcPr>
          <w:p>
            <w:pPr>
              <w:ind w:left="400"/>
              <w:spacing w:after="0"/>
              <w:rPr>
                <w:sz w:val="20"/>
                <w:szCs w:val="20"/>
                <w:color w:val="auto"/>
              </w:rPr>
            </w:pPr>
            <w:r>
              <w:rPr>
                <w:rFonts w:ascii="Arial" w:cs="Arial" w:eastAsia="Arial" w:hAnsi="Arial"/>
                <w:sz w:val="18"/>
                <w:szCs w:val="18"/>
                <w:color w:val="auto"/>
              </w:rPr>
              <w:t>Born:</w:t>
            </w:r>
          </w:p>
        </w:tc>
        <w:tc>
          <w:tcPr>
            <w:tcW w:w="6920" w:type="dxa"/>
            <w:vAlign w:val="bottom"/>
          </w:tcPr>
          <w:p>
            <w:pPr>
              <w:ind w:left="240"/>
              <w:spacing w:after="0"/>
              <w:rPr>
                <w:sz w:val="20"/>
                <w:szCs w:val="20"/>
                <w:color w:val="auto"/>
              </w:rPr>
            </w:pPr>
            <w:r>
              <w:rPr>
                <w:rFonts w:ascii="Arial" w:cs="Arial" w:eastAsia="Arial" w:hAnsi="Arial"/>
                <w:sz w:val="18"/>
                <w:szCs w:val="18"/>
                <w:color w:val="auto"/>
              </w:rPr>
              <w:t>August 1956</w:t>
            </w: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2100" w:type="dxa"/>
            <w:vAlign w:val="bottom"/>
          </w:tcPr>
          <w:p>
            <w:pPr>
              <w:ind w:left="400"/>
              <w:spacing w:after="0"/>
              <w:rPr>
                <w:sz w:val="20"/>
                <w:szCs w:val="20"/>
                <w:color w:val="auto"/>
              </w:rPr>
            </w:pPr>
            <w:r>
              <w:rPr>
                <w:rFonts w:ascii="Arial" w:cs="Arial" w:eastAsia="Arial" w:hAnsi="Arial"/>
                <w:sz w:val="18"/>
                <w:szCs w:val="18"/>
                <w:color w:val="auto"/>
              </w:rPr>
              <w:t>Joined FEMSA:</w:t>
            </w:r>
          </w:p>
        </w:tc>
        <w:tc>
          <w:tcPr>
            <w:tcW w:w="6920" w:type="dxa"/>
            <w:vAlign w:val="bottom"/>
          </w:tcPr>
          <w:p>
            <w:pPr>
              <w:ind w:left="24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Appointed to current</w:t>
            </w:r>
          </w:p>
        </w:tc>
        <w:tc>
          <w:tcPr>
            <w:tcW w:w="6920" w:type="dxa"/>
            <w:vAlign w:val="bottom"/>
            <w:vMerge w:val="restart"/>
          </w:tcPr>
          <w:p>
            <w:pPr>
              <w:ind w:left="24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position:</w:t>
            </w:r>
          </w:p>
        </w:tc>
        <w:tc>
          <w:tcPr>
            <w:tcW w:w="6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Business experience</w:t>
            </w:r>
          </w:p>
        </w:tc>
        <w:tc>
          <w:tcPr>
            <w:tcW w:w="6920" w:type="dxa"/>
            <w:vAlign w:val="bottom"/>
          </w:tcPr>
          <w:p>
            <w:pPr>
              <w:ind w:left="240"/>
              <w:spacing w:after="0"/>
              <w:rPr>
                <w:sz w:val="20"/>
                <w:szCs w:val="20"/>
                <w:color w:val="auto"/>
              </w:rPr>
            </w:pPr>
            <w:r>
              <w:rPr>
                <w:rFonts w:ascii="Arial" w:cs="Arial" w:eastAsia="Arial" w:hAnsi="Arial"/>
                <w:sz w:val="18"/>
                <w:szCs w:val="18"/>
                <w:color w:val="auto"/>
                <w:w w:val="95"/>
              </w:rPr>
              <w:t>Has held managerial positions in the international financing, financial planning, strategic</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within FEMSA:</w:t>
            </w:r>
          </w:p>
        </w:tc>
        <w:tc>
          <w:tcPr>
            <w:tcW w:w="6920" w:type="dxa"/>
            <w:vAlign w:val="bottom"/>
          </w:tcPr>
          <w:p>
            <w:pPr>
              <w:ind w:left="240"/>
              <w:spacing w:after="0"/>
              <w:rPr>
                <w:sz w:val="20"/>
                <w:szCs w:val="20"/>
                <w:color w:val="auto"/>
              </w:rPr>
            </w:pPr>
            <w:r>
              <w:rPr>
                <w:rFonts w:ascii="Arial" w:cs="Arial" w:eastAsia="Arial" w:hAnsi="Arial"/>
                <w:sz w:val="18"/>
                <w:szCs w:val="18"/>
                <w:color w:val="auto"/>
              </w:rPr>
              <w:t>planning and corporate development areas of FEMSA</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Education:</w:t>
            </w:r>
          </w:p>
        </w:tc>
        <w:tc>
          <w:tcPr>
            <w:tcW w:w="6920" w:type="dxa"/>
            <w:vAlign w:val="bottom"/>
          </w:tcPr>
          <w:p>
            <w:pPr>
              <w:ind w:left="240"/>
              <w:spacing w:after="0"/>
              <w:rPr>
                <w:sz w:val="20"/>
                <w:szCs w:val="20"/>
                <w:color w:val="auto"/>
              </w:rPr>
            </w:pPr>
            <w:r>
              <w:rPr>
                <w:rFonts w:ascii="Arial" w:cs="Arial" w:eastAsia="Arial" w:hAnsi="Arial"/>
                <w:sz w:val="18"/>
                <w:szCs w:val="18"/>
                <w:color w:val="auto"/>
                <w:w w:val="89"/>
              </w:rPr>
              <w:t>Holds a degree in chemical engineering from ITESM and an MBA from the Wharton Business</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School</w:t>
            </w:r>
          </w:p>
        </w:tc>
        <w:tc>
          <w:tcPr>
            <w:tcW w:w="0" w:type="dxa"/>
            <w:vAlign w:val="bottom"/>
          </w:tcPr>
          <w:p>
            <w:pPr>
              <w:spacing w:after="0"/>
              <w:rPr>
                <w:sz w:val="1"/>
                <w:szCs w:val="1"/>
                <w:color w:val="auto"/>
              </w:rPr>
            </w:pPr>
          </w:p>
        </w:tc>
      </w:tr>
      <w:tr>
        <w:trPr>
          <w:trHeight w:val="540"/>
        </w:trPr>
        <w:tc>
          <w:tcPr>
            <w:tcW w:w="2240" w:type="dxa"/>
            <w:vAlign w:val="bottom"/>
          </w:tcPr>
          <w:p>
            <w:pPr>
              <w:spacing w:after="0"/>
              <w:rPr>
                <w:sz w:val="20"/>
                <w:szCs w:val="20"/>
                <w:color w:val="auto"/>
              </w:rPr>
            </w:pPr>
            <w:r>
              <w:rPr>
                <w:rFonts w:ascii="Arial" w:cs="Arial" w:eastAsia="Arial" w:hAnsi="Arial"/>
                <w:sz w:val="18"/>
                <w:szCs w:val="18"/>
                <w:b w:val="1"/>
                <w:bCs w:val="1"/>
                <w:i w:val="1"/>
                <w:iCs w:val="1"/>
                <w:color w:val="auto"/>
              </w:rPr>
              <w:t>FEMSA Comercio</w:t>
            </w:r>
          </w:p>
        </w:tc>
        <w:tc>
          <w:tcPr>
            <w:tcW w:w="21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240" w:type="dxa"/>
            <w:vAlign w:val="bottom"/>
          </w:tcPr>
          <w:p>
            <w:pPr>
              <w:spacing w:after="0"/>
              <w:rPr>
                <w:sz w:val="20"/>
                <w:szCs w:val="20"/>
                <w:color w:val="auto"/>
              </w:rPr>
            </w:pPr>
            <w:r>
              <w:rPr>
                <w:rFonts w:ascii="Arial" w:cs="Arial" w:eastAsia="Arial" w:hAnsi="Arial"/>
                <w:sz w:val="18"/>
                <w:szCs w:val="18"/>
                <w:color w:val="auto"/>
              </w:rPr>
              <w:t>Eduardo Padilla Silva</w:t>
            </w:r>
          </w:p>
        </w:tc>
        <w:tc>
          <w:tcPr>
            <w:tcW w:w="2100" w:type="dxa"/>
            <w:vAlign w:val="bottom"/>
          </w:tcPr>
          <w:p>
            <w:pPr>
              <w:ind w:left="400"/>
              <w:spacing w:after="0"/>
              <w:rPr>
                <w:sz w:val="20"/>
                <w:szCs w:val="20"/>
                <w:color w:val="auto"/>
              </w:rPr>
            </w:pPr>
            <w:r>
              <w:rPr>
                <w:rFonts w:ascii="Arial" w:cs="Arial" w:eastAsia="Arial" w:hAnsi="Arial"/>
                <w:sz w:val="18"/>
                <w:szCs w:val="18"/>
                <w:color w:val="auto"/>
              </w:rPr>
              <w:t>Born:</w:t>
            </w:r>
          </w:p>
        </w:tc>
        <w:tc>
          <w:tcPr>
            <w:tcW w:w="6920" w:type="dxa"/>
            <w:vAlign w:val="bottom"/>
          </w:tcPr>
          <w:p>
            <w:pPr>
              <w:ind w:left="240"/>
              <w:spacing w:after="0"/>
              <w:rPr>
                <w:sz w:val="20"/>
                <w:szCs w:val="20"/>
                <w:color w:val="auto"/>
              </w:rPr>
            </w:pPr>
            <w:r>
              <w:rPr>
                <w:rFonts w:ascii="Arial" w:cs="Arial" w:eastAsia="Arial" w:hAnsi="Arial"/>
                <w:sz w:val="18"/>
                <w:szCs w:val="18"/>
                <w:color w:val="auto"/>
              </w:rPr>
              <w:t>January 1955</w:t>
            </w: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100" w:type="dxa"/>
            <w:vAlign w:val="bottom"/>
          </w:tcPr>
          <w:p>
            <w:pPr>
              <w:ind w:left="400"/>
              <w:spacing w:after="0"/>
              <w:rPr>
                <w:sz w:val="20"/>
                <w:szCs w:val="20"/>
                <w:color w:val="auto"/>
              </w:rPr>
            </w:pPr>
            <w:r>
              <w:rPr>
                <w:rFonts w:ascii="Arial" w:cs="Arial" w:eastAsia="Arial" w:hAnsi="Arial"/>
                <w:sz w:val="18"/>
                <w:szCs w:val="18"/>
                <w:color w:val="auto"/>
              </w:rPr>
              <w:t>Joined FEMSA:</w:t>
            </w:r>
          </w:p>
        </w:tc>
        <w:tc>
          <w:tcPr>
            <w:tcW w:w="6920" w:type="dxa"/>
            <w:vAlign w:val="bottom"/>
          </w:tcPr>
          <w:p>
            <w:pPr>
              <w:ind w:left="24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Appointed to current</w:t>
            </w:r>
          </w:p>
        </w:tc>
        <w:tc>
          <w:tcPr>
            <w:tcW w:w="6920" w:type="dxa"/>
            <w:vAlign w:val="bottom"/>
            <w:vMerge w:val="restart"/>
          </w:tcPr>
          <w:p>
            <w:pPr>
              <w:ind w:left="2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position:</w:t>
            </w:r>
          </w:p>
        </w:tc>
        <w:tc>
          <w:tcPr>
            <w:tcW w:w="6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Business experience</w:t>
            </w:r>
          </w:p>
        </w:tc>
        <w:tc>
          <w:tcPr>
            <w:tcW w:w="6920" w:type="dxa"/>
            <w:vAlign w:val="bottom"/>
            <w:vMerge w:val="restart"/>
          </w:tcPr>
          <w:p>
            <w:pPr>
              <w:ind w:left="240"/>
              <w:spacing w:after="0"/>
              <w:rPr>
                <w:sz w:val="20"/>
                <w:szCs w:val="20"/>
                <w:color w:val="auto"/>
              </w:rPr>
            </w:pPr>
            <w:r>
              <w:rPr>
                <w:rFonts w:ascii="Arial" w:cs="Arial" w:eastAsia="Arial" w:hAnsi="Arial"/>
                <w:sz w:val="18"/>
                <w:szCs w:val="18"/>
                <w:color w:val="auto"/>
                <w:w w:val="92"/>
              </w:rPr>
              <w:t>Director of Planning and Control of FEMSA from 1997 to 2000 and Chief Executive Officer,</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100" w:type="dxa"/>
            <w:vAlign w:val="bottom"/>
          </w:tcPr>
          <w:p>
            <w:pPr>
              <w:ind w:left="400"/>
              <w:spacing w:after="0" w:line="202" w:lineRule="exact"/>
              <w:rPr>
                <w:sz w:val="20"/>
                <w:szCs w:val="20"/>
                <w:color w:val="auto"/>
              </w:rPr>
            </w:pPr>
            <w:r>
              <w:rPr>
                <w:rFonts w:ascii="Arial" w:cs="Arial" w:eastAsia="Arial" w:hAnsi="Arial"/>
                <w:sz w:val="18"/>
                <w:szCs w:val="18"/>
                <w:color w:val="auto"/>
              </w:rPr>
              <w:t>within FEMSA:</w:t>
            </w:r>
          </w:p>
        </w:tc>
        <w:tc>
          <w:tcPr>
            <w:tcW w:w="6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Strategic Business Division from 2000 until 2003</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Other business</w:t>
            </w:r>
          </w:p>
        </w:tc>
        <w:tc>
          <w:tcPr>
            <w:tcW w:w="6920" w:type="dxa"/>
            <w:vAlign w:val="bottom"/>
            <w:vMerge w:val="restart"/>
          </w:tcPr>
          <w:p>
            <w:pPr>
              <w:ind w:left="240"/>
              <w:spacing w:after="0"/>
              <w:rPr>
                <w:sz w:val="20"/>
                <w:szCs w:val="20"/>
                <w:color w:val="auto"/>
              </w:rPr>
            </w:pPr>
            <w:r>
              <w:rPr>
                <w:rFonts w:ascii="Arial" w:cs="Arial" w:eastAsia="Arial" w:hAnsi="Arial"/>
                <w:sz w:val="18"/>
                <w:szCs w:val="18"/>
                <w:color w:val="auto"/>
                <w:w w:val="90"/>
              </w:rPr>
              <w:t>Had a 20-year career in Alfa, culminating with a ten-year tenure as Chief Executive Officer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100" w:type="dxa"/>
            <w:vAlign w:val="bottom"/>
          </w:tcPr>
          <w:p>
            <w:pPr>
              <w:ind w:left="400"/>
              <w:spacing w:after="0" w:line="202" w:lineRule="exact"/>
              <w:rPr>
                <w:sz w:val="20"/>
                <w:szCs w:val="20"/>
                <w:color w:val="auto"/>
              </w:rPr>
            </w:pPr>
            <w:r>
              <w:rPr>
                <w:rFonts w:ascii="Arial" w:cs="Arial" w:eastAsia="Arial" w:hAnsi="Arial"/>
                <w:sz w:val="18"/>
                <w:szCs w:val="18"/>
                <w:color w:val="auto"/>
              </w:rPr>
              <w:t>experience:</w:t>
            </w:r>
          </w:p>
        </w:tc>
        <w:tc>
          <w:tcPr>
            <w:tcW w:w="6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w w:val="87"/>
              </w:rPr>
              <w:t>Terza, S.A. de C.V., major areas of expertise include operational control, strategic planning and</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financial restructuring</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2100" w:type="dxa"/>
            <w:vAlign w:val="bottom"/>
          </w:tcPr>
          <w:p>
            <w:pPr>
              <w:ind w:left="400"/>
              <w:spacing w:after="0"/>
              <w:rPr>
                <w:sz w:val="20"/>
                <w:szCs w:val="20"/>
                <w:color w:val="auto"/>
              </w:rPr>
            </w:pPr>
            <w:r>
              <w:rPr>
                <w:rFonts w:ascii="Arial" w:cs="Arial" w:eastAsia="Arial" w:hAnsi="Arial"/>
                <w:sz w:val="18"/>
                <w:szCs w:val="18"/>
                <w:color w:val="auto"/>
              </w:rPr>
              <w:t>Education:</w:t>
            </w:r>
          </w:p>
        </w:tc>
        <w:tc>
          <w:tcPr>
            <w:tcW w:w="6920" w:type="dxa"/>
            <w:vAlign w:val="bottom"/>
          </w:tcPr>
          <w:p>
            <w:pPr>
              <w:ind w:left="240"/>
              <w:spacing w:after="0"/>
              <w:rPr>
                <w:sz w:val="20"/>
                <w:szCs w:val="20"/>
                <w:color w:val="auto"/>
              </w:rPr>
            </w:pPr>
            <w:r>
              <w:rPr>
                <w:rFonts w:ascii="Arial" w:cs="Arial" w:eastAsia="Arial" w:hAnsi="Arial"/>
                <w:sz w:val="18"/>
                <w:szCs w:val="18"/>
                <w:color w:val="auto"/>
                <w:w w:val="91"/>
              </w:rPr>
              <w:t>Holds a degree in mechanical engineering from ITESM and an MBA from Cornell University</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Senior Management</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compensation of Directors is approved at the annual ordinary general shareholders meeting. For the year ended December 31, 2007, the aggregate compensation paid to our directors was approximately Ps. 5.3 million.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year ended December 31, 2007, the aggregate compensation paid to executive officers and senior management of FEMSA and its subsidiaries was approximately Ps. 1,290 million. Aggregate compensation includes bonuses we paid to certain members of senior management and payments in connection with the EVA stock incentive plan described below. Our senior management and executive officers participate in our benefit plan and post-retirement medical services plan on the same basis as our other employees. Members of our board of directors do not participate in our benefit plan and post-retirement medical services plan, unless they are retired employees of our company. As of December 31, 2007, amounts set aside or accrued for all employees under these retirement plans were Ps. 6,562 million, of which Ps. 2,902 million is already funded.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From 1998 until 2003, we, along with our subsidiaries, had a five-year stock incentive plan for the benefit of our executive officers. Under the terms of the stock incentive plan, during the years 1999 through 2003, certain of our executive officers were selected to receive a special cash bonus, which was used to obtain a stock grant. Each year, our Chief Executive Officer, together with the chief executive officers and corporate practices committees of our sub-holding companies, selected the executive officers eligible to participate in the stock incentive plan and determined the amount of the special bonus, based on each executive officer’s level of responsibility and corporate achievements during the prior year.</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stock grants were administrated by certain trusts for the benefit of the selected executive officers. Every year a new administrative trust was formed to manage the stock grants acquired in that particular year. Under the terms of the stock incentive plan, each time a special bonus was assigned to an executive officer, the executive officer contributed the special bonus received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administrative trust in exchange for a stock grant, as determined annually by us. Each administrative trust is managed by a technical committee formed by executives of our company and is governed by Mexican law.</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stock grant entitles an executive officer to receive BD Units or, in the case of officers of Coca-Cola FEMSA, a specified proportion of BD Units and Series L Shares of Coca-Cola FEMSA, which will be acquired by the respective administrative trust in the open market, using the special bonus contributed by each executive officer. Under the terms of the stock incentive plan, the ownership of the BD Units and, in its case, the Series L Shares of Coca-Cola FEMSA, will vest at a rate per year equivalent to the number of BD Units and, as applicable, Coca-Cola FEMSA Series L Shares, which can be acquired with 20% of such stock grant.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were granted in 2003 under this plan, and the plan was terminated in February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 Stock Incentive Plan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2005, we, along with our subsidiaries, commenced a new stock incentive plan for the benefit of our executive officers, which we refer to as the EVA stock incentive plan. This plan replaced the stock incentive plan described above and was developed using as the main metric for the first three years of the plan for evaluation the Economic Value Added, or EVA, framework developed by Stern Stewart &amp; Co., a compensation consulting firm. Under the EVA stock incentive plan, eligible executive officers are entitled to receive a special cash bonus, which will be used to purchase shares.</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Under this plan, each year, our Chief Executive Officer in conjunction with our board of directors, together with the chief executive officer of the respective sub-holding company, determines the amount of the special cash bonus used to purchase shares. This amount is determined based on each executive officer’s level of responsibility and based on the EVA generated by Coca-Cola FEMSA or FEMSA, as applicable.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shares are administrated by a trust for the benefit of the selected executive officers. Under the EVA stock incentive plan, each time a special bonus is assigned to an executive officer, the executive officer contributes the special bonus received to the administrative trust. Pursuant to the plan, the administrative trust acquires BD Units of FEMSA or, in the case of officers of Coca-Cola FEMSA, a specified proportion of publicly traded local shares of FEMSA and Series L Shares of Coca-Cola FEMSA on the Mexican Stock Exchange using the special bonus contributed by each executive officer. The ownership of the publicly traded local shares of FEMSA and, in the case of Coca-Cola FEMSA executives, the Series L Shares of Coca-Cola FEMSA vests at a rate per year equivalent to 20% of the number of publicly traded local shares of FEMSA and Series L Shares of Coca-Cola FEMSA.</w:t>
      </w:r>
    </w:p>
    <w:p>
      <w:pPr>
        <w:spacing w:after="0" w:line="12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As of May 30, 2008, the trust that manages the EVA stock incentive plan holds a total of 9,781,435 BD Units of FEMSA and 2,471,075 Series L Shares of Coca-Cola FEMSA, each representing 0.05% and 0.13% of the total number of shares outstanding of FEMSA and of Coca-Cola FEMSA,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Policies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maintain life insurance policies for all of our employees. These policies mitigate the risk of having to pay death benefits in the event of an industrial accident. We maintain a directors and officers’ insurance policy covering all directors and certain key executive officers for liabilities incurred in their capacities as directors and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by Management</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Several of our directors are participants of a voting trust. Each of the trust participants of the voting trust is deemed to have beneficial ownership with shared voting power over the shares deposited in the voting trust. As of May 30, 2008, 6,914,592,885 Series B Shares representing 74.78% of the outstanding Series B Shares were deposited in the voting trust. See “Item 7. Major Shareholders and Related Party Transactions.”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Series B Shares, Series D-B Shares and Series D-L Shares as of May 30, 2008 beneficially owned by our directors who are participants in the voting trust, other than the shares deposited in the voting trust: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Series B</w:t>
            </w:r>
          </w:p>
        </w:tc>
        <w:tc>
          <w:tcPr>
            <w:tcW w:w="19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Series D-B</w:t>
            </w:r>
          </w:p>
        </w:tc>
        <w:tc>
          <w:tcPr>
            <w:tcW w:w="17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Series D-L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3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 of</w:t>
            </w:r>
          </w:p>
        </w:tc>
        <w:tc>
          <w:tcPr>
            <w:tcW w:w="3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800" w:type="dxa"/>
            <w:vAlign w:val="bottom"/>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estate of Eugenio Garza Lagüera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7,566,600</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26,654,808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26,654,808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Consuelo Garza de Garza</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63,024,300</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0.68%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12,754,950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12,754,950</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 Michel Suberville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34,759,260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34,759,260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Alberto Bailleres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3,093,825</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0.03%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11,192,112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11,192,112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 Guichard Michel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366,930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Alfonso Garza Garza</w:t>
            </w:r>
          </w:p>
        </w:tc>
        <w:tc>
          <w:tcPr>
            <w:tcW w:w="800" w:type="dxa"/>
            <w:vAlign w:val="bottom"/>
          </w:tcPr>
          <w:p>
            <w:pPr>
              <w:jc w:val="right"/>
              <w:spacing w:after="0"/>
              <w:rPr>
                <w:sz w:val="20"/>
                <w:szCs w:val="20"/>
                <w:color w:val="auto"/>
              </w:rPr>
            </w:pPr>
            <w:r>
              <w:rPr>
                <w:rFonts w:ascii="Arial" w:cs="Arial" w:eastAsia="Arial" w:hAnsi="Arial"/>
                <w:sz w:val="18"/>
                <w:szCs w:val="18"/>
                <w:color w:val="auto"/>
              </w:rPr>
              <w:t>19,200</w:t>
            </w:r>
          </w:p>
        </w:tc>
        <w:tc>
          <w:tcPr>
            <w:tcW w:w="2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324,306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800" w:type="dxa"/>
            <w:vAlign w:val="bottom"/>
          </w:tcPr>
          <w:p>
            <w:pPr>
              <w:jc w:val="right"/>
              <w:spacing w:after="0"/>
              <w:rPr>
                <w:sz w:val="20"/>
                <w:szCs w:val="20"/>
                <w:color w:val="auto"/>
              </w:rPr>
            </w:pPr>
            <w:r>
              <w:rPr>
                <w:rFonts w:ascii="Arial" w:cs="Arial" w:eastAsia="Arial" w:hAnsi="Arial"/>
                <w:sz w:val="18"/>
                <w:szCs w:val="18"/>
                <w:color w:val="auto"/>
              </w:rPr>
              <w:t>324,306</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other director or officer is the beneficial owner of more than 1% of any class of our capital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state that the board of directors will meet at least once every three months following the end of each quarter to discuss our operating results and the advancement in the achievement of strategic objectives. Our board of directors can also hold extraordinary meetings. See “Item 10. Additional Information— Bylaws.”</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Under our bylaws, directors serve one-year terms although they continue in office even after the term for which they were appointed ends for up to 30 calendar days, as set forth in article 24 of Mexican Securities Law. None of our directors or senior managers of our subsidiaries has service contracts providing for benefits upon termination of employment.</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Our board of directors is supported by committees, which are working groups that analyze issues and provide recommendations to the board of directors regarding their respective areas of focus. The executive officers interact periodically with the committees to address management issues. Each committee has a secretary who attends meetings but is not a member of the committee. The following are the three committees of the board of directors:</w:t>
      </w:r>
    </w:p>
    <w:p>
      <w:pPr>
        <w:spacing w:after="0" w:line="26" w:lineRule="exact"/>
        <w:rPr>
          <w:sz w:val="20"/>
          <w:szCs w:val="20"/>
          <w:color w:val="auto"/>
        </w:rPr>
      </w:pPr>
    </w:p>
    <w:p>
      <w:pPr>
        <w:ind w:left="900" w:right="40" w:hanging="446"/>
        <w:spacing w:after="0" w:line="28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is responsible for (1) reviewing the accuracy and integrity of quarterly and annual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accounting, internal control and auditing requirements, (2) for the appointment, compensation, retention and oversight of the independent auditor, who reports directly to the Audit Committee, (3) reviewing related party transactions other than in the ordinary course of our business and (4) identifying and following-up on contingencies and legal proceedings. The Audit Committee has implemented procedures for receiving, retaining and addressing complaints regarding accounting, internal control and auditing matters, including the submission of confidential, anonymous complaints from employees regarding questionable accounting or auditing matters. To carry out its duties, the Audit Committee may hire independent counsel and other advisors. As necessary, the company compensates the independent auditor and any outside advisor hired by the Audit Committee and provides funding for ordinary administrative expenses incurred by the Audit Committee in the course of its duties. The current Audit Committee members are: Alexis E. Rovzar de la Torre (Chairman), José Manuel Canal Hernando (Financial Expert), Francisco Zambrano Rodríguez and Alfonso González Migoya. Each member of the audit committee is an independent director, as required by the Mexican Securities Market Law and applicable New York Stock Exchange listing standards. The Secretary of the Audit Committee is José González Ornelas, head of FEMSA’s internal audit department.</w:t>
      </w:r>
    </w:p>
    <w:p>
      <w:pPr>
        <w:spacing w:after="0" w:line="43"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The Finance Committee</w:t>
      </w:r>
      <w:r>
        <w:rPr>
          <w:rFonts w:ascii="Arial" w:cs="Arial" w:eastAsia="Arial" w:hAnsi="Arial"/>
          <w:sz w:val="16"/>
          <w:szCs w:val="16"/>
          <w:color w:val="auto"/>
        </w:rPr>
        <w:t>. Responsibilities include (1) evaluating the investment and financing policies proposed by the Chief Executive Officer; and</w:t>
      </w:r>
    </w:p>
    <w:p>
      <w:pPr>
        <w:spacing w:after="0" w:line="38" w:lineRule="exact"/>
        <w:rPr>
          <w:rFonts w:ascii="Arial" w:cs="Arial" w:eastAsia="Arial" w:hAnsi="Arial"/>
          <w:sz w:val="16"/>
          <w:szCs w:val="16"/>
          <w:color w:val="auto"/>
        </w:rPr>
      </w:pPr>
    </w:p>
    <w:p>
      <w:pPr>
        <w:ind w:left="900" w:right="280"/>
        <w:spacing w:after="0" w:line="255" w:lineRule="auto"/>
        <w:rPr>
          <w:rFonts w:ascii="Arial" w:cs="Arial" w:eastAsia="Arial" w:hAnsi="Arial"/>
          <w:sz w:val="16"/>
          <w:szCs w:val="16"/>
          <w:color w:val="auto"/>
        </w:rPr>
      </w:pPr>
      <w:r>
        <w:rPr>
          <w:rFonts w:ascii="Arial" w:cs="Arial" w:eastAsia="Arial" w:hAnsi="Arial"/>
          <w:sz w:val="18"/>
          <w:szCs w:val="18"/>
          <w:color w:val="auto"/>
        </w:rPr>
        <w:t>(2) evaluating risk factors to which the corporation is exposed, as well as evaluating its management policies. The current Finance Committee members are: Ricardo Guajardo Touché (chairman), Federico Reyes García, Robert E. Denham, Francisco Javier Fernandez Carbajal and Alfredo Livas Cantú. Javier Astaburuaga Sanjines is the appointed secretary of this committee.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89"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Corporate Practices Committee. </w:t>
      </w:r>
      <w:r>
        <w:rPr>
          <w:rFonts w:ascii="Arial" w:cs="Arial" w:eastAsia="Arial" w:hAnsi="Arial"/>
          <w:sz w:val="16"/>
          <w:szCs w:val="16"/>
          <w:color w:val="auto"/>
        </w:rPr>
        <w:t>Under the Mexican Securities Law enacted in 2006, listed stock companies no longer have a statutory examiner.</w:t>
      </w:r>
      <w:r>
        <w:rPr>
          <w:rFonts w:ascii="Arial" w:cs="Arial" w:eastAsia="Arial" w:hAnsi="Arial"/>
          <w:sz w:val="16"/>
          <w:szCs w:val="16"/>
          <w:i w:val="1"/>
          <w:iCs w:val="1"/>
          <w:color w:val="auto"/>
        </w:rPr>
        <w:t xml:space="preserve"> </w:t>
      </w:r>
      <w:r>
        <w:rPr>
          <w:rFonts w:ascii="Arial" w:cs="Arial" w:eastAsia="Arial" w:hAnsi="Arial"/>
          <w:sz w:val="16"/>
          <w:szCs w:val="16"/>
          <w:color w:val="auto"/>
        </w:rPr>
        <w:t>Instead, the functions previously performed by the statutory examiner are vested in the newly created Corporate Practices Committee, together with the Audit Committee. The Corporate Practices Committee, which consists of independent directors, is responsible for preventing or reducing the risk of performing operations that could damage the value of our company or that benefit a particular group of shareholders. The committee may call a shareholders’ meeting and include matters on the agenda for that meeting that it may deem appropriate, approve policies on the use of our company’s assets or related party transactions, approve the compensation of the chief executive officer and relevant officers and support our board of directors in the elaboration of reports on accounting practices. The chairman of the Corporate Practices Committee is Lorenzo H. Zambrano. The additional members include: Carlos Salguero and Helmut Paul. The Secretary of the Corporate Practices Committee is Alfonso Garza Garza.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December 31, 2007, our headcount by geographic region was as follows: 70,603 in Mexico, 5,282 in Central America, 7,961 in Colombia, 7,980 in Venezuela, 9,786 in Brazil and 3,408 in Argentina. We include in headcount employees of third party distributors who we do not consider to be our employees. The table below sets forth headcount for the years ended December 31, 2007, 2006 and 2005: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0"/>
          </w:tcPr>
          <w:p>
            <w:pPr>
              <w:jc w:val="right"/>
              <w:ind w:right="620"/>
              <w:spacing w:after="0"/>
              <w:rPr>
                <w:sz w:val="20"/>
                <w:szCs w:val="20"/>
                <w:color w:val="auto"/>
              </w:rPr>
            </w:pPr>
            <w:r>
              <w:rPr>
                <w:rFonts w:ascii="Arial" w:cs="Arial" w:eastAsia="Arial" w:hAnsi="Arial"/>
                <w:sz w:val="14"/>
                <w:szCs w:val="14"/>
                <w:b w:val="1"/>
                <w:bCs w:val="1"/>
                <w:color w:val="auto"/>
                <w:w w:val="97"/>
              </w:rPr>
              <w:t>Headcount for the Year Ended December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6"/>
              </w:rPr>
              <w:t>Non-Union</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Union</w:t>
            </w:r>
          </w:p>
        </w:tc>
        <w:tc>
          <w:tcPr>
            <w:tcW w:w="100" w:type="dxa"/>
            <w:vAlign w:val="bottom"/>
          </w:tcPr>
          <w:p>
            <w:pPr>
              <w:spacing w:after="0"/>
              <w:rPr>
                <w:sz w:val="12"/>
                <w:szCs w:val="12"/>
                <w:color w:val="auto"/>
              </w:rPr>
            </w:pPr>
          </w:p>
        </w:tc>
        <w:tc>
          <w:tcPr>
            <w:tcW w:w="62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Non-Union</w:t>
            </w:r>
          </w:p>
        </w:tc>
        <w:tc>
          <w:tcPr>
            <w:tcW w:w="50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Union</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Non-Union</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Sub-holding company</w:t>
            </w: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7" w:lineRule="exact"/>
              <w:rPr>
                <w:sz w:val="20"/>
                <w:szCs w:val="20"/>
                <w:color w:val="auto"/>
              </w:rPr>
            </w:pPr>
            <w:r>
              <w:rPr>
                <w:rFonts w:ascii="Arial" w:cs="Arial" w:eastAsia="Arial" w:hAnsi="Arial"/>
                <w:sz w:val="18"/>
                <w:szCs w:val="18"/>
                <w:color w:val="auto"/>
              </w:rPr>
              <w:t>Coca-Cola FEMSA</w:t>
            </w:r>
            <w:r>
              <w:rPr>
                <w:rFonts w:ascii="Arial" w:cs="Arial" w:eastAsia="Arial" w:hAnsi="Arial"/>
                <w:sz w:val="22"/>
                <w:szCs w:val="22"/>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32,657</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25,465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58,122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31,695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24,987</w:t>
            </w:r>
          </w:p>
        </w:tc>
        <w:tc>
          <w:tcPr>
            <w:tcW w:w="680" w:type="dxa"/>
            <w:vAlign w:val="bottom"/>
          </w:tcPr>
          <w:p>
            <w:pPr>
              <w:jc w:val="right"/>
              <w:spacing w:after="0"/>
              <w:rPr>
                <w:sz w:val="20"/>
                <w:szCs w:val="20"/>
                <w:color w:val="auto"/>
              </w:rPr>
            </w:pPr>
            <w:r>
              <w:rPr>
                <w:rFonts w:ascii="Arial" w:cs="Arial" w:eastAsia="Arial" w:hAnsi="Arial"/>
                <w:sz w:val="18"/>
                <w:szCs w:val="18"/>
                <w:color w:val="auto"/>
              </w:rPr>
              <w:t>32,632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Cerveza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10,708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13,426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line="217" w:lineRule="exact"/>
              <w:rPr>
                <w:sz w:val="20"/>
                <w:szCs w:val="20"/>
                <w:color w:val="auto"/>
              </w:rPr>
            </w:pPr>
            <w:r>
              <w:rPr>
                <w:rFonts w:ascii="Arial" w:cs="Arial" w:eastAsia="Arial" w:hAnsi="Arial"/>
                <w:sz w:val="18"/>
                <w:szCs w:val="18"/>
                <w:color w:val="auto"/>
              </w:rPr>
              <w:t>FEMSA Comercio</w:t>
            </w:r>
            <w:r>
              <w:rPr>
                <w:rFonts w:ascii="Arial" w:cs="Arial" w:eastAsia="Arial" w:hAnsi="Arial"/>
                <w:sz w:val="22"/>
                <w:szCs w:val="22"/>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11,336</w:t>
            </w:r>
          </w:p>
        </w:tc>
        <w:tc>
          <w:tcPr>
            <w:tcW w:w="620" w:type="dxa"/>
            <w:vAlign w:val="bottom"/>
          </w:tcPr>
          <w:p>
            <w:pPr>
              <w:jc w:val="right"/>
              <w:spacing w:after="0"/>
              <w:rPr>
                <w:sz w:val="20"/>
                <w:szCs w:val="20"/>
                <w:color w:val="auto"/>
              </w:rPr>
            </w:pPr>
            <w:r>
              <w:rPr>
                <w:rFonts w:ascii="Arial" w:cs="Arial" w:eastAsia="Arial" w:hAnsi="Arial"/>
                <w:sz w:val="18"/>
                <w:szCs w:val="18"/>
                <w:color w:val="auto"/>
              </w:rPr>
              <w:t>15,824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4,072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7,380</w:t>
            </w:r>
          </w:p>
        </w:tc>
        <w:tc>
          <w:tcPr>
            <w:tcW w:w="680" w:type="dxa"/>
            <w:vAlign w:val="bottom"/>
          </w:tcPr>
          <w:p>
            <w:pPr>
              <w:jc w:val="right"/>
              <w:spacing w:after="0"/>
              <w:rPr>
                <w:sz w:val="20"/>
                <w:szCs w:val="20"/>
                <w:color w:val="auto"/>
              </w:rPr>
            </w:pPr>
            <w:r>
              <w:rPr>
                <w:rFonts w:ascii="Arial" w:cs="Arial" w:eastAsia="Arial" w:hAnsi="Arial"/>
                <w:sz w:val="18"/>
                <w:szCs w:val="18"/>
                <w:color w:val="auto"/>
              </w:rPr>
              <w:t>3,863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53,557</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51,463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105,020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51,171</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46,599</w:t>
            </w:r>
          </w:p>
        </w:tc>
        <w:tc>
          <w:tcPr>
            <w:tcW w:w="680" w:type="dxa"/>
            <w:vAlign w:val="bottom"/>
          </w:tcPr>
          <w:p>
            <w:pPr>
              <w:jc w:val="right"/>
              <w:spacing w:after="0"/>
              <w:rPr>
                <w:sz w:val="20"/>
                <w:szCs w:val="20"/>
                <w:color w:val="auto"/>
              </w:rPr>
            </w:pPr>
            <w:r>
              <w:rPr>
                <w:rFonts w:ascii="Arial" w:cs="Arial" w:eastAsia="Arial" w:hAnsi="Arial"/>
                <w:sz w:val="18"/>
                <w:szCs w:val="18"/>
                <w:color w:val="auto"/>
              </w:rPr>
              <w:t>50,203</w:t>
            </w:r>
          </w:p>
        </w:tc>
        <w:tc>
          <w:tcPr>
            <w:tcW w:w="1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40,528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680" w:hanging="452"/>
        <w:spacing w:after="0" w:line="27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employees of third party distributors who we do not consider to be our employees of 16,089</w:t>
      </w:r>
      <w:r>
        <w:rPr>
          <w:rFonts w:ascii="Arial" w:cs="Arial" w:eastAsia="Arial" w:hAnsi="Arial"/>
          <w:sz w:val="18"/>
          <w:szCs w:val="18"/>
          <w:b w:val="1"/>
          <w:bCs w:val="1"/>
          <w:color w:val="auto"/>
        </w:rPr>
        <w:t>,</w:t>
      </w:r>
      <w:r>
        <w:rPr>
          <w:rFonts w:ascii="Arial" w:cs="Arial" w:eastAsia="Arial" w:hAnsi="Arial"/>
          <w:sz w:val="18"/>
          <w:szCs w:val="18"/>
          <w:color w:val="auto"/>
        </w:rPr>
        <w:t xml:space="preserve"> 16,745 and 16,421 in 2007, 2006, and 2005, respectively.</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Does not include non-management store employees, who are employed directly by each individual store.</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2007, our subsidiaries had entered into 420 collective bargaining or similar agreements with personnel employed at our operations. Each of the labor unions in Mexico is associated with one of 10 different national Mexican labor organizations. In general, we have a good relationship with the labor unions throughout our operations, except for in Colombia and Venezuela, which are the subject of significant labor-related litigation. See “Item 8. Financial Information—Legal Proceedings—Coca-Cola FEMSA.” The agreements applicable to our Mexican operations generally have an indefinite term and provide for an annual salary review and for review of other terms and conditions, such as fringe benefits, every two years.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number of collective bargaining agreements and unions for our employees: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Collective Bargaining Labor Agreements 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Sub-holding Companies and Unions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Collective</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Bargaining</w:t>
            </w:r>
          </w:p>
        </w:tc>
        <w:tc>
          <w:tcPr>
            <w:tcW w:w="540" w:type="dxa"/>
            <w:vAlign w:val="bottom"/>
          </w:tcPr>
          <w:p>
            <w:pPr>
              <w:spacing w:after="0"/>
              <w:rPr>
                <w:sz w:val="12"/>
                <w:szCs w:val="12"/>
                <w:color w:val="auto"/>
              </w:rPr>
            </w:pPr>
          </w:p>
        </w:tc>
        <w:tc>
          <w:tcPr>
            <w:tcW w:w="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Labor</w:t>
            </w:r>
          </w:p>
        </w:tc>
      </w:tr>
      <w:tr>
        <w:trPr>
          <w:trHeight w:val="161"/>
        </w:trPr>
        <w:tc>
          <w:tcPr>
            <w:tcW w:w="9780" w:type="dxa"/>
            <w:vAlign w:val="bottom"/>
            <w:gridSpan w:val="3"/>
          </w:tcPr>
          <w:p>
            <w:pPr>
              <w:spacing w:after="0"/>
              <w:rPr>
                <w:sz w:val="20"/>
                <w:szCs w:val="20"/>
                <w:color w:val="auto"/>
              </w:rPr>
            </w:pPr>
            <w:r>
              <w:rPr>
                <w:rFonts w:ascii="Arial" w:cs="Arial" w:eastAsia="Arial" w:hAnsi="Arial"/>
                <w:sz w:val="14"/>
                <w:szCs w:val="14"/>
                <w:b w:val="1"/>
                <w:bCs w:val="1"/>
                <w:color w:val="auto"/>
              </w:rPr>
              <w:t>Sub-holding Company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Agreements</w:t>
            </w:r>
          </w:p>
        </w:tc>
        <w:tc>
          <w:tcPr>
            <w:tcW w:w="54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8"/>
              </w:rPr>
              <w:t>Unions</w:t>
            </w:r>
          </w:p>
        </w:tc>
      </w:tr>
      <w:tr>
        <w:trPr>
          <w:trHeight w:val="210"/>
        </w:trPr>
        <w:tc>
          <w:tcPr>
            <w:tcW w:w="2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Coca-Cola FEMSA</w:t>
            </w:r>
          </w:p>
        </w:tc>
        <w:tc>
          <w:tcPr>
            <w:tcW w:w="83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FEMSA Comercio</w:t>
            </w:r>
            <w:r>
              <w:rPr>
                <w:rFonts w:ascii="Arial" w:cs="Arial" w:eastAsia="Arial" w:hAnsi="Arial"/>
                <w:sz w:val="22"/>
                <w:szCs w:val="22"/>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580" w:right="3600" w:hanging="5572"/>
        <w:spacing w:after="0" w:line="440" w:lineRule="auto"/>
        <w:tabs>
          <w:tab w:leader="none" w:pos="4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Does not include non-management store employees, who are employed directly by each individual store. 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Shareholders</w:t>
      </w:r>
    </w:p>
    <w:p>
      <w:pPr>
        <w:spacing w:after="0" w:line="96"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The following table identifies each owner of more than 5% of any class of our shares known to the company as of May 30, 2008. Except as described below, we are not aware of any holder of more than 5% of any class of our shares. Only the Series B Shares have full voting rights under our bylaws.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Capital Stock as of May 30,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tcPr>
          <w:p>
            <w:pPr>
              <w:spacing w:after="0"/>
              <w:rPr>
                <w:sz w:val="21"/>
                <w:szCs w:val="21"/>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Series B Shares</w:t>
            </w:r>
            <w:r>
              <w:rPr>
                <w:rFonts w:ascii="Arial" w:cs="Arial" w:eastAsia="Arial" w:hAnsi="Arial"/>
                <w:sz w:val="22"/>
                <w:szCs w:val="22"/>
                <w:b w:val="1"/>
                <w:bCs w:val="1"/>
                <w:color w:val="auto"/>
                <w:vertAlign w:val="superscript"/>
              </w:rPr>
              <w:t>(1)</w:t>
            </w: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9"/>
              </w:rPr>
              <w:t>Series D-B Shares</w:t>
            </w:r>
            <w:r>
              <w:rPr>
                <w:rFonts w:ascii="Arial" w:cs="Arial" w:eastAsia="Arial" w:hAnsi="Arial"/>
                <w:sz w:val="22"/>
                <w:szCs w:val="22"/>
                <w:b w:val="1"/>
                <w:bCs w:val="1"/>
                <w:color w:val="auto"/>
                <w:w w:val="99"/>
                <w:vertAlign w:val="superscript"/>
              </w:rPr>
              <w:t>(2)</w:t>
            </w: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Series D-L Shares</w:t>
            </w:r>
            <w:r>
              <w:rPr>
                <w:rFonts w:ascii="Arial" w:cs="Arial" w:eastAsia="Arial" w:hAnsi="Arial"/>
                <w:sz w:val="22"/>
                <w:szCs w:val="22"/>
                <w:b w:val="1"/>
                <w:bCs w:val="1"/>
                <w:color w:val="auto"/>
                <w:vertAlign w:val="superscript"/>
              </w:rPr>
              <w:t>(3)</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Total Shares</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gridSpan w:val="2"/>
            <w:vMerge w:val="restart"/>
          </w:tcPr>
          <w:p>
            <w:pPr>
              <w:jc w:val="center"/>
              <w:ind w:right="140"/>
              <w:spacing w:after="0" w:line="95" w:lineRule="exact"/>
              <w:rPr>
                <w:sz w:val="20"/>
                <w:szCs w:val="20"/>
                <w:color w:val="auto"/>
              </w:rPr>
            </w:pPr>
            <w:r>
              <w:rPr>
                <w:rFonts w:ascii="Arial" w:cs="Arial" w:eastAsia="Arial" w:hAnsi="Arial"/>
                <w:sz w:val="11"/>
                <w:szCs w:val="11"/>
                <w:b w:val="1"/>
                <w:bCs w:val="1"/>
                <w:color w:val="auto"/>
              </w:rPr>
              <w:t>of FEMSA</w:t>
            </w:r>
          </w:p>
        </w:tc>
        <w:tc>
          <w:tcPr>
            <w:tcW w:w="0" w:type="dxa"/>
            <w:vAlign w:val="bottom"/>
          </w:tcPr>
          <w:p>
            <w:pPr>
              <w:spacing w:after="0"/>
              <w:rPr>
                <w:sz w:val="1"/>
                <w:szCs w:val="1"/>
                <w:color w:val="auto"/>
              </w:rPr>
            </w:pPr>
          </w:p>
        </w:tc>
      </w:tr>
      <w:tr>
        <w:trPr>
          <w:trHeight w:val="48"/>
        </w:trPr>
        <w:tc>
          <w:tcPr>
            <w:tcW w:w="4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Percent</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Percent</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Percent</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Shares Owned</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of Class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4"/>
              </w:rPr>
              <w:t>Shares Owned</w:t>
            </w:r>
          </w:p>
        </w:tc>
        <w:tc>
          <w:tcPr>
            <w:tcW w:w="3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of Class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4"/>
              </w:rPr>
              <w:t>Shares Owned</w:t>
            </w:r>
          </w:p>
        </w:tc>
        <w:tc>
          <w:tcPr>
            <w:tcW w:w="3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of Class</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w:t>
            </w: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8"/>
                <w:szCs w:val="18"/>
                <w:color w:val="auto"/>
                <w:w w:val="95"/>
              </w:rPr>
              <w:t>Technical Committee and Trust Participants under the</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4140" w:type="dxa"/>
            <w:vAlign w:val="bottom"/>
          </w:tcPr>
          <w:p>
            <w:pPr>
              <w:ind w:left="220"/>
              <w:spacing w:after="0"/>
              <w:rPr>
                <w:sz w:val="20"/>
                <w:szCs w:val="20"/>
                <w:color w:val="auto"/>
              </w:rPr>
            </w:pPr>
            <w:r>
              <w:rPr>
                <w:rFonts w:ascii="Arial" w:cs="Arial" w:eastAsia="Arial" w:hAnsi="Arial"/>
                <w:sz w:val="18"/>
                <w:szCs w:val="18"/>
                <w:color w:val="auto"/>
              </w:rPr>
              <w:t>Voting Trust</w:t>
            </w:r>
            <w:r>
              <w:rPr>
                <w:rFonts w:ascii="Arial" w:cs="Arial" w:eastAsia="Arial" w:hAnsi="Arial"/>
                <w:sz w:val="22"/>
                <w:szCs w:val="22"/>
                <w:color w:val="auto"/>
                <w:vertAlign w:val="superscript"/>
              </w:rPr>
              <w:t>(4)</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6,914,592,885</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74.78%</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of May 30, 2008, there were 9,246,420,270 Series B Shares outstanding.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of May 30, 2008, there were 4,322,355,540 Series D-B Shares outstanding.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of May 30, 2008, there were 4,322,355,540 Series D-L Shares outstanding.</w:t>
      </w:r>
    </w:p>
    <w:p>
      <w:pPr>
        <w:spacing w:after="0" w:line="90"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 a consequence of the voting trust’s internal procedures, the following trust participants are deemed to have beneficial ownership with shared voting power over those same deposited shares: BBVA Bancomer Servicios, S.A., as Trustee under Trust No. F/25078-7 (controlled by Max Michel Suberville), the estate of Eugenio Garza Lagüera, Paulina Garza Lagüera Gonda, Bárbara Garza de Braniff, Mariana Garza Lagüera Gonda, Eva Gonda Rivera, Eva Maria Garza Lagüera Gonda, Consuelo Garza Lagüera de Garza, Alfonso Garza Garza, Patricio Garza Garza, Juan Carlos Garza Garza, Eduardo Garza Garza, Eugenio Garza Garza, Alberto Bailleres González, Maria Teresa Gual Aspe de Bailleres, Inversiones Bursátiles Industriales, S.A. de C.V. (controlled by the estate of Eugenio Garza Lagüera), Corbal, S.A. de C.V. (controlled by Alberto Bailleres Gonzalez), Magdalena Michel de David, Alepage, S.A. (controlled by Consuelo Garza Lagüera de Garza), BBVA Bancomer Servicios, S.A. as Trustee under Trust No. F/29013-0 (controlled by the estate of José Calderón Ayala, late father of José Calderón Rojas), Max Michel Suberville, Max David Michel, Juan David Michel, Monique David de VanLathem, Renee Michel de Guichard, Magdalena Guichard Michel, Rene Guichard Michel, Miguel Guichard Michel, Graciano Guichard Michel, Juan Guichard Michel, Franca Servicios, S.A. de C.V. (controlled by the estate of José Calderón Ayala, late father of José Calderón Rojas), BBVA Bancomer Servicios, S.A., as Trustee under Trust No. F/29490-0 (controlled by Alberto, Susana and Cecilia Bailleres), BBVA Bancomer Servicios, S.A., as Trustee under Trust No. F/710004 (controlled by Magdalena Michel de David) and BBVA Bancomer Servicios, S.A., as Trustee under Trust No. F/700005 (controlled by Renee Michel de Guichard).</w:t>
      </w:r>
    </w:p>
    <w:p>
      <w:pPr>
        <w:spacing w:after="0" w:line="12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May 30, 2008, there were 296 holders of record of ADSs in the United States, which represented approximately 69.9%% of our outstanding BD Units. Since a substantial number of ADSs are held in the name of nominees of the beneficial owners, including the nominee of The Depository Trust Company, the number of beneficial owners of ADSs is substantially greater than the number of record holders of these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Trust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trust participants, who are our principal shareholders, agreed in April 1998 to deposit a majority of their shares, which we refer to as the trust assets, of FEMSA into the voting trust, and later entered into an amended agreement on August 8, 2005, following the substitution of Banco Invex, S.A. as trustee to the voting trust. The primary purpose of the voting trust is to permit the trust assets to be voted as a block, in accordance with the instructions of the technical committee. The trust participants are separated into seven trust groups and the technical committee is comprised of one representative appointed by each trust group. The number of B Units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corresponding with each trust group (the proportional share of the shares deposited in the trust of such group) determines the number of votes that each trust representative has on the technical committee. Most matters are decided by a simple majority of the trust assets.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 participants agreed to certain transfer restrictions with respect to the trust assets. The trust is irrevocable, for a term that will conclude on May 31, 2013 (subject to additional five-year renewal terms), during which time, trust assets may be transferred by trust participants to spouses and immediate family members and, subject to certain conditions, to companies that are 100% owned by trust participants, which we refer to as the permitted transferees, provided in all cases that the transferee agrees to be bound by the terms of the voting trust. In the event that a trust participant wishes to sell part of its trust assets to someone other than a permitted transferee, the other trust participants have a right of first refusal to purchase the trust assets that the trust participant wishes to sell. If none of the trust participants elects to acquire the trust assets from the selling trust participant, the technical committee will have a right to nominate (subject to the approval of technical committee members representing 75% of the trust assets, excluding trust assets that are the subject of the sale) a purchaser for such trust assets. In the event that none of the trust participants or a nominated purchaser elects to acquire trust assets, the selling trust participant will have the right to sell the trust assets to a third party on the same terms and conditions that were offered to the trust participants. Acquirors of trust assets will only be permitted to become parties to the voting trust upon the affirmative vote by the technical committee of at least 75% of the trust shares, which must include trust shares represented by at least three trust group representatives. In the event that a trust participant holding a majority of the trust assets elects to sell its trust assets, the other trust participants have “tag along” rights that will enable them to sell their trust assets to the acquiror of the selling trust participant’s trust assets.</w:t>
      </w:r>
    </w:p>
    <w:p>
      <w:pPr>
        <w:spacing w:after="0" w:line="12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Because of their ownership of a majority of the Series B Shares, the trust participants may be deemed to control our company. Other than as a result of their ownership of the Series B Shares, the trust participants do not have any voting rights that are different from those of other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of Management in Certain Transactions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is a summary of transactions we have entered into with entities for which members of our board of directors or management serve as a member of the board of directors or management. Each of these transactions was entered into in the ordinary course of business, and we believe each is on terms comparable to those that could be obtained in arm’s length negotiations with unaffiliated third parties. Under our by-laws, transactions entered with related parties not in the ordinary course of business are subject to the approval of our board of directors, subject to the prior opinion of the audit committee.</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along with certain of our subsidiaries, regularly engage in financing and insurance coverage transactions, including entering into loans, bond offerings in the local capital markets and credit line facilities, with subsidiaries of BBVA Bancomer, a financial services holding company of which José Antonio Fernández Carbajal, our Chairman and Chief Executive Officer, Alberto Bailleres and Ricardo Guajardo Touché, who is also a director of FEMSA, are directors. We made interest expense payments to BBVA Bancomer in respect of these transactions of Ps. 305 million, Ps. 257 million and Ps. 253 million as of the end of December 31, 2007, 2006 and 2005, respectively. The total amount due to BBVA Bancomer as of the end of December 31, 2007 and 2006 were Ps. 1,712 million and Ps. 1,776 million, respectively.</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maintain an insurance policy covering auto insurance and medical expenses for executives issued by Grupo Nacional Provincial, S.A., an insurance company of which the chairman of the board and chief executive officer is Alberto Bailleres, one of our directors. The aggregate amount of premiums paid under these policies was approximately Ps. 31 million, Ps. 41 million and Ps. 54 million in 2007, 2006 and 2005, respectively.</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FEMSA Comercio in its ordinary course of business, purchased Ps. 1,324 million, Ps. 1,034 million and Ps. 950 million in 2007, 2006 and 2005, respectively, in baked goods and snacks for its stores from subsidiaries of Grupo Bimbo S.A.B. de C.V., of which the chairman of the board is Roberto Servitje, a director of FEMSA. Additionally, FEMSA Comercio purchased Ps. 1,064 million, Ps. 775 million and Ps. 628 million in 2007, 2006 and 2005, respectively, in cigarettes from British American Tobacco Mexico (BAT Mexico), of which Alfredo Livas Cantú, who is member of the board of directors of FEMSA, is also a member of the board of directors of BAT Mexico. These purchases were entered into in the ordinary course of business, and we believe they were made on terms comparable to those that could be obtained in arm’s length negotiations with unaffiliated third parties.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José Antonio Fernández Carbajal, Ricardo Guajardo Touché and Lorenzo H. Zambrano, who are directors of FEMSA, and Eva Garza de Fernández, who is an alternate director of FEMSA, are also members of the board of directors of ITESM, which is a prestigious university in Monterrey, Mexico that routinely receives donations from FEMSA and its subsidiaries.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Transactions between Coca-Cola FEMSA and The Coca-Cola Company</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Coca-Cola FEMSA regularly engages in transactions with The Coca-Cola Company and its affiliates. Coca-Cola FEMSA purchases all of its concentrate requirements for Coca-Cola trademark beverages from The Coca-Cola Company. Total payments by Coca-Cola FEMSA to The Coca-Cola Company for concentrates were approximately Ps. 12,239 million, Ps. 10,322 million and Ps. 9,112 million in 2007, 2006 and 2005, respectively. Coca-Cola FEMSA and The Coca-Cola Company pay and reimburse each other for marketing expenditures. The Coca-Cola Company also contributes to Coca-Cola FEMSA’s refrigeration equipment investment program. Coca-Cola FEMSA received contributions to its marketing expenses, which include its refrigeration equipment investment program, of Ps. 1,582 million, Ps. 1,261 million and Ps. 1,098 million in 2007, 2006 and 2005, respectively.</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December 2007 and May 2008, Coca-Cola FEMSA sold certain of its proprietary brands to The Coca-Cola Company. These trademarks are now being licensed to Coca-Cola FEMSA by The Coca-Cola Company.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Argentina, Coca-Cola FEMSA purchases a portion of its plastic ingot requirements for producing plastic bottles and all of its returnable bottle requirements from Embotelladora del Atlántico S.A., a local subsidiary of Embotelladora Andina, S.A., a Coca-Cola bottler with operations in Argentina, Chile and Brazil in which The Coca-Cola Company has a substantial interest.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acquisition of Panamco, subsidiaries of The Coca-Cola Company made specified undertakings to support and facilitate the Panamco acquisition for the benefit of Coca-Cola FEMSA. In consideration for these undertakings, Coca-Cola FEMSA made certain undertakings for the benefit of The Coca-Cola Company and its subsidiaries, including indemnity obligations with respect to specified matters relating to the accuracy of disclosure and the compliance with applicable law by Coca-Cola FEMSA’s board of directors and the board of directors of Panamco and undertakings to take specified actions and refrain from specified others to facilitate the ability of The Coca-Cola Company to receive favorable tax treatment in connection with its participation in the acquisition. In connection with the execution of the acquisition agreement for Panamco, The Coca-Cola Company and FEMSA memorialized their understandings relating to specified operational and business issues that may affect Coca-Cola FEMSA following completion of the acquisition. A summary of these understandings is set forth under “Item 10. Additional Information—Material Contracts—The Coca-Cola Memorandum.”</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November 8, 2007, Administración S.A.P.I. de C.V., a Mexican company jointly owned by Coca-Cola FEMSA and The Coca-Cola Company, acquired 58,350,908 shares, representing 100% of the shares of capital stock of Jugos del Valle, for US$ 370 million (Ps. 4,020 million), paid in cash, assuming liabilities of US$ 86 million (Ps. 934 million).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F-56,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discussion of our dividend policy, see “Item 3. Key Information—Dividends” and “Item 10. Additional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party to various legal proceedings in the ordinary course of business. Other than as disclosed in this annual report, we are not currently involved in any litigation or arbitration proceeding, including any proceeding that is pending or threatened of which we are aware, which we believe will have, or has had, a material adverse effect on our company. Other legal proceedings that are pending against or involve us and our subsidiaries are incidental to the conduct of our and their business. We believe that the ultimate disposition of such other proceedings individually or on an aggregate basis will not have a material adverse effect on our consolidated financial condition or results of operations.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During 2000, the </w:t>
      </w:r>
      <w:r>
        <w:rPr>
          <w:rFonts w:ascii="Arial" w:cs="Arial" w:eastAsia="Arial" w:hAnsi="Arial"/>
          <w:sz w:val="16"/>
          <w:szCs w:val="16"/>
          <w:i w:val="1"/>
          <w:iCs w:val="1"/>
          <w:color w:val="auto"/>
        </w:rPr>
        <w:t>Comisión Federal de Competencia</w:t>
      </w:r>
      <w:r>
        <w:rPr>
          <w:rFonts w:ascii="Arial" w:cs="Arial" w:eastAsia="Arial" w:hAnsi="Arial"/>
          <w:sz w:val="16"/>
          <w:szCs w:val="16"/>
          <w:color w:val="auto"/>
        </w:rPr>
        <w:t xml:space="preserve"> in Mexico (the Mexican Antitrust Commission), pursuant to complaints filed by PepsiCo. and certain of its bottlers in Mexico, started an investigation of The Coca-Cola Company and its bottlers. Later in 2002, the Mexican Antitrust Commission determined that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Company’</w:t>
      </w:r>
      <w:r>
        <w:rPr>
          <w:rFonts w:ascii="Arial" w:cs="Arial" w:eastAsia="Arial" w:hAnsi="Arial"/>
          <w:sz w:val="16"/>
          <w:szCs w:val="16"/>
          <w:i w:val="1"/>
          <w:iCs w:val="1"/>
          <w:color w:val="auto"/>
        </w:rPr>
        <w:t>s</w:t>
      </w:r>
      <w:r>
        <w:rPr>
          <w:rFonts w:ascii="Arial" w:cs="Arial" w:eastAsia="Arial" w:hAnsi="Arial"/>
          <w:sz w:val="16"/>
          <w:szCs w:val="16"/>
          <w:color w:val="auto"/>
        </w:rPr>
        <w:t xml:space="preserve"> bottlers engaged in monopolistic practices through exclusivity arrangements with certain retailers. The Mexican Antitrust Commission did not impose any fines, but ordered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Company’s bottlers, including certain of Coca-Cola FEMSA’s Mexican subsidiaries, to abstain from entering into any exclusivity arrangement with retailers that stock soft drink bottles of up to 2.0-liters. Coca-Cola FEMSA, along with other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appealed the resolution rendered in February 2002 by a </w:t>
      </w:r>
      <w:r>
        <w:rPr>
          <w:rFonts w:ascii="Arial" w:cs="Arial" w:eastAsia="Arial" w:hAnsi="Arial"/>
          <w:sz w:val="16"/>
          <w:szCs w:val="16"/>
          <w:i w:val="1"/>
          <w:iCs w:val="1"/>
          <w:color w:val="auto"/>
        </w:rPr>
        <w:t>Recurso de Reconsideración</w:t>
      </w:r>
      <w:r>
        <w:rPr>
          <w:rFonts w:ascii="Arial" w:cs="Arial" w:eastAsia="Arial" w:hAnsi="Arial"/>
          <w:sz w:val="16"/>
          <w:szCs w:val="16"/>
          <w:color w:val="auto"/>
        </w:rPr>
        <w:t xml:space="preserve"> (Review Recourse) that was presented before the Mexican Antitrust Commission. The Mexican Antitrust Commission confirmed its original determination and issued a confirmatory resolution in July 2002. Coca-Cola FEMSA and its Mexican operating subsidiaries appealed this resolution before a Mexican federal court by initiating several </w:t>
      </w:r>
      <w:r>
        <w:rPr>
          <w:rFonts w:ascii="Arial" w:cs="Arial" w:eastAsia="Arial" w:hAnsi="Arial"/>
          <w:sz w:val="16"/>
          <w:szCs w:val="16"/>
          <w:i w:val="1"/>
          <w:iCs w:val="1"/>
          <w:color w:val="auto"/>
        </w:rPr>
        <w:t>juicios de amparo</w:t>
      </w:r>
      <w:r>
        <w:rPr>
          <w:rFonts w:ascii="Arial" w:cs="Arial" w:eastAsia="Arial" w:hAnsi="Arial"/>
          <w:sz w:val="16"/>
          <w:szCs w:val="16"/>
          <w:color w:val="auto"/>
        </w:rPr>
        <w:t xml:space="preserve"> (appeals based on the violation of constitutional rights) and obtained favorable final decisions not subject to appeal. Under these judicial decisions, the resolution was declared null and void and the Mexican Antitrust Commission was ordered to issue a new resolution.</w:t>
      </w:r>
    </w:p>
    <w:p>
      <w:pPr>
        <w:spacing w:after="0" w:line="12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case was inactive until May 2005, when the Mexican Antitrust Commission ordered the reopening of the proceeding. In the proceeding, the Mexican Antitrust Commission determined, as in its first instance resolution, that the Coca-Cola bottlers engaged in monopolistic practices and (1) ordered the immediate suspension of such practices of alleged exclusivity arrangements and (2) imposed a fine of approximately Ps. 10.5 million to each of the six subsidiary companies investigated.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Coca-Cola FEMSA filed an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 challenging this rule in Mexican federal court, and an order was issued in its favor that granted protection against the resolution of the Mexican Antitrust Commission. The Mexican Antitrust Commission and the plaintiffs appealed this order before a </w:t>
      </w:r>
      <w:r>
        <w:rPr>
          <w:rFonts w:ascii="Arial" w:cs="Arial" w:eastAsia="Arial" w:hAnsi="Arial"/>
          <w:sz w:val="16"/>
          <w:szCs w:val="16"/>
          <w:i w:val="1"/>
          <w:iCs w:val="1"/>
          <w:color w:val="auto"/>
        </w:rPr>
        <w:t>Tribunal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Colegiado de Circuito </w:t>
      </w:r>
      <w:r>
        <w:rPr>
          <w:rFonts w:ascii="Arial" w:cs="Arial" w:eastAsia="Arial" w:hAnsi="Arial"/>
          <w:sz w:val="16"/>
          <w:szCs w:val="16"/>
          <w:color w:val="auto"/>
        </w:rPr>
        <w:t>(Mexican Federal Court), which in turn sent the case to the</w:t>
      </w:r>
      <w:r>
        <w:rPr>
          <w:rFonts w:ascii="Arial" w:cs="Arial" w:eastAsia="Arial" w:hAnsi="Arial"/>
          <w:sz w:val="16"/>
          <w:szCs w:val="16"/>
          <w:i w:val="1"/>
          <w:iCs w:val="1"/>
          <w:color w:val="auto"/>
        </w:rPr>
        <w:t xml:space="preserve"> Suprema Corte de Justicia de la Nación </w:t>
      </w:r>
      <w:r>
        <w:rPr>
          <w:rFonts w:ascii="Arial" w:cs="Arial" w:eastAsia="Arial" w:hAnsi="Arial"/>
          <w:sz w:val="16"/>
          <w:szCs w:val="16"/>
          <w:color w:val="auto"/>
        </w:rPr>
        <w:t>(Mexican Supreme Court) to render a</w:t>
      </w:r>
      <w:r>
        <w:rPr>
          <w:rFonts w:ascii="Arial" w:cs="Arial" w:eastAsia="Arial" w:hAnsi="Arial"/>
          <w:sz w:val="16"/>
          <w:szCs w:val="16"/>
          <w:i w:val="1"/>
          <w:iCs w:val="1"/>
          <w:color w:val="auto"/>
        </w:rPr>
        <w:t xml:space="preserve"> </w:t>
      </w:r>
      <w:r>
        <w:rPr>
          <w:rFonts w:ascii="Arial" w:cs="Arial" w:eastAsia="Arial" w:hAnsi="Arial"/>
          <w:sz w:val="16"/>
          <w:szCs w:val="16"/>
          <w:color w:val="auto"/>
        </w:rPr>
        <w:t>final decision on this matter based on constitutional questions. The Mexican Supreme Court rendered a decision and sent the case back to the Mexican Federal Court. In May 2008, a final judgment was issued by the Mexican Federal Court against two of Coca-Cola FEMSA’s subsidiaries imposing a fine of approximately Ps. 10.5 million to each company. Coca-Cola FEMSA is still awaiting the final judgment for the remaining four subsidiaries.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In March 2003, in a separate proceeding, the Mexican Antitrust Commission started an investigation involving The Coca-Cola Company, Coca-Cola FEMSA and certain other Coca-Cola bottlers due to complaints filed by some retailers and Ajemex, S.A. de C.V. (Big Cola). In September 2003, the Mexican Antitrust Commission requested certain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including some of Coca-Cola FEMSA’s Mexican subsidiaries, to provide information. Coca-Cola FEMSA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and a Mexican federal court issued a final ruling stating that the requests for information were unconstitutional. In August 2004, however, as a result of the investigation, the Mexican Antitrust Commission issued several </w:t>
      </w:r>
      <w:r>
        <w:rPr>
          <w:rFonts w:ascii="Arial" w:cs="Arial" w:eastAsia="Arial" w:hAnsi="Arial"/>
          <w:sz w:val="16"/>
          <w:szCs w:val="16"/>
          <w:i w:val="1"/>
          <w:iCs w:val="1"/>
          <w:color w:val="auto"/>
        </w:rPr>
        <w:t>Oficios de Presunta Responsabilidad</w:t>
      </w:r>
      <w:r>
        <w:rPr>
          <w:rFonts w:ascii="Arial" w:cs="Arial" w:eastAsia="Arial" w:hAnsi="Arial"/>
          <w:sz w:val="16"/>
          <w:szCs w:val="16"/>
          <w:color w:val="auto"/>
        </w:rPr>
        <w:t xml:space="preserve"> (Statement of Charges) asserting that Coca-Cola FEMSA and its Mexican operating subsidiaries, as well as other bottlers, engaged in monopolistic practices and requested additional information. Coca-Cola FEMSA replied to the statement of charges by offering certain evidence, including expert witness reports, which were rejected by the Mexican Antitrust Commission.</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The Mexican Antitrust Commission subsequently issued a new order requesting market information. Coca-Cola FEMSA challenged this request in Mexican federal court again through </w:t>
      </w:r>
      <w:r>
        <w:rPr>
          <w:rFonts w:ascii="Arial" w:cs="Arial" w:eastAsia="Arial" w:hAnsi="Arial"/>
          <w:sz w:val="18"/>
          <w:szCs w:val="18"/>
          <w:i w:val="1"/>
          <w:iCs w:val="1"/>
          <w:color w:val="auto"/>
        </w:rPr>
        <w:t>amparo</w:t>
      </w:r>
      <w:r>
        <w:rPr>
          <w:rFonts w:ascii="Arial" w:cs="Arial" w:eastAsia="Arial" w:hAnsi="Arial"/>
          <w:sz w:val="18"/>
          <w:szCs w:val="18"/>
          <w:color w:val="auto"/>
        </w:rPr>
        <w:t xml:space="preserve"> proceedings. The Mexican Antitrust Commission initiated a period for the offering of pleadings during which Coca-Cola FEMSA filed the relevant pleadings. The Mexican Antitrust Commission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issued a resolution, whereby it was determined that certain of Coca-Cola FEMSA’s Mexican subsidiaries engaged in anticompetitive practices and (1) ordered the immediate suspension of such practices of alleged exclusivity arrangements conditioned dealing and (2) imposed a fine of approximately Ps. 10.5 million to each of the six Coca-Cola FEMSA subsidiary companies investigated.</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investigated companies filed an appeal before the Mexican Antritrust Commission, which affirmed its prior resolution. Coca-Cola FEMSA filed an amparo proceeding challenging this ruling and the court issued a judgment against Coca-Cola FEMSA. Coca-Cola FEMSA appealed this order before a Mexican federal court, which in turn sent the case to the Mexican Supreme Court to render a final decision on this matter based on constitutional questions. The Mexican Supreme Court rendered a decision and sent the case back to the Mexican Federal Court. In June 2008, Coca-Cola FEMSA was informed that a final judgment was issued against the six Coca-Cola FEMSA subsidiary companies. Coca-Cola FEMSA has not yet received the text of the resolution.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America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 in Costa Rica</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During August 2001, the </w:t>
      </w:r>
      <w:r>
        <w:rPr>
          <w:rFonts w:ascii="Arial" w:cs="Arial" w:eastAsia="Arial" w:hAnsi="Arial"/>
          <w:sz w:val="16"/>
          <w:szCs w:val="16"/>
          <w:i w:val="1"/>
          <w:iCs w:val="1"/>
          <w:color w:val="auto"/>
        </w:rPr>
        <w:t>Comisión para Promover la Competencia</w:t>
      </w:r>
      <w:r>
        <w:rPr>
          <w:rFonts w:ascii="Arial" w:cs="Arial" w:eastAsia="Arial" w:hAnsi="Arial"/>
          <w:sz w:val="16"/>
          <w:szCs w:val="16"/>
          <w:color w:val="auto"/>
        </w:rPr>
        <w:t xml:space="preserve"> in Costa Rica (Costa Rican Antitrust Commission), pursuant to a complaint filed by PepsiCo. and its bottler in Costa Rica, initiated an investigation of the sales practices of The Coca-Cola Company and Coca-Cola FEMSA’s Costa Rican subsidiary for alleged monopolistic practices in retail distribution, including sales exclusivity arrangements. A ruling from the Costa Rican Antitrust Commission was issued in July 2004, which found the company engaged in monopolistic practices with respect to exclusivity arrangements, pricing and the sharing of refrigeration equipment under certain limited circumstances and imposed a US$ 130,000 fine. Coca-Cola FEMSA’s appeal of the Costa Rican Antitrust Commission’s ruling was dismissed. Coca-Cola FEMSA has filed judicial proceedings challenging the ruling of the Costa Rican Antitrust Commission and the process is still pending in court. We do not believe that this matter will have a material adverse effect on its financial condition or results of operations.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November, 2004, </w:t>
      </w:r>
      <w:r>
        <w:rPr>
          <w:rFonts w:ascii="Arial" w:cs="Arial" w:eastAsia="Arial" w:hAnsi="Arial"/>
          <w:sz w:val="18"/>
          <w:szCs w:val="18"/>
          <w:i w:val="1"/>
          <w:iCs w:val="1"/>
          <w:color w:val="auto"/>
        </w:rPr>
        <w:t>Ajecen del Sur S.A.</w:t>
      </w:r>
      <w:r>
        <w:rPr>
          <w:rFonts w:ascii="Arial" w:cs="Arial" w:eastAsia="Arial" w:hAnsi="Arial"/>
          <w:sz w:val="18"/>
          <w:szCs w:val="18"/>
          <w:color w:val="auto"/>
        </w:rPr>
        <w:t>, the bottler of Big Cola in Costa Rica, filed a complaint before the Costa Rican Antitrust Commission related to monopolistic practices in retail distribution and exclusivity agreements against The Coca-Cola Company and Coca-Cola FEMSA’s Costa Rican subsidiary. The Costa Rican Antitrust Commission has decided to pursue an investigation. The period for gathering of evidence ended in August 2006, and the final arguments have been filed. Coca-Cola FEMSA is waiting for the final resolution to be issued by the Costa Rican Antitrust Commission, which has been delayed since one of the judges has been changed.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Colombia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July 2001, a labor union and several individuals from the Republic of Colombia filed a lawsuit in the U.S. District Court for the Southern District of Florida against certain of Coca-Cola FEMSA’s subsidiaries. In the complaint, the plaintiffs alleged that the subsidiaries of the company acquired in the Panamco acquisition engaged in wrongful acts against the labor union and its members in Colombia, including kidnapping, torture, death threats and intimidation. The complaint alleges claims under the U.S. Alien Tort Claims Act, Torture Victim Protection Act, Racketeer Influenced and Corrupt Organizations Act and state tort law and seeks injunctive and declaratory relief and damages of more than US$ 500 million, including treble and punitive damages and the cost of the suit, including attorney fees. Coca-Cola FEMSA filed a motion to dismiss the complaint on jurisdictional grounds. The court also granted the motion to dismiss with respect to all of the claims in the lawsuit. Plaintiffs initially filed a motion of appeal and subsequently moved to stay the appellate proceedings. We believe this lawsuit is without merit and intends to defend itself in this matter.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Matters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1999, certain of Coca-Cola FEMSA’s Venezuelan subsidiaries received notice of certain tax claims asserted by the Venezuelan tax authorities. These subsidiaries have taken the appropriate recourse against these claims at the administrative level as well as before the courts in Venezuela. The claims currently total approximately US$ 15.6 million. The company has certain rights to indemnification from Venbottling Holding, Inc., a former shareholder of Panamco and The Coca-Cola Company, for a substantial portion of the claims. Coca-Cola FEMSA does not believe that the ultimate disposition of these cases will have a material adverse effect on its financial condition or results of operations.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and Distribution Matters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Since 2001, Coca-Cola FEMSA’s Venezuelan subsidiaries have been the subject of more than 400 claims and lawsuits by former independent distributors claiming alleged labor and severance rights owed to them at the time of the termination of their relationship with Coca-Cola FEMSA. In August 2007, Coca-Cola FEMSA’s Venezuelan subsidiary was able to settle the majority of claims through a special mediation process guided by the Venezuelan Supreme Court. After the settlement of these claims, the Supreme Court invited Coca-Cola FEMSA’s Venezuelan subsidiary to participate in a new mediation and negotiation process to discuss severance claims for which the statute of limitations had expired. Coca-Cola FEMSA has voluntarily agreed to participate in this process and discussions are ongoing.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Several claims have been filed against Coca-Cola FEMSA by private parties, which are currently pending before the Brazilian Ministry of Law and Economics that allege anticompetitive practices by Coca-Cola FEMSA’s Brazilian subsidiaries. The plaintiffs are Ragi (Dolly), a Brazilian producer of “B Brands,” and PepsiCo. Under Brazilian law, each of these claims could result in substantial monetary fines and other penalties. We believe each of the claims is without merit, and it intends to defend itself in these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June 2003, the Mexican Antitrust Commission disclosed its intention to launch an investigation into the alleged beer industry practice of tied-customer arrangements. FEMSA Cerveza was among the brewers that received a request for information from the Mexican Antitrust Commission and responded by filing several amparo proceedings challenging the legality of the Commission’s actions. Thus far, the Mexican federal courts have ruled on all of these proceedings, finding no proper support or validity with respect to the Mexican Antitrust Commission’s request. As of the date of this annual report, the Mexican Antitrust Commission has not formally closed its investigation nor charged FEMSA Cerveza with any illegal behavior. In June 2008, the prescription period for the action by the Antitrust Commission will expire. However, FEMSA Cerveza cannot give any assurances that any action taken as a result of this investigation will not negatively affect FEMSA Cerveza’s operations in the future.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August 2004, the Mexican Antitrust Commission disclosed that it was launching an investigation into beer industry practices with respect to exclusivity arrangements within the beer industry, and we and FEMSA Cerveza were among the companies that received requests for information in September 2004 from the Mexican Antitrust Commission. In October 2004, we and FEMSA Cerveza filed amparo proceedings before the appropriate Mexican federal district courts to challenge the grounds of the Mexican Antitrust Commission’s investigation and the requests for information. Concluding that we and FEMSA Cerveza unjustifiably failed to provide the information and documents requested by the Mexican Antitrust Commission, the Antitrust Commission imposed minor monetary fines on both us and FEMSA Cerveza, who challenged the corresponding resolutions.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In October 2005, as a result of its investigation, the Mexican Antitrust Commission issued an Oficio de Presunta Responsabilidad (Statement of Charges) asserting that FEMSA and FEMSA Cerveza had engaged in alleged monopolistic practices. FEMSA and FEMSA Cerveza filed a rebuttal to such statement of charges and the proceedings are ongoing. In June 2007, the Antitrust Commission closed its investigation and found in favor of FEMSA and FEMSA Cerveza.</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series of capital stock, each with no par value:</w:t>
      </w:r>
    </w:p>
    <w:p>
      <w:pPr>
        <w:spacing w:after="0" w:line="9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Series B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Series D-B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Series D-L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Series B Shares have full voting rights, and Series D-B and D-L Shares have limited voting rights. The shares of our company are not separable and may be transferred only in the following forms:</w:t>
      </w:r>
    </w:p>
    <w:p>
      <w:pPr>
        <w:spacing w:after="0" w:line="5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 Units, consisting of five Series B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BD Units, consisting of one Series B Share, two Series D-B Shares and two Series D-L Shares.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our annual general ordinary shareholders’ meeting held on March 29, 2007, our shareholders approved a three-for-one stock split in respect all of our outstanding capital stock. Following the stock split, our total capital stock consists of 2,161,177,770 BD Units and 1,417,048,500 B Units. Our stock split also resulted in a three-for-one stock split our American Depositary Shares. The stock-split was conduced on a pro-rata basis in respect of all holders of our shares and all ADSs holders of record as of May 25, 2007, and the ratio of voting and non-voting shares was maintained, thereby preserving our ownership structure as it was prior to the stock-split.</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On April 22, 2008, FEMSA shareholders approved a proposal to amend our bylaws in order to preserve the unit structure for our shares that has been in place since May 1998, and to maintain our existing share structure beyond May 11, 2008, absent further shareholder action.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Previously, our bylaws provided that on May 11, 2008, each Series D-B Share would automatically convert into one Series B Share with full voting rights, and each Series D-L Share would automatically convert into one Series L Share with limited voting rights. At that time:</w:t>
      </w:r>
    </w:p>
    <w:p>
      <w:pPr>
        <w:spacing w:after="0" w:line="5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BD Units and the B Units would cease to exist and the underlying Series B Shares and Series L Shares would be separate; and</w:t>
      </w:r>
    </w:p>
    <w:p>
      <w:pPr>
        <w:spacing w:after="0" w:line="90" w:lineRule="exact"/>
        <w:rPr>
          <w:rFonts w:ascii="Arial" w:cs="Arial" w:eastAsia="Arial" w:hAnsi="Arial"/>
          <w:sz w:val="18"/>
          <w:szCs w:val="18"/>
          <w:color w:val="auto"/>
        </w:rPr>
      </w:pPr>
    </w:p>
    <w:p>
      <w:pPr>
        <w:ind w:left="900" w:right="280" w:hanging="446"/>
        <w:spacing w:after="0" w:line="370"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Series B Shares and Series L Shares would be entitled to share equally in any dividend, and the dividend preferences of the Series D-B Shares and Series D-L Shares of 125% of any amount distributed in respect of each Series B Share existing prior to May 11, 2008 would be terminated.</w:t>
      </w:r>
    </w:p>
    <w:p>
      <w:pPr>
        <w:spacing w:after="0" w:line="6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However, following the April 22, 2008 shareholder approvals, these changes will no longer occur and instead or share and unit structure will remain unchanged, absent shareholder action, as follows:</w:t>
      </w:r>
    </w:p>
    <w:p>
      <w:pPr>
        <w:spacing w:after="0" w:line="5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BD Units and the B Units will continue to exist; and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dividend preferences of the Series D-B Shares and Series D-L Shares of 125% of any amount distributed in respect of each Series B Share will continue to exist.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capital stock as of May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778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Capital</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of Voting</w:t>
            </w:r>
          </w:p>
        </w:tc>
      </w:tr>
      <w:tr>
        <w:trPr>
          <w:trHeight w:val="210"/>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Class</w:t>
            </w: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Series B Shares (no par value)</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9,246,420,270</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Series D-B Shares (no par value)</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4,322,355,540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Series D-L Shares (no par value)</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4,322,355,540</w:t>
            </w:r>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5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Shares</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17,891,131,350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b w:val="1"/>
                <w:bCs w:val="1"/>
                <w:color w:val="auto"/>
              </w:rPr>
              <w:t>Units</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BD Units</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2,161,177,770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B Units</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1,417,048,500</w:t>
            </w: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c>
          <w:tcPr>
            <w:tcW w:w="5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76.6</w:t>
            </w:r>
          </w:p>
        </w:tc>
      </w:tr>
      <w:tr>
        <w:trPr>
          <w:trHeight w:val="216"/>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Units</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3,578,226,270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Since May 11, 1998, ADSs representing BD Units have been listed on the New York Stock Exchange, and the BD Units and the B Units have been listed on the Mexican Stock Exchange. Each ADS represents 10 BD Units deposited under the deposit agreement with the ADS depositary.</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New York Stock Exchange trading symbol for the ADSs is “FMX” and the Mexican Stock Exchange trading symbols are “FEMSA UBD” for the BD Units and “FEMSA UB” for the B Units.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Fluctuations in the exchange rate between the Mexican peso and the U.S. dollar have affected the U.S. dollar equivalent of the Mexican peso price of our shares on the Mexican Stock Exchange and, consequently, have also affected the market price of our ADSs. See “Item 3. Key Information—Exchange Rate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on the Mexican Stock Exchange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Mexican Stock Exchange, located in Mexico City, is the only stock exchange in Mexico. Founded in 1907, it is organized as a corporation, the shares of which are held by 33 brokerage firms, that are exclusively authorized to trade on the exchange. Trading on the Mexican Stock Exchange takes place principally through automated systems and is open between the hours of 8:30 a.m. and 3:00 p.m. Mexico City time, each business day. Trades in securities listed on the Mexican Stock Exchange can also be effected off the exchange. The Mexican Stock Exchange operates a system of automatic suspension of trading in shares of a particular issuer as a means of controlling excessive price volatility, but under current regulations this system does not apply to securities such as the BD Units that are directly or indirectly (for example, in the form of ADSs) quoted on a stock exchange (including for these purposes the New York Stock Exchange) outside Mexico.</w:t>
      </w:r>
    </w:p>
    <w:p>
      <w:pPr>
        <w:spacing w:after="0" w:line="14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Settlement is effected three business days after a share transaction on the Mexican Stock Exchange. Deferred settlement, even by mutual agreement, is not permitted without the approval of the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xml:space="preserve"> (the Mexican National Banking and Securities Commission) or CNBV. Most securities traded on the Mexican Stock Exchange, including ours, are on deposit with </w:t>
      </w:r>
      <w:r>
        <w:rPr>
          <w:rFonts w:ascii="Arial" w:cs="Arial" w:eastAsia="Arial" w:hAnsi="Arial"/>
          <w:sz w:val="16"/>
          <w:szCs w:val="16"/>
          <w:i w:val="1"/>
          <w:iCs w:val="1"/>
          <w:color w:val="auto"/>
        </w:rPr>
        <w:t>S.D. Indeval, S.A. de C.V., Instituto para el Depósito de Valores</w:t>
      </w:r>
      <w:r>
        <w:rPr>
          <w:rFonts w:ascii="Arial" w:cs="Arial" w:eastAsia="Arial" w:hAnsi="Arial"/>
          <w:sz w:val="16"/>
          <w:szCs w:val="16"/>
          <w:color w:val="auto"/>
        </w:rPr>
        <w:t>, a privately owned securities depositary that acts as a clearinghouse for Mexican Stock Exchange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History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tables set forth, for the periods indicated, the reported high, low and closing sale prices and the average daily trading volumes for the B Units and BD Units on the Mexican Stock Exchange and the reported high, low and closing sale prices and the average daily trading volumes for the ADSs on the New York Stock Exchange.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 xml:space="preserve">B Units </w:t>
            </w:r>
            <w:r>
              <w:rPr>
                <w:rFonts w:ascii="Arial" w:cs="Arial" w:eastAsia="Arial" w:hAnsi="Arial"/>
                <w:sz w:val="22"/>
                <w:szCs w:val="22"/>
                <w:b w:val="1"/>
                <w:bCs w:val="1"/>
                <w:color w:val="auto"/>
                <w:w w:val="90"/>
                <w:vertAlign w:val="superscript"/>
              </w:rPr>
              <w:t>(1)</w:t>
            </w: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6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4"/>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Nominal pesos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Average Daily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jc w:val="center"/>
              <w:ind w:right="20"/>
              <w:spacing w:after="0" w:line="123" w:lineRule="exact"/>
              <w:rPr>
                <w:sz w:val="20"/>
                <w:szCs w:val="20"/>
                <w:color w:val="auto"/>
              </w:rPr>
            </w:pPr>
            <w:r>
              <w:rPr>
                <w:rFonts w:ascii="Arial" w:cs="Arial" w:eastAsia="Arial" w:hAnsi="Arial"/>
                <w:sz w:val="14"/>
                <w:szCs w:val="14"/>
                <w:b w:val="1"/>
                <w:bCs w:val="1"/>
                <w:color w:val="auto"/>
                <w:w w:val="88"/>
              </w:rPr>
              <w:t>Trading Volume</w:t>
            </w:r>
          </w:p>
        </w:tc>
        <w:tc>
          <w:tcPr>
            <w:tcW w:w="0" w:type="dxa"/>
            <w:vAlign w:val="bottom"/>
          </w:tcPr>
          <w:p>
            <w:pPr>
              <w:spacing w:after="0"/>
              <w:rPr>
                <w:sz w:val="1"/>
                <w:szCs w:val="1"/>
                <w:color w:val="auto"/>
              </w:rPr>
            </w:pPr>
          </w:p>
        </w:tc>
      </w:tr>
      <w:tr>
        <w:trPr>
          <w:trHeight w:val="75"/>
        </w:trPr>
        <w:tc>
          <w:tcPr>
            <w:tcW w:w="6720" w:type="dxa"/>
            <w:vAlign w:val="bottom"/>
          </w:tcPr>
          <w:p>
            <w:pPr>
              <w:spacing w:after="0"/>
              <w:rPr>
                <w:sz w:val="6"/>
                <w:szCs w:val="6"/>
                <w:color w:val="auto"/>
              </w:rPr>
            </w:pPr>
          </w:p>
        </w:tc>
        <w:tc>
          <w:tcPr>
            <w:tcW w:w="46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83"/>
              </w:rPr>
              <w:t xml:space="preserve">High </w:t>
            </w:r>
            <w:r>
              <w:rPr>
                <w:rFonts w:ascii="Arial" w:cs="Arial" w:eastAsia="Arial" w:hAnsi="Arial"/>
                <w:sz w:val="22"/>
                <w:szCs w:val="22"/>
                <w:b w:val="1"/>
                <w:bCs w:val="1"/>
                <w:color w:val="auto"/>
                <w:w w:val="83"/>
                <w:vertAlign w:val="superscript"/>
              </w:rPr>
              <w:t>(2)</w:t>
            </w:r>
          </w:p>
        </w:tc>
        <w:tc>
          <w:tcPr>
            <w:tcW w:w="220" w:type="dxa"/>
            <w:vAlign w:val="bottom"/>
            <w:vMerge w:val="restart"/>
          </w:tcPr>
          <w:p>
            <w:pPr>
              <w:spacing w:after="0"/>
              <w:rPr>
                <w:sz w:val="6"/>
                <w:szCs w:val="6"/>
                <w:color w:val="auto"/>
              </w:rPr>
            </w:pPr>
          </w:p>
        </w:tc>
        <w:tc>
          <w:tcPr>
            <w:tcW w:w="420" w:type="dxa"/>
            <w:vAlign w:val="bottom"/>
            <w:vMerge w:val="restart"/>
          </w:tcPr>
          <w:p>
            <w:pPr>
              <w:jc w:val="center"/>
              <w:spacing w:after="0" w:line="237" w:lineRule="exact"/>
              <w:rPr>
                <w:sz w:val="20"/>
                <w:szCs w:val="20"/>
                <w:color w:val="auto"/>
              </w:rPr>
            </w:pPr>
            <w:r>
              <w:rPr>
                <w:rFonts w:ascii="Arial" w:cs="Arial" w:eastAsia="Arial" w:hAnsi="Arial"/>
                <w:sz w:val="14"/>
                <w:szCs w:val="14"/>
                <w:b w:val="1"/>
                <w:bCs w:val="1"/>
                <w:color w:val="auto"/>
                <w:w w:val="84"/>
              </w:rPr>
              <w:t xml:space="preserve">Low </w:t>
            </w:r>
            <w:r>
              <w:rPr>
                <w:rFonts w:ascii="Arial" w:cs="Arial" w:eastAsia="Arial" w:hAnsi="Arial"/>
                <w:sz w:val="22"/>
                <w:szCs w:val="22"/>
                <w:b w:val="1"/>
                <w:bCs w:val="1"/>
                <w:color w:val="auto"/>
                <w:w w:val="84"/>
                <w:vertAlign w:val="superscript"/>
              </w:rPr>
              <w:t>(2)</w:t>
            </w:r>
          </w:p>
        </w:tc>
        <w:tc>
          <w:tcPr>
            <w:tcW w:w="220" w:type="dxa"/>
            <w:vAlign w:val="bottom"/>
            <w:vMerge w:val="restart"/>
          </w:tcPr>
          <w:p>
            <w:pPr>
              <w:spacing w:after="0"/>
              <w:rPr>
                <w:sz w:val="6"/>
                <w:szCs w:val="6"/>
                <w:color w:val="auto"/>
              </w:rPr>
            </w:pPr>
          </w:p>
        </w:tc>
        <w:tc>
          <w:tcPr>
            <w:tcW w:w="50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80"/>
              </w:rPr>
              <w:t xml:space="preserve">Close </w:t>
            </w:r>
            <w:r>
              <w:rPr>
                <w:rFonts w:ascii="Arial" w:cs="Arial" w:eastAsia="Arial" w:hAnsi="Arial"/>
                <w:sz w:val="22"/>
                <w:szCs w:val="22"/>
                <w:b w:val="1"/>
                <w:bCs w:val="1"/>
                <w:color w:val="auto"/>
                <w:w w:val="80"/>
                <w:vertAlign w:val="superscript"/>
              </w:rPr>
              <w:t>(3)</w:t>
            </w:r>
          </w:p>
        </w:tc>
        <w:tc>
          <w:tcPr>
            <w:tcW w:w="220" w:type="dxa"/>
            <w:vAlign w:val="bottom"/>
            <w:vMerge w:val="restart"/>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84"/>
              </w:rPr>
              <w:t xml:space="preserve">Close </w:t>
            </w:r>
            <w:r>
              <w:rPr>
                <w:rFonts w:ascii="Arial" w:cs="Arial" w:eastAsia="Arial" w:hAnsi="Arial"/>
                <w:sz w:val="14"/>
                <w:szCs w:val="14"/>
                <w:b w:val="1"/>
                <w:bCs w:val="1"/>
                <w:u w:val="single" w:color="auto"/>
                <w:color w:val="auto"/>
                <w:w w:val="84"/>
              </w:rPr>
              <w:t>US</w:t>
            </w:r>
            <w:r>
              <w:rPr>
                <w:rFonts w:ascii="Arial" w:cs="Arial" w:eastAsia="Arial" w:hAnsi="Arial"/>
                <w:sz w:val="14"/>
                <w:szCs w:val="14"/>
                <w:b w:val="1"/>
                <w:bCs w:val="1"/>
                <w:color w:val="auto"/>
                <w:w w:val="84"/>
              </w:rPr>
              <w:t>$</w:t>
            </w:r>
            <w:r>
              <w:rPr>
                <w:rFonts w:ascii="Arial" w:cs="Arial" w:eastAsia="Arial" w:hAnsi="Arial"/>
                <w:sz w:val="22"/>
                <w:szCs w:val="22"/>
                <w:b w:val="1"/>
                <w:bCs w:val="1"/>
                <w:color w:val="auto"/>
                <w:w w:val="84"/>
                <w:vertAlign w:val="superscript"/>
              </w:rPr>
              <w:t>(4)</w:t>
            </w:r>
          </w:p>
        </w:tc>
        <w:tc>
          <w:tcPr>
            <w:tcW w:w="220" w:type="dxa"/>
            <w:vAlign w:val="bottom"/>
            <w:vMerge w:val="restart"/>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72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FX rate</w:t>
            </w:r>
          </w:p>
        </w:tc>
        <w:tc>
          <w:tcPr>
            <w:tcW w:w="20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(Units)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13.63</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11.23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17.33</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13.17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17.33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980" w:type="dxa"/>
            <w:vAlign w:val="bottom"/>
          </w:tcPr>
          <w:p>
            <w:pPr>
              <w:jc w:val="right"/>
              <w:spacing w:after="0"/>
              <w:rPr>
                <w:sz w:val="20"/>
                <w:szCs w:val="20"/>
                <w:color w:val="auto"/>
              </w:rPr>
            </w:pPr>
            <w:r>
              <w:rPr>
                <w:rFonts w:ascii="Arial" w:cs="Arial" w:eastAsia="Arial" w:hAnsi="Arial"/>
                <w:sz w:val="18"/>
                <w:szCs w:val="18"/>
                <w:color w:val="auto"/>
              </w:rPr>
              <w:t>12,835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24.17</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15.60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30.00</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23.00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34.03</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30.67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30.67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11.29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980" w:type="dxa"/>
            <w:vAlign w:val="bottom"/>
          </w:tcPr>
          <w:p>
            <w:pPr>
              <w:jc w:val="right"/>
              <w:spacing w:after="0"/>
              <w:rPr>
                <w:sz w:val="20"/>
                <w:szCs w:val="20"/>
                <w:color w:val="auto"/>
              </w:rPr>
            </w:pPr>
            <w:r>
              <w:rPr>
                <w:rFonts w:ascii="Arial" w:cs="Arial" w:eastAsia="Arial" w:hAnsi="Arial"/>
                <w:sz w:val="18"/>
                <w:szCs w:val="18"/>
                <w:color w:val="auto"/>
              </w:rPr>
              <w:t>242,022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33.33</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30.33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33.67</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32.17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33.33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10.80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980" w:type="dxa"/>
            <w:vAlign w:val="bottom"/>
          </w:tcPr>
          <w:p>
            <w:pPr>
              <w:jc w:val="right"/>
              <w:spacing w:after="0"/>
              <w:rPr>
                <w:sz w:val="20"/>
                <w:szCs w:val="20"/>
                <w:color w:val="auto"/>
              </w:rPr>
            </w:pPr>
            <w:r>
              <w:rPr>
                <w:rFonts w:ascii="Arial" w:cs="Arial" w:eastAsia="Arial" w:hAnsi="Arial"/>
                <w:sz w:val="18"/>
                <w:szCs w:val="18"/>
                <w:color w:val="auto"/>
              </w:rPr>
              <w:t>3,742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42.33</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33.33</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40.67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11.04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980" w:type="dxa"/>
            <w:vAlign w:val="bottom"/>
          </w:tcPr>
          <w:p>
            <w:pPr>
              <w:jc w:val="right"/>
              <w:spacing w:after="0"/>
              <w:rPr>
                <w:sz w:val="20"/>
                <w:szCs w:val="20"/>
                <w:color w:val="auto"/>
              </w:rPr>
            </w:pPr>
            <w:r>
              <w:rPr>
                <w:rFonts w:ascii="Arial" w:cs="Arial" w:eastAsia="Arial" w:hAnsi="Arial"/>
                <w:sz w:val="18"/>
                <w:szCs w:val="18"/>
                <w:color w:val="auto"/>
              </w:rPr>
              <w:t>4,133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42.00</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40.33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41.68</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36.70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37.80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10.93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980" w:type="dxa"/>
            <w:vAlign w:val="bottom"/>
          </w:tcPr>
          <w:p>
            <w:pPr>
              <w:jc w:val="right"/>
              <w:spacing w:after="0"/>
              <w:rPr>
                <w:sz w:val="20"/>
                <w:szCs w:val="20"/>
                <w:color w:val="auto"/>
              </w:rPr>
            </w:pPr>
            <w:r>
              <w:rPr>
                <w:rFonts w:ascii="Arial" w:cs="Arial" w:eastAsia="Arial" w:hAnsi="Arial"/>
                <w:sz w:val="18"/>
                <w:szCs w:val="18"/>
                <w:color w:val="auto"/>
              </w:rPr>
              <w:t>1,559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37.80</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31.79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October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37.80</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37.80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37.80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10.70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37.80</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31.79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December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37.00</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33.68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37.00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980" w:type="dxa"/>
            <w:vAlign w:val="bottom"/>
          </w:tcPr>
          <w:p>
            <w:pPr>
              <w:jc w:val="right"/>
              <w:spacing w:after="0"/>
              <w:rPr>
                <w:sz w:val="20"/>
                <w:szCs w:val="20"/>
                <w:color w:val="auto"/>
              </w:rPr>
            </w:pPr>
            <w:r>
              <w:rPr>
                <w:rFonts w:ascii="Arial" w:cs="Arial" w:eastAsia="Arial" w:hAnsi="Arial"/>
                <w:sz w:val="18"/>
                <w:szCs w:val="18"/>
                <w:color w:val="auto"/>
              </w:rPr>
              <w:t>2,191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41.95</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32.00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41.94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10.63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980" w:type="dxa"/>
            <w:vAlign w:val="bottom"/>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41.00</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32.00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February</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41.95</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37.00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41.95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10.73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980" w:type="dxa"/>
            <w:vAlign w:val="bottom"/>
          </w:tcPr>
          <w:p>
            <w:pPr>
              <w:jc w:val="right"/>
              <w:spacing w:after="0"/>
              <w:rPr>
                <w:sz w:val="20"/>
                <w:szCs w:val="20"/>
                <w:color w:val="auto"/>
              </w:rPr>
            </w:pPr>
            <w:r>
              <w:rPr>
                <w:rFonts w:ascii="Arial" w:cs="Arial" w:eastAsia="Arial" w:hAnsi="Arial"/>
                <w:sz w:val="18"/>
                <w:szCs w:val="18"/>
                <w:color w:val="auto"/>
              </w:rPr>
              <w:t>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41.94</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41.94</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April</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46.00</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44.99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44.99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980" w:type="dxa"/>
            <w:vAlign w:val="bottom"/>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45.00</w:t>
            </w:r>
          </w:p>
        </w:tc>
        <w:tc>
          <w:tcPr>
            <w:tcW w:w="6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4"/>
              </w:rPr>
              <w:t>40.00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6720" w:type="dxa"/>
            <w:vAlign w:val="bottom"/>
          </w:tcPr>
          <w:p>
            <w:pPr>
              <w:ind w:left="440"/>
              <w:spacing w:after="0"/>
              <w:rPr>
                <w:sz w:val="20"/>
                <w:szCs w:val="20"/>
                <w:color w:val="auto"/>
              </w:rPr>
            </w:pPr>
            <w:r>
              <w:rPr>
                <w:rFonts w:ascii="Arial" w:cs="Arial" w:eastAsia="Arial" w:hAnsi="Arial"/>
                <w:sz w:val="18"/>
                <w:szCs w:val="18"/>
                <w:color w:val="auto"/>
              </w:rPr>
              <w:t xml:space="preserve">June </w:t>
            </w:r>
            <w:r>
              <w:rPr>
                <w:rFonts w:ascii="Arial" w:cs="Arial" w:eastAsia="Arial" w:hAnsi="Arial"/>
                <w:sz w:val="22"/>
                <w:szCs w:val="22"/>
                <w:color w:val="auto"/>
                <w:vertAlign w:val="superscript"/>
              </w:rPr>
              <w:t>(5)</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40.00</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40.00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10.37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980" w:type="dxa"/>
            <w:vAlign w:val="bottom"/>
          </w:tcPr>
          <w:p>
            <w:pPr>
              <w:jc w:val="right"/>
              <w:spacing w:after="0"/>
              <w:rPr>
                <w:sz w:val="20"/>
                <w:szCs w:val="20"/>
                <w:color w:val="auto"/>
              </w:rPr>
            </w:pPr>
            <w:r>
              <w:rPr>
                <w:rFonts w:ascii="Arial" w:cs="Arial" w:eastAsia="Arial" w:hAnsi="Arial"/>
                <w:sz w:val="18"/>
                <w:szCs w:val="18"/>
                <w:color w:val="auto"/>
              </w:rPr>
              <w:t>3,025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prices and average daily trading volume for the B Units were taken from Bloomberg and reflect our 3:1 stock split, which was effective May 25,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translation from Mexican pesos to U.S. dollars of the closing price of the B Units on the last day of the periods presented based on the noon buying rate for the purchase of U.S. dollars, as reported by the Federal Reserve Bank of New York on such date.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from June 1, 2008 to June 15,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3"/>
              </w:rPr>
              <w:t xml:space="preserve">BD Units </w:t>
            </w:r>
            <w:r>
              <w:rPr>
                <w:rFonts w:ascii="Arial" w:cs="Arial" w:eastAsia="Arial" w:hAnsi="Arial"/>
                <w:sz w:val="22"/>
                <w:szCs w:val="22"/>
                <w:b w:val="1"/>
                <w:bCs w:val="1"/>
                <w:color w:val="auto"/>
                <w:w w:val="93"/>
                <w:vertAlign w:val="superscript"/>
              </w:rPr>
              <w:t>(1)</w:t>
            </w: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6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Nominal pesos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2"/>
              </w:rPr>
              <w:t>Average Daily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gridSpan w:val="3"/>
            <w:vMerge w:val="restart"/>
          </w:tcPr>
          <w:p>
            <w:pPr>
              <w:jc w:val="right"/>
              <w:ind w:right="20"/>
              <w:spacing w:after="0" w:line="123" w:lineRule="exact"/>
              <w:rPr>
                <w:sz w:val="20"/>
                <w:szCs w:val="20"/>
                <w:color w:val="auto"/>
              </w:rPr>
            </w:pPr>
            <w:r>
              <w:rPr>
                <w:rFonts w:ascii="Arial" w:cs="Arial" w:eastAsia="Arial" w:hAnsi="Arial"/>
                <w:sz w:val="14"/>
                <w:szCs w:val="14"/>
                <w:b w:val="1"/>
                <w:bCs w:val="1"/>
                <w:color w:val="auto"/>
              </w:rPr>
              <w:t>Trading Volume</w:t>
            </w:r>
          </w:p>
        </w:tc>
        <w:tc>
          <w:tcPr>
            <w:tcW w:w="0" w:type="dxa"/>
            <w:vAlign w:val="bottom"/>
          </w:tcPr>
          <w:p>
            <w:pPr>
              <w:spacing w:after="0"/>
              <w:rPr>
                <w:sz w:val="1"/>
                <w:szCs w:val="1"/>
                <w:color w:val="auto"/>
              </w:rPr>
            </w:pPr>
          </w:p>
        </w:tc>
      </w:tr>
      <w:tr>
        <w:trPr>
          <w:trHeight w:val="75"/>
        </w:trPr>
        <w:tc>
          <w:tcPr>
            <w:tcW w:w="6860" w:type="dxa"/>
            <w:vAlign w:val="bottom"/>
          </w:tcPr>
          <w:p>
            <w:pPr>
              <w:spacing w:after="0"/>
              <w:rPr>
                <w:sz w:val="6"/>
                <w:szCs w:val="6"/>
                <w:color w:val="auto"/>
              </w:rPr>
            </w:pPr>
          </w:p>
        </w:tc>
        <w:tc>
          <w:tcPr>
            <w:tcW w:w="46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83"/>
              </w:rPr>
              <w:t xml:space="preserve">High </w:t>
            </w:r>
            <w:r>
              <w:rPr>
                <w:rFonts w:ascii="Arial" w:cs="Arial" w:eastAsia="Arial" w:hAnsi="Arial"/>
                <w:sz w:val="22"/>
                <w:szCs w:val="22"/>
                <w:b w:val="1"/>
                <w:bCs w:val="1"/>
                <w:color w:val="auto"/>
                <w:w w:val="83"/>
                <w:vertAlign w:val="superscript"/>
              </w:rPr>
              <w:t>(2)</w:t>
            </w:r>
          </w:p>
        </w:tc>
        <w:tc>
          <w:tcPr>
            <w:tcW w:w="220" w:type="dxa"/>
            <w:vAlign w:val="bottom"/>
            <w:vMerge w:val="restart"/>
          </w:tcPr>
          <w:p>
            <w:pPr>
              <w:spacing w:after="0"/>
              <w:rPr>
                <w:sz w:val="6"/>
                <w:szCs w:val="6"/>
                <w:color w:val="auto"/>
              </w:rPr>
            </w:pPr>
          </w:p>
        </w:tc>
        <w:tc>
          <w:tcPr>
            <w:tcW w:w="620" w:type="dxa"/>
            <w:vAlign w:val="bottom"/>
            <w:gridSpan w:val="2"/>
            <w:vMerge w:val="restart"/>
          </w:tcPr>
          <w:p>
            <w:pPr>
              <w:jc w:val="right"/>
              <w:ind w:right="220"/>
              <w:spacing w:after="0" w:line="237" w:lineRule="exact"/>
              <w:rPr>
                <w:sz w:val="20"/>
                <w:szCs w:val="20"/>
                <w:color w:val="auto"/>
              </w:rPr>
            </w:pPr>
            <w:r>
              <w:rPr>
                <w:rFonts w:ascii="Arial" w:cs="Arial" w:eastAsia="Arial" w:hAnsi="Arial"/>
                <w:sz w:val="14"/>
                <w:szCs w:val="14"/>
                <w:b w:val="1"/>
                <w:bCs w:val="1"/>
                <w:color w:val="auto"/>
                <w:w w:val="76"/>
              </w:rPr>
              <w:t xml:space="preserve">Low </w:t>
            </w:r>
            <w:r>
              <w:rPr>
                <w:rFonts w:ascii="Arial" w:cs="Arial" w:eastAsia="Arial" w:hAnsi="Arial"/>
                <w:sz w:val="22"/>
                <w:szCs w:val="22"/>
                <w:b w:val="1"/>
                <w:bCs w:val="1"/>
                <w:color w:val="auto"/>
                <w:w w:val="76"/>
                <w:vertAlign w:val="superscript"/>
              </w:rPr>
              <w:t>(2)</w:t>
            </w:r>
          </w:p>
        </w:tc>
        <w:tc>
          <w:tcPr>
            <w:tcW w:w="560" w:type="dxa"/>
            <w:vAlign w:val="bottom"/>
            <w:gridSpan w:val="2"/>
            <w:vMerge w:val="restart"/>
          </w:tcPr>
          <w:p>
            <w:pPr>
              <w:jc w:val="right"/>
              <w:ind w:right="80"/>
              <w:spacing w:after="0" w:line="237" w:lineRule="exact"/>
              <w:rPr>
                <w:sz w:val="20"/>
                <w:szCs w:val="20"/>
                <w:color w:val="auto"/>
              </w:rPr>
            </w:pPr>
            <w:r>
              <w:rPr>
                <w:rFonts w:ascii="Arial" w:cs="Arial" w:eastAsia="Arial" w:hAnsi="Arial"/>
                <w:sz w:val="14"/>
                <w:szCs w:val="14"/>
                <w:b w:val="1"/>
                <w:bCs w:val="1"/>
                <w:color w:val="auto"/>
                <w:w w:val="76"/>
              </w:rPr>
              <w:t xml:space="preserve">Close </w:t>
            </w:r>
            <w:r>
              <w:rPr>
                <w:rFonts w:ascii="Arial" w:cs="Arial" w:eastAsia="Arial" w:hAnsi="Arial"/>
                <w:sz w:val="22"/>
                <w:szCs w:val="22"/>
                <w:b w:val="1"/>
                <w:bCs w:val="1"/>
                <w:color w:val="auto"/>
                <w:w w:val="76"/>
                <w:vertAlign w:val="superscript"/>
              </w:rPr>
              <w:t>(3)</w:t>
            </w: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80"/>
              </w:rPr>
              <w:t xml:space="preserve">Close </w:t>
            </w:r>
            <w:r>
              <w:rPr>
                <w:rFonts w:ascii="Arial" w:cs="Arial" w:eastAsia="Arial" w:hAnsi="Arial"/>
                <w:sz w:val="14"/>
                <w:szCs w:val="14"/>
                <w:b w:val="1"/>
                <w:bCs w:val="1"/>
                <w:u w:val="single" w:color="auto"/>
                <w:color w:val="auto"/>
                <w:w w:val="80"/>
              </w:rPr>
              <w:t>US</w:t>
            </w:r>
            <w:r>
              <w:rPr>
                <w:rFonts w:ascii="Arial" w:cs="Arial" w:eastAsia="Arial" w:hAnsi="Arial"/>
                <w:sz w:val="14"/>
                <w:szCs w:val="14"/>
                <w:b w:val="1"/>
                <w:bCs w:val="1"/>
                <w:color w:val="auto"/>
                <w:w w:val="80"/>
              </w:rPr>
              <w:t>$</w:t>
            </w:r>
            <w:r>
              <w:rPr>
                <w:rFonts w:ascii="Arial" w:cs="Arial" w:eastAsia="Arial" w:hAnsi="Arial"/>
                <w:sz w:val="22"/>
                <w:szCs w:val="22"/>
                <w:b w:val="1"/>
                <w:bCs w:val="1"/>
                <w:color w:val="auto"/>
                <w:w w:val="80"/>
                <w:vertAlign w:val="superscript"/>
              </w:rPr>
              <w:t>(4)</w:t>
            </w: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FX rate</w:t>
            </w: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11.17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3,033,155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19.87</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13.67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3,314,115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26.46</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18.63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33.57</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25.69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2,549,119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35.36</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27.91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31.64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2,635,345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36.44</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29.53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42.25</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34.20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41.72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2,526,820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48.58</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39.10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40.68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4,257,029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43.52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38.75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5,279,190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43.13</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36.17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3,281,171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42.42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32.73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October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42.42</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37.45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2,688,461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36.85</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32.73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3,204,045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December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42.00</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35.04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41.70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2,415,932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46.53</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36.13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44.77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3,197,835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41.80</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36.13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3,326,586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February</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46.53</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40.10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3,516,495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44.77</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41.93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2,686,406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April</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47.40</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44.92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45.80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10.51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3,462,336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49.19</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45.50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686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(5)</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47.93</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43.62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45.57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3,543,140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right="38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prices and average daily trading volume for the BD Units were taken from Bloomberg and reflect our 3:1 stock split, which was effective May 25, 2007.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right="360" w:hanging="452"/>
        <w:spacing w:after="0" w:line="332"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the translation from Mexican pesos to U.S. dollars of the closing price of the BD Units on the last day of the periods presented based on the noon buying rate for the purchase of U.S. dollars, as reported by the Federal Reserve Bank of New York on such date.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from June 1, 2008 to June 15,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79"/>
              </w:rPr>
              <w:t>ADSs</w:t>
            </w:r>
            <w:r>
              <w:rPr>
                <w:rFonts w:ascii="Arial" w:cs="Arial" w:eastAsia="Arial" w:hAnsi="Arial"/>
                <w:sz w:val="22"/>
                <w:szCs w:val="22"/>
                <w:b w:val="1"/>
                <w:bCs w:val="1"/>
                <w:color w:val="auto"/>
                <w:w w:val="79"/>
                <w:vertAlign w:val="superscript"/>
              </w:rPr>
              <w:t>(1)</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8"/>
              </w:rPr>
              <w:t>U.S. dollars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Average Daily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gridSpan w:val="3"/>
            <w:vMerge w:val="restart"/>
          </w:tcPr>
          <w:p>
            <w:pPr>
              <w:jc w:val="center"/>
              <w:ind w:left="93"/>
              <w:spacing w:after="0" w:line="123" w:lineRule="exact"/>
              <w:rPr>
                <w:sz w:val="20"/>
                <w:szCs w:val="20"/>
                <w:color w:val="auto"/>
              </w:rPr>
            </w:pPr>
            <w:r>
              <w:rPr>
                <w:rFonts w:ascii="Arial" w:cs="Arial" w:eastAsia="Arial" w:hAnsi="Arial"/>
                <w:sz w:val="14"/>
                <w:szCs w:val="14"/>
                <w:b w:val="1"/>
                <w:bCs w:val="1"/>
                <w:color w:val="auto"/>
                <w:w w:val="88"/>
              </w:rPr>
              <w:t>Trading Volume</w:t>
            </w:r>
          </w:p>
        </w:tc>
        <w:tc>
          <w:tcPr>
            <w:tcW w:w="0" w:type="dxa"/>
            <w:vAlign w:val="bottom"/>
          </w:tcPr>
          <w:p>
            <w:pPr>
              <w:spacing w:after="0"/>
              <w:rPr>
                <w:sz w:val="1"/>
                <w:szCs w:val="1"/>
                <w:color w:val="auto"/>
              </w:rPr>
            </w:pPr>
          </w:p>
        </w:tc>
      </w:tr>
      <w:tr>
        <w:trPr>
          <w:trHeight w:val="75"/>
        </w:trPr>
        <w:tc>
          <w:tcPr>
            <w:tcW w:w="8480" w:type="dxa"/>
            <w:vAlign w:val="bottom"/>
          </w:tcPr>
          <w:p>
            <w:pPr>
              <w:spacing w:after="0"/>
              <w:rPr>
                <w:sz w:val="6"/>
                <w:szCs w:val="6"/>
                <w:color w:val="auto"/>
              </w:rPr>
            </w:pPr>
          </w:p>
        </w:tc>
        <w:tc>
          <w:tcPr>
            <w:tcW w:w="46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83"/>
              </w:rPr>
              <w:t xml:space="preserve">High </w:t>
            </w:r>
            <w:r>
              <w:rPr>
                <w:rFonts w:ascii="Arial" w:cs="Arial" w:eastAsia="Arial" w:hAnsi="Arial"/>
                <w:sz w:val="22"/>
                <w:szCs w:val="22"/>
                <w:b w:val="1"/>
                <w:bCs w:val="1"/>
                <w:color w:val="auto"/>
                <w:w w:val="83"/>
                <w:vertAlign w:val="superscript"/>
              </w:rPr>
              <w:t>(2)</w:t>
            </w:r>
          </w:p>
        </w:tc>
        <w:tc>
          <w:tcPr>
            <w:tcW w:w="6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2"/>
            <w:vMerge w:val="restart"/>
          </w:tcPr>
          <w:p>
            <w:pPr>
              <w:jc w:val="center"/>
              <w:ind w:right="160"/>
              <w:spacing w:after="0" w:line="237" w:lineRule="exact"/>
              <w:rPr>
                <w:sz w:val="20"/>
                <w:szCs w:val="20"/>
                <w:color w:val="auto"/>
              </w:rPr>
            </w:pPr>
            <w:r>
              <w:rPr>
                <w:rFonts w:ascii="Arial" w:cs="Arial" w:eastAsia="Arial" w:hAnsi="Arial"/>
                <w:sz w:val="14"/>
                <w:szCs w:val="14"/>
                <w:b w:val="1"/>
                <w:bCs w:val="1"/>
                <w:color w:val="auto"/>
                <w:w w:val="80"/>
              </w:rPr>
              <w:t xml:space="preserve">Low </w:t>
            </w:r>
            <w:r>
              <w:rPr>
                <w:rFonts w:ascii="Arial" w:cs="Arial" w:eastAsia="Arial" w:hAnsi="Arial"/>
                <w:sz w:val="22"/>
                <w:szCs w:val="22"/>
                <w:b w:val="1"/>
                <w:bCs w:val="1"/>
                <w:color w:val="auto"/>
                <w:w w:val="80"/>
                <w:vertAlign w:val="superscript"/>
              </w:rPr>
              <w:t>(2)</w:t>
            </w:r>
          </w:p>
        </w:tc>
        <w:tc>
          <w:tcPr>
            <w:tcW w:w="60" w:type="dxa"/>
            <w:vAlign w:val="bottom"/>
          </w:tcPr>
          <w:p>
            <w:pPr>
              <w:spacing w:after="0"/>
              <w:rPr>
                <w:sz w:val="6"/>
                <w:szCs w:val="6"/>
                <w:color w:val="auto"/>
              </w:rPr>
            </w:pPr>
          </w:p>
        </w:tc>
        <w:tc>
          <w:tcPr>
            <w:tcW w:w="50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76"/>
              </w:rPr>
              <w:t xml:space="preserve">Close </w:t>
            </w:r>
            <w:r>
              <w:rPr>
                <w:rFonts w:ascii="Arial" w:cs="Arial" w:eastAsia="Arial" w:hAnsi="Arial"/>
                <w:sz w:val="22"/>
                <w:szCs w:val="22"/>
                <w:b w:val="1"/>
                <w:bCs w:val="1"/>
                <w:color w:val="auto"/>
                <w:w w:val="76"/>
                <w:vertAlign w:val="superscript"/>
              </w:rPr>
              <w:t>(3)</w:t>
            </w: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84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(ADSs)</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4"/>
              </w:rPr>
              <w:t>10.22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750,425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17.64</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12.34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846,888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24.58</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16.97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30.65</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24.85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32.33</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24.41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1,592,433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33.30</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26.89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39.17</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31.78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984,757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44.42</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34.85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1,620,178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40.51</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35.41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40.04</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32.50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1,252,859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39.27</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29.96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October</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39.27</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34.90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1,275,323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34.65</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29.96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December</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38.42</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32.25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1,066,591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43.35</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33.37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41.78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1,173,074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38.24</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33.37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February</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43.35</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37.07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1,390,375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41.78</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38.54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April</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47.40</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44.92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3,462,336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47.48</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43.70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8480" w:type="dxa"/>
            <w:vAlign w:val="bottom"/>
          </w:tcPr>
          <w:p>
            <w:pPr>
              <w:ind w:left="440"/>
              <w:spacing w:after="0"/>
              <w:rPr>
                <w:sz w:val="20"/>
                <w:szCs w:val="20"/>
                <w:color w:val="auto"/>
              </w:rPr>
            </w:pPr>
            <w:r>
              <w:rPr>
                <w:rFonts w:ascii="Arial" w:cs="Arial" w:eastAsia="Arial" w:hAnsi="Arial"/>
                <w:sz w:val="18"/>
                <w:szCs w:val="18"/>
                <w:color w:val="auto"/>
              </w:rPr>
              <w:t xml:space="preserve">June </w:t>
            </w:r>
            <w:r>
              <w:rPr>
                <w:rFonts w:ascii="Arial" w:cs="Arial" w:eastAsia="Arial" w:hAnsi="Arial"/>
                <w:sz w:val="22"/>
                <w:szCs w:val="22"/>
                <w:color w:val="auto"/>
                <w:vertAlign w:val="superscript"/>
              </w:rPr>
              <w:t>(4)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46.37</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41.88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44.08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1,230,483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right="30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ADS is comprised of 10 BD Units. Prices and average daily trading volume were taken from Bloomberg and reflect our 3:1 stock split, which was effective May 25, 2007.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from June 1, 2008 to June 15,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bylaws and applicable Mexican law. For a description of the provisions of our bylaws relating to our board of directors and executive officers, see “Item 6. Directors, Senior Management and Employees.”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Mexican Securities Law that came into effect in 2006 includes provisions that, among others, seek to improve the regulation of disclosure of information, minority shareholder rights and corporate governance. In addition, the Mexican Securities Law imposes further duties and liabilities on the members of the board of directors as well as on the relevant officers (such as a duty of loyalty and a duty of care). Likewise, under the Mexican Securities Law we were required to adopt specific amendments to our bylaws, which we carried out in 2006. The most significant of these amendments relate to the following:</w:t>
      </w:r>
    </w:p>
    <w:p>
      <w:pPr>
        <w:spacing w:after="0" w:line="32" w:lineRule="exact"/>
        <w:rPr>
          <w:sz w:val="20"/>
          <w:szCs w:val="20"/>
          <w:color w:val="auto"/>
        </w:rPr>
      </w:pPr>
    </w:p>
    <w:p>
      <w:pPr>
        <w:ind w:left="900" w:right="18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 in our corporate name to reflect that we have adopted a new corporate form called a listed stock corporation (</w:t>
      </w:r>
      <w:r>
        <w:rPr>
          <w:rFonts w:ascii="Arial" w:cs="Arial" w:eastAsia="Arial" w:hAnsi="Arial"/>
          <w:sz w:val="18"/>
          <w:szCs w:val="18"/>
          <w:i w:val="1"/>
          <w:iCs w:val="1"/>
          <w:color w:val="auto"/>
        </w:rPr>
        <w:t>sociedad anónima bursátil,</w:t>
      </w:r>
      <w:r>
        <w:rPr>
          <w:rFonts w:ascii="Arial" w:cs="Arial" w:eastAsia="Arial" w:hAnsi="Arial"/>
          <w:sz w:val="18"/>
          <w:szCs w:val="18"/>
          <w:color w:val="auto"/>
        </w:rPr>
        <w:t xml:space="preserve"> or the initials </w:t>
      </w:r>
      <w:r>
        <w:rPr>
          <w:rFonts w:ascii="Arial" w:cs="Arial" w:eastAsia="Arial" w:hAnsi="Arial"/>
          <w:sz w:val="18"/>
          <w:szCs w:val="18"/>
          <w:i w:val="1"/>
          <w:iCs w:val="1"/>
          <w:color w:val="auto"/>
        </w:rPr>
        <w:t>S.A.B.</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redefinition of the functions and structure of the board of directors, whereby, among others, the management of the company is entrusted to the board of directors and also to the company’s chief executive officer, who is required to follow the strategies, policies and guidelines approved by the board of directors and the authority, obligations and duties expressly authorized in the Mexican Securities Law;</w:t>
      </w:r>
    </w:p>
    <w:p>
      <w:pPr>
        <w:spacing w:after="0" w:line="25" w:lineRule="exact"/>
        <w:rPr>
          <w:rFonts w:ascii="Arial" w:cs="Arial" w:eastAsia="Arial" w:hAnsi="Arial"/>
          <w:sz w:val="16"/>
          <w:szCs w:val="16"/>
          <w:color w:val="auto"/>
        </w:rPr>
      </w:pPr>
    </w:p>
    <w:p>
      <w:pPr>
        <w:ind w:left="900" w:right="240" w:hanging="446"/>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Corporate Practices Committee and the Audit Committee consist solely of independent directors, each committee is formed by at least 3 board members appointed by the shareholders or by the board of directors, as proposed by the chairman of the board of directors;</w:t>
      </w:r>
    </w:p>
    <w:p>
      <w:pPr>
        <w:spacing w:after="0" w:line="4" w:lineRule="exact"/>
        <w:rPr>
          <w:rFonts w:ascii="Arial" w:cs="Arial" w:eastAsia="Arial" w:hAnsi="Arial"/>
          <w:sz w:val="16"/>
          <w:szCs w:val="16"/>
          <w:color w:val="auto"/>
        </w:rPr>
      </w:pPr>
    </w:p>
    <w:p>
      <w:pPr>
        <w:jc w:val="both"/>
        <w:ind w:left="900" w:right="8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chairmen of the Corporate Practices Committee and the Audit Committee are appointed (taking into consideration their experience, capacity and professional prestige) and removed exclusively by a shareholders’ meeting, provided that the chairmen shall not also serve as chairman of the board of directors;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elimination of the role and responsibilities of the statutory examiner (</w:t>
      </w:r>
      <w:r>
        <w:rPr>
          <w:rFonts w:ascii="Arial" w:cs="Arial" w:eastAsia="Arial" w:hAnsi="Arial"/>
          <w:sz w:val="16"/>
          <w:szCs w:val="16"/>
          <w:i w:val="1"/>
          <w:iCs w:val="1"/>
          <w:color w:val="auto"/>
        </w:rPr>
        <w:t>comisario</w:t>
      </w:r>
      <w:r>
        <w:rPr>
          <w:rFonts w:ascii="Arial" w:cs="Arial" w:eastAsia="Arial" w:hAnsi="Arial"/>
          <w:sz w:val="16"/>
          <w:szCs w:val="16"/>
          <w:color w:val="auto"/>
        </w:rPr>
        <w:t>), whose surveillance responsibilities have been assumed by the board of directors through the new Corporate Practices Committee and the Audit Committee, as well as by our external auditor;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ability to have the external auditor attend meetings of the board of directors, as an observer with a right to participate, but without voting rights;</w:t>
      </w:r>
    </w:p>
    <w:p>
      <w:pPr>
        <w:spacing w:after="0" w:line="113" w:lineRule="exact"/>
        <w:rPr>
          <w:rFonts w:ascii="Arial" w:cs="Arial" w:eastAsia="Arial" w:hAnsi="Arial"/>
          <w:sz w:val="16"/>
          <w:szCs w:val="16"/>
          <w:color w:val="auto"/>
        </w:rPr>
      </w:pPr>
    </w:p>
    <w:p>
      <w:pPr>
        <w:jc w:val="both"/>
        <w:ind w:left="900" w:right="120" w:hanging="446"/>
        <w:spacing w:after="0" w:line="357"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ability to call a meeting of the board of directors, and to cause items to be added to the agenda, is now extended to the chairman of the board of directors, the chairman of the Corporate Practices Committee and the Audit Committee, or to at least 25% of the members of the board of directors;</w:t>
      </w:r>
    </w:p>
    <w:p>
      <w:pPr>
        <w:ind w:left="900" w:right="28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independence of members of the board of directors is now determined through a shareholders’ meeting, subject to CNBV’s authority to challenge such determination;</w:t>
      </w:r>
    </w:p>
    <w:p>
      <w:pPr>
        <w:spacing w:after="0" w:line="50"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directors may continue in the exercise of their functions even if the term for which they have been appointed has concluded, up to a term of 30 calendar days; the board of directors is entitled to appoint interim members, without need of a shareholders’ meeting, in the event of an absence of any member of the board of directors, or if the appointed member does not accept or take office and no alternate director was appointed or such alternate did not take office;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holders of Series “D” and “L” Shares are entitled to vote in the matters expressly set forth in the Mexican Securities Law;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capital increase by means of an issuance of non-subscribed shares to be held in treasury of the company requires approval at an extraordinary shareholders’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and Register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are a </w:t>
      </w:r>
      <w:r>
        <w:rPr>
          <w:rFonts w:ascii="Arial" w:cs="Arial" w:eastAsia="Arial" w:hAnsi="Arial"/>
          <w:sz w:val="16"/>
          <w:szCs w:val="16"/>
          <w:i w:val="1"/>
          <w:iCs w:val="1"/>
          <w:color w:val="auto"/>
        </w:rPr>
        <w:t>sociedad anónima bursátil de capital variable</w:t>
      </w:r>
      <w:r>
        <w:rPr>
          <w:rFonts w:ascii="Arial" w:cs="Arial" w:eastAsia="Arial" w:hAnsi="Arial"/>
          <w:sz w:val="16"/>
          <w:szCs w:val="16"/>
          <w:color w:val="auto"/>
        </w:rPr>
        <w:t xml:space="preserve"> organized in Mexico under the Mexican General Corporations Law. We were incorporated in 1936 under the name Valores Industriales, S.A., as a </w:t>
      </w:r>
      <w:r>
        <w:rPr>
          <w:rFonts w:ascii="Arial" w:cs="Arial" w:eastAsia="Arial" w:hAnsi="Arial"/>
          <w:sz w:val="16"/>
          <w:szCs w:val="16"/>
          <w:i w:val="1"/>
          <w:iCs w:val="1"/>
          <w:color w:val="auto"/>
        </w:rPr>
        <w:t>sociedad anónima</w:t>
      </w:r>
      <w:r>
        <w:rPr>
          <w:rFonts w:ascii="Arial" w:cs="Arial" w:eastAsia="Arial" w:hAnsi="Arial"/>
          <w:sz w:val="16"/>
          <w:szCs w:val="16"/>
          <w:color w:val="auto"/>
        </w:rPr>
        <w:t xml:space="preserve">, and are currently named Fomento Económico Mexicano, S.A.B. de C.V. On December 5, 2006, as required by the new Mexican Securities Law, we changed our name to reflect that we are a </w:t>
      </w:r>
      <w:r>
        <w:rPr>
          <w:rFonts w:ascii="Arial" w:cs="Arial" w:eastAsia="Arial" w:hAnsi="Arial"/>
          <w:sz w:val="16"/>
          <w:szCs w:val="16"/>
          <w:i w:val="1"/>
          <w:iCs w:val="1"/>
          <w:color w:val="auto"/>
        </w:rPr>
        <w:t>sociedad anónima bursátil de capital variable</w:t>
      </w:r>
      <w:r>
        <w:rPr>
          <w:rFonts w:ascii="Arial" w:cs="Arial" w:eastAsia="Arial" w:hAnsi="Arial"/>
          <w:sz w:val="16"/>
          <w:szCs w:val="16"/>
          <w:color w:val="auto"/>
        </w:rPr>
        <w:t xml:space="preserve"> (a variable capital listed stock corporation), whereas previously companies’ names in Mexico, including ours, did not indicate whether the company was a listed company (</w:t>
      </w:r>
      <w:r>
        <w:rPr>
          <w:rFonts w:ascii="Arial" w:cs="Arial" w:eastAsia="Arial" w:hAnsi="Arial"/>
          <w:sz w:val="16"/>
          <w:szCs w:val="16"/>
          <w:i w:val="1"/>
          <w:iCs w:val="1"/>
          <w:color w:val="auto"/>
        </w:rPr>
        <w:t>sociedad</w:t>
      </w:r>
      <w:r>
        <w:rPr>
          <w:rFonts w:ascii="Arial" w:cs="Arial" w:eastAsia="Arial" w:hAnsi="Arial"/>
          <w:sz w:val="16"/>
          <w:szCs w:val="16"/>
          <w:color w:val="auto"/>
        </w:rPr>
        <w:t xml:space="preserve"> </w:t>
      </w:r>
      <w:r>
        <w:rPr>
          <w:rFonts w:ascii="Arial" w:cs="Arial" w:eastAsia="Arial" w:hAnsi="Arial"/>
          <w:sz w:val="16"/>
          <w:szCs w:val="16"/>
          <w:i w:val="1"/>
          <w:iCs w:val="1"/>
          <w:color w:val="auto"/>
        </w:rPr>
        <w:t>anónima de capital variable</w:t>
      </w:r>
      <w:r>
        <w:rPr>
          <w:rFonts w:ascii="Arial" w:cs="Arial" w:eastAsia="Arial" w:hAnsi="Arial"/>
          <w:sz w:val="16"/>
          <w:szCs w:val="16"/>
          <w:color w:val="auto"/>
        </w:rPr>
        <w:t>). We were registered in the Public Registry of Commerce of Monterrey, Nuevo León on May 30, 1936 under the mercantile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16, page 168, volume 79, third book, second auxiliary of the Registry.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 and Certain Minority Rights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Each Series B Share entitles its holder to one vote at any of our ordinary or extraordinary general shareholders meetings. Our bylaws state that the board of directors must comprise no more than 21 members. Holders of Series B Shares are entitled to elect at least 11 members of our board of directors. Holders of Series D-B and D-L Shares are entitled to elect five members of our board of directors. Our bylaws also contemplate that, should a conversion of the Series D-L Shares to Series L Shares occur pursuant to the vote of our Series D-B and Series D-L shareholders at special and extraordinary shareholders meetings, the holders of Series D-L shares (who would become holders of newly-issued Series L Shares) will be entitled to elect two members of the board of directors. None of our shares has cumulative voting rights, which is a right not regulated under Mexican law.</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bylaws, the holders of Series D-B and Series D-L Shares are entitled to vote at extraordinary shareholders meetings called to consider any of the following limited matters: (1) the transformation from one form of corporate organization to another, other than from a company with variable capital stock to a company without variable capital stock or vice versa, (2) any merger in which we are not the surviving entity or with other entities whose principal corporate purposes are different from those of our company or our subsidiaries, (3) change of our jurisdiction of incorporation, (4) dissolution and liquidation and (5) the cancellation of the registration of the Series D Shares or Series L Shares in the Mexican Stock Exchange or in any other foreign stock market where listed, except in the case of the conversion of these shares as provided for in our bylaws.</w:t>
      </w:r>
    </w:p>
    <w:p>
      <w:pPr>
        <w:spacing w:after="0" w:line="12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Holders of Series D-B Shares and Series D-L Shares are also entitled to vote at any extraordinary shareholders meeting called to consider any of the following matters:</w:t>
      </w:r>
    </w:p>
    <w:p>
      <w:pPr>
        <w:spacing w:after="0" w:line="51" w:lineRule="exact"/>
        <w:rPr>
          <w:sz w:val="20"/>
          <w:szCs w:val="20"/>
          <w:color w:val="auto"/>
        </w:rPr>
      </w:pPr>
    </w:p>
    <w:p>
      <w:pPr>
        <w:ind w:left="900" w:right="18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approve a conversion of all of the outstanding Series D-B Shares and Series D-L Shares into Series B shares with full voting rights and Series L Shares with limited voting rights, respectively.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agree to the unbundling of their share Units.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conversion and/or unbundling of shares would become effective two (2) years after the date on which the shareholders agreed to such conversion and/or unbundling.</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Under Mexican law, holders of shares of any series are entitled to vote as a class in a special meeting governed by the same rules that apply to extraordinary shareholders meetings on any action that would have an effect on the rights of holders of shares of such series. There are no procedures for determining whether a particular proposed shareholder action requires a class vote, and Mexican law does not provide extensive guidance on the criteria to be applied in making such a determination.</w:t>
      </w:r>
    </w:p>
    <w:p>
      <w:pPr>
        <w:spacing w:after="0" w:line="14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Pursuant to the Mexican Securities Market Law and the Mexican General Corporations Law, our bylaws include a number of minority shareholder protections. These minority protections include provisions that permit:</w:t>
      </w:r>
    </w:p>
    <w:p>
      <w:pPr>
        <w:spacing w:after="0" w:line="51" w:lineRule="exact"/>
        <w:rPr>
          <w:sz w:val="20"/>
          <w:szCs w:val="20"/>
          <w:color w:val="auto"/>
        </w:rPr>
      </w:pPr>
    </w:p>
    <w:p>
      <w:pPr>
        <w:ind w:left="900" w:right="3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entitled to vote (including in a limited or restricted manner) to require the chairman of the board of directors or of the Audit or Corporate Practices Committees to call a shareholders’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holders of at least 5% of our outstanding capital stock, including limited or restricted vote, may bring an action for liabilities against our directors, the secretary of the board of directors or the relevant officers;</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holders of at least 10% of our outstanding capital stock who are entitled to vote, including limited or restricted vote, at any shareholders meeting to request that resolutions with respect to any matter on which they considered they were not sufficiently informed be postponed;</w:t>
      </w:r>
    </w:p>
    <w:p>
      <w:pPr>
        <w:spacing w:after="0" w:line="4" w:lineRule="exact"/>
        <w:rPr>
          <w:rFonts w:ascii="Arial" w:cs="Arial" w:eastAsia="Arial" w:hAnsi="Arial"/>
          <w:sz w:val="16"/>
          <w:szCs w:val="16"/>
          <w:color w:val="auto"/>
        </w:rPr>
      </w:pPr>
    </w:p>
    <w:p>
      <w:pPr>
        <w:ind w:left="900" w:right="120" w:hanging="446"/>
        <w:spacing w:after="0" w:line="291"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holders of 20% of our outstanding capital stock to oppose any resolution adopted at a shareholders meeting in which they are entitled to vote, including limited or restricted vote, and file a petition for a court order to suspend the resolution temporarily within 15 days following the adjournment of the meeting at which the action was taken, provided that (1) the challenged resolution violates Mexican law or our bylaws, (2) the opposing shareholders neither attended the meeting nor voted in favor of the challenged resolution and (3) the opposing shareholders deliver a bond to the court to secure payment of any damages that we may suffer as a result of suspending the resolution in the event that the court ultimately rules against the opposing shareholder; and</w:t>
      </w:r>
    </w:p>
    <w:p>
      <w:pPr>
        <w:spacing w:after="0" w:line="39"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who are entitled to vote, including limited or restricted vote, to appoint one member of our board of directors and one alternate member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General shareholders meetings may be ordinary meetings or extraordinary meetings. Extraordinary meetings are those called to consider certain matters specified in Article 182 and 228 bis. of the Mexican General Corporations Law, Article 53 of the Mexican Securities Law and in our bylaws. These matters include: amendments to our bylaws, liquidation, dissolution, merger and transformation from one form of corporate organization to another, issuance of preferred stock and increases and reductions of the fixed portion of our capital stock. In addition, our bylaws require an extraordinary meeting to consider the cancellation of the registration of shares with the Mexican Registry of Securities, or RNV or with other foreign stock exchanges on which our shares may be listed, the amortization of distributable earnings into capital stock, and an increase in our capital stock in terms of the Mexican Securities Law. General meetings called to consider all other matters, including increases or decreases affecting the variable portion of our capital stock, are ordinary meetings. An ordinary meeting must be held at least once each year within the first four months following the end of the preceding fiscal year. Holders of BD Units or B Units are entitled to attend all shareholders meetings of the Series B Shares and Series D Shares included in the BD Units or B Units and to vote on matters that are subject to the vote of holders of the underlying shares.</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quorum for an ordinary shareholders meeting on first call of the Series B Shares is more than 50% of the Series B Shares, and action may be taken by a majority of the Series B Shares represented at the meeting. If a quorum is not available, a second or subsequent meeting may be called and held by whatever number of Series B Shares is represented at the meeting, at which meeting action may be taken by a majority of the Series B Shares that are represented at the meeting.</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quorum for an extraordinary shareholders meeting is at least 75% of the shares entitled to vote at the meeting, and action may be taken by a vote of the majority of all the outstanding shares that are entitled to vote. If a quorum is not available, a second meeting may be called, at which the quorum will be the majority of the outstanding capital stock entitled to vote, and actions will be taken by holders of the majority of all the outstanding capital stock entitled to vote.</w:t>
      </w:r>
    </w:p>
    <w:p>
      <w:pPr>
        <w:spacing w:after="0" w:line="107"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5"/>
          <w:szCs w:val="15"/>
          <w:color w:val="auto"/>
        </w:rPr>
        <w:t xml:space="preserve">Shareholders meetings may be called by the board of directors, the audit committee or the corporate practice committee and, under certain circumstances, a Mexican court. Holders of 10% or more of our capital stock may require the chairman of the board of directors, or the chairman of the audit or corporate practices committees to call a shareholders meeting. A notice of meeting and an agenda must be published in the </w:t>
      </w:r>
      <w:r>
        <w:rPr>
          <w:rFonts w:ascii="Arial" w:cs="Arial" w:eastAsia="Arial" w:hAnsi="Arial"/>
          <w:sz w:val="15"/>
          <w:szCs w:val="15"/>
          <w:i w:val="1"/>
          <w:iCs w:val="1"/>
          <w:color w:val="auto"/>
        </w:rPr>
        <w:t>Periódico Oficial del Estado de Nuevo León</w:t>
      </w:r>
      <w:r>
        <w:rPr>
          <w:rFonts w:ascii="Arial" w:cs="Arial" w:eastAsia="Arial" w:hAnsi="Arial"/>
          <w:sz w:val="15"/>
          <w:szCs w:val="15"/>
          <w:color w:val="auto"/>
        </w:rPr>
        <w:t xml:space="preserve"> (the Official State Gazette of Nuevo León) or a newspaper of general circulation in Monterrey, Nuevo León, Mexico at least 15 days prior to the date set for the meeting.</w:t>
      </w:r>
    </w:p>
    <w:p>
      <w:pPr>
        <w:spacing w:after="0" w:line="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Notices must set forth the place, date and time of the meeting and the matters to be addressed and must be signed by whomever convened the meeting. Shareholders meetings will be deemed validly held and convened without a prior notice or publication whenever all the shares representing our capital stock are fully represented. All relevant information relating to the shareholders meeting must be made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available to shareholders starting on the date of publication of the notice. To attend a meeting, shareholders must deposit their shares with the company or with Indeval or an institution for the deposit of securities prior to the meeting as indicated in the notice. If entitled to attend a meeting, a shareholder may be represented by an attorney-in-fact.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At the annual ordinary general shareholders meeting, the board of directors submits the financial statements of the company for the previous fiscal year, together with a report thereon by the board of directors.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the shareholders. Dividends may only be paid if net profits are sufficient to offset losses from prior fiscal years.</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Amounts allocated as dividends will be paid to the holders of capital stock of our company in the following manner. Our bylaws provide that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Capital and Withdrawal Rights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outstanding capital stock consists of both a fixed and a variable portion. The fixed portion of our capital stock may be increased or decreased only by an amendment of the bylaws adopted by an extraordinary shareholders meeting. The variable portion of our capital stock may be increased or decreased by resolution of an ordinary shareholders meeting. Capital increases and decreases must be recorded in our share registry and book of capital variations, if applicable.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capital stock increase may be effected through the issuance of new shares for payment in cash or in kind, or by capitalization of indebtedness or of certain items of stockholders’ equity. Treasury stock may only be sold pursuant to a public offering.</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Any increase or decrease in our capital stock or any redemption or repurchase will be subject to the following limitations: (1) Series B Shares will always represent at least 51% of our outstanding capital stock and the Series D-L Shares and Series L Shares will never represent more than 25% of our outstanding capital stock; and (2) the Series D-B, Series D-L and Series L Shares will not exceed, in the aggregate, 49% of our outstanding capital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Mexican law, except in limited circumstances which are described below, in the event of an increase in our capital stock, a holder of record generally has the right to subscribe to shares of a series held by such holder sufficient to maintain such holder’s existing proportionate holding of shares of that series. Preemptive rights must be exercised during a term fixed by the shareholders at the meeting declaring the capital increase, which term must last at least 15 days following the publication of notice of the capital increase in the Official State Gazette. As a result of applicable United States securities laws, holders of ADSs may be restricted in their ability to participate in the exercise of preemptive rights under the terms of the deposit agreement. Shares subject to a preemptive rights offering, with respect to which preemptive rights have not been exercised, may be sold by us to third parties on the same terms and conditions previously approved by the shareholders or the board of directors. Under Mexican law, preemptive rights cannot be waived in advance or be assigned, or be represented by an instrument that is negotiable separately from the corresponding shares.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bylaws provide that shareholders will not have preemptive rights to subscribe shares in the event of a capital stock increase in the following events:</w:t>
      </w:r>
    </w:p>
    <w:p>
      <w:pPr>
        <w:spacing w:after="0" w:line="38" w:lineRule="exact"/>
        <w:rPr>
          <w:sz w:val="20"/>
          <w:szCs w:val="20"/>
          <w:color w:val="auto"/>
        </w:rPr>
      </w:pPr>
    </w:p>
    <w:p>
      <w:pPr>
        <w:ind w:right="40" w:firstLine="8"/>
        <w:spacing w:after="0" w:line="281" w:lineRule="auto"/>
        <w:tabs>
          <w:tab w:leader="none" w:pos="21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merger of the Company; (ii) conversion of obligations in terms of the Mexican General Corporations Law; (iii) public offering in terms of articles 53 and 56 of the Mexican Securities Law; (iv) capital increase made through the payment in kind of the issued shares or through the cancellation of debt of the Company;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issuance of shares acquired by the company.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Share Ownership</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Ownership by non-Mexican nationals of shares of Mexican companies is regulated by the Foreign Investment Law and its regulations. The Foreign Investment Commission is responsible for the administration of the Foreign Investment Law and its regulations.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general rule, the Foreign Investment Law allows foreign holdings of up to 100% of the capital stock of Mexican companies, except for those companies engaged in certain specified restricted industries. The Foreign Investment Law and its regulations require that Mexican shareholders retain the power to determine the administrative control and the management of corporations in industries in which special restrictions on foreign holdings are applicable. Foreign investment in our shares is not limited under either the Foreign Investment Law or its regulations.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Authority of the Board of Directors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is our legal representative and is authorized to take any action in connection with our operations not expressly reserved to our shareholders. Pursuant to the Mexican Securities Law, the board of directors must approve, observing at all moments their duty of care and duty of loyalty, among other matters:</w:t>
      </w:r>
    </w:p>
    <w:p>
      <w:pPr>
        <w:spacing w:after="0" w:line="59"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transactions with related parties outside the ordinary course of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significant asset transfers or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material guarantees or collateral;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internal policies;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material transactions.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Meetings of the board of directors are validly convened and held if a majority of the members are present. Resolutions passed at these meetings will be valid if approved by a majority of members of the board of directors are present at the meeting. If required, the chairman of the board of directors may cast a tie-breaking vote.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may redeem part of our shares for cancellation with distributable earnings pursuant to a decision of an extraordinary shareholders meeting. Only shares subscribed and fully paid for may be redeemed. Any shares intended to be redeemed shall be purchased on the Mexican Stock Exchange in accordance with the Mexican General Corporations Law and the Mexican Securities Market Law. No shares will be redeemed, if as a consequence of such redemption, the Series D and Series L Shares in the aggregate exceed the percentages permitted by our bylaws or if any such redemption will reduce our fixed capital below its minimum.</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Repurchase of Shares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According to our bylaws, subject to the provisions of the Mexican Securities Law and under rules promulgated by the CNBV, we may repurchase our shares.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accordance with the Mexican Securities Law, our subsidiaries may not purchase, directly or indirectly, shares of our capital stock or any security that represents such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Forfeiture of Shares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required by Mexican law, our bylaws provide that non-Mexican holders of BD Units, B Units or shares (1) are considered to be Mexican with respect to such shares that they acquire or hold and (2) may not invoke the protection of their own governments in respect of the investment represented by those shares. Failure to comply with our bylaws may result in a penalty of forfeiture of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shareholder’s capital stock in favor of the Mexican state. In the opinion of Lic. Carlos Aldrete Ancira, our general counsel, under this provision, a non-Mexican shareholder (including a non-Mexican holder of ADSs) is deemed to have agreed not to invoke the protection of its own government by asking such government to interpose a diplomatic claim against the Mexican state with respect to its rights as a shareholder, but is not deemed to have waived any other rights it may have, including any rights under the United States securities laws, with respect to its investment in our company. If a shareholder should invoke governmental protection in violation of this agreement, its shares could be forfeited to the Mexican state.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bylaws provide that the duration of our company is 99 years, commencing on May 30, 1936.</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Whenever the shareholders approve a change of corporate purpose, change of jurisdiction of incorporation or the transformation from one form of corporate organization to another, any shareholder entitled to vote on such change that has voted against it, may withdraw as a shareholder of our company and have its shares redeemed by FEMSA at a price per share calculated as specified under applicable Mexican law, provided that it exercises its right within 15 days following the adjournment of the meeting at which the change was approved. Under Mexican law, the amount which a withdrawing shareholder is entitled to receive is equal to its proportionate interest in our capital stock or according to our most recent balance sheet approved by an ordinary general shareholders meeting.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Delisting of Shares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the event of a cancellation of the registration of any of our shares with the RNV, whether by order of the CNBV or at our request with the prior consent of 95% of the holders of our outstanding capital stock, our bylaws and the new Mexican Securities Law require us to make a public offer to acquire these shares prior to their cancellation.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Upon the dissolution of our company, one or more liquidators must be appointed by an extraordinary general meeting of the shareholders to wind up its affairs. All fully paid and outstanding shares of capital stock will be entitled to participate equally in any distribution upon liquidation.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Actions Against Directors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Shareholders (including holders of Series D-B and Series D-L Shares) representing, in the aggregate, not less than 5% of our capital stock may directly bring an action against directors.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the event of actions derived from any breach of the duty of care and the duty of loyalty, liability is exclusively in favor of the company. The Mexican Securities Law, contrary to the previous securities law, establishes that liability may be imposed on the members and the secretary of the board of directors, as well as to the relevant officers. Notwithstanding, the Mexican Securities Law provides that the members of the board of directors will not incur, individually or jointly, liability for damages and losses caused to the company, when their acts were made in good faith, in any of the following events (1) the directors complied with the requirements of the Mexican Securities Law and with the company’s bylaws, (2) the decision making or voting was based on information provided by the relevant officers, the external auditor or the independent experts, whose capacity and credibility do not offer reasonable doubt; (3) the negative economic effects could not have been foreseen, based on the information available; and (4) they comply with the resolutions of the shareholders’ meeting when such resolutions comply with applicable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Fiduciary Duties—Duty of Care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Mexican Securities Law provides that the directors shall act in good faith and in our best interest and in the best interest of our subsidiaries. In order to fulfill its duty, the board of directors may:</w:t>
      </w:r>
    </w:p>
    <w:p>
      <w:pPr>
        <w:spacing w:after="0" w:line="51" w:lineRule="exact"/>
        <w:rPr>
          <w:sz w:val="20"/>
          <w:szCs w:val="20"/>
          <w:color w:val="auto"/>
        </w:rPr>
      </w:pPr>
    </w:p>
    <w:p>
      <w:pPr>
        <w:ind w:left="1460" w:hanging="547"/>
        <w:spacing w:after="0"/>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request information about us or our subsidiaries that is reasonably necessary to fulfill its duties;</w:t>
      </w:r>
    </w:p>
    <w:p>
      <w:pPr>
        <w:spacing w:after="0" w:line="90" w:lineRule="exact"/>
        <w:rPr>
          <w:rFonts w:ascii="Arial" w:cs="Arial" w:eastAsia="Arial" w:hAnsi="Arial"/>
          <w:sz w:val="18"/>
          <w:szCs w:val="18"/>
          <w:color w:val="auto"/>
        </w:rPr>
      </w:pPr>
    </w:p>
    <w:p>
      <w:pPr>
        <w:ind w:left="1460" w:right="80" w:hanging="547"/>
        <w:spacing w:after="0" w:line="268"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require our officers and certain other persons, including the external auditors, to appear at board of directors’ meetings to report to the board of directors;</w:t>
      </w:r>
    </w:p>
    <w:p>
      <w:pPr>
        <w:spacing w:after="0" w:line="50" w:lineRule="exact"/>
        <w:rPr>
          <w:rFonts w:ascii="Arial" w:cs="Arial" w:eastAsia="Arial" w:hAnsi="Arial"/>
          <w:sz w:val="18"/>
          <w:szCs w:val="18"/>
          <w:color w:val="auto"/>
        </w:rPr>
      </w:pPr>
    </w:p>
    <w:p>
      <w:pPr>
        <w:ind w:left="1460" w:right="80" w:hanging="547"/>
        <w:spacing w:after="0" w:line="268"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postpone board of directors’ meetings for up to three days when a director has not been given sufficient notice of the meeting or in the event that a director has not been provided with the information provided to the other directors;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require a matter be discussed and voted upon by the full board of directors in the presence of the secretary of the board of directors.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directors may be liable for damages for failing to comply their duty of care if such failure causes economic damage to us or our subsidiaries and the director (1) failed to attend, board of directors’ or committee meetings and as a result of, such failure, the board of directors was unable to take action, unless such absence is approved by the shareholders meeting, (2) failed to disclose to the board of directors or the committees material information necessary for the board of directors to reach a decision, unless legally or contractually prohibited from doing so in order to maintain confidentiality, and (3) failed to comply with the duties imposed by the Mexican Securities Law or our bylaws.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Fiduciary Duties—Duty of Loyalty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Mexican Securities Law provides that the directors and secretary of the board of directors shall keep confidential any non-public information and matters about which they have knowledge as a result of their position. Also, directors should abstain from participating, attending or voting at meetings related to matters where they have a conflict of interest.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directors and secretary of the board of directors will be deemed to have violated the duty of loyalty, and will be liable for damages, when they obtain an economic benefit by virtue of their position. Further, the directors will fail to comply with their duty of loyalty if they:</w:t>
      </w:r>
    </w:p>
    <w:p>
      <w:pPr>
        <w:spacing w:after="0" w:line="51" w:lineRule="exact"/>
        <w:rPr>
          <w:sz w:val="20"/>
          <w:szCs w:val="20"/>
          <w:color w:val="auto"/>
        </w:rPr>
      </w:pPr>
    </w:p>
    <w:p>
      <w:pPr>
        <w:ind w:left="1460" w:hanging="547"/>
        <w:spacing w:after="0"/>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vote at a board of directors’ meeting or take any action on a matter involving our assets where there is a conflict of interest;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 to disclose a conflict of interest during a board of directors’ meeting;</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 into an voting arrangement to support a particular shareholder or group of shareholders against the other shareholders;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approve of transactions without complying with the requirements of the Mexican Securities Law;</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use company property in violation of the policies approved by the board of directors;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unlawfully use material non-public information;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usurp a corporate opportunity for their own benefit or the benefit of third parties, without the prior approval of the board of directors.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liability of shareholders for our company’s losses is limited to their shareholdings in our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following summary contains a description of certain U.S. federal income and Mexican federal tax consequences of the purchase, ownership and disposition of our ADSs by a holder that is a citizen or resident of the United States, a U.S. domestic corporation or a person or entity that otherwise will be subject to U.S. federal income tax on a net income basis in respect of our ADSs, whom we refer to as a U.S. holder, but it does not purport to be a description of all of the possible tax considerations that may be relevant to a decision to purchase, hold or dispose of ADSs. In particular, this discussion does not address all Mexican or U.S. federal income tax considerations that may be relevant to a particular investor, nor does it address the special tax rules applicable to certain categories of investors, such as banks, dealers, traders who elect to mark to market, tax-exempt entities, insurance companies, certain short-term holders of ADSs or investors who hold our ADSs as part of a hedge, straddle, conversion or integrated transaction or investors who have a “functional currency” other than the U.S. dollar. This summary deals only with U.S. holders that will hold our ADSs as capital assets and does not address the tax treatment of a U.S. holder that owns or is treated as owning 10% or more of the voting shares (including ADSs) of the company.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This summary is based upon the federal tax laws of the United States and Mexico as in effect on the date of this annual report, including the provisions of the income tax treaty between the United States and Mexico which we refer to as the Tax Treaty, which are subject to change. The summary does not address any tax consequences under the laws of any state or locality of Mexico or the United States or the laws of any taxing jurisdiction other than the federal laws of Mexico and the United States. Holders of our ADSs should consult their tax advisors as to the U.S., Mexican or other tax consequences of the purchase, ownership and disposition of ADSs, including, in particular, the effect of any foreign, state or local tax 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Mexican Taxation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purposes of this summary, the term “non-resident holder” means a holder that is not a resident of Mexico for tax purposes and that does not hold our ADSs in connection with the conduct of a trade or business through a permanent establishment for tax purposes in Mexico. For purposes of Mexican taxation, an individual is a resident of Mexico if he or she has established his or her home in Mexico, or if he or she has another home outside Mexico, but his or her Centro de Intereses Vitales (Center of Vital Interests) (as defined in the Mexican Tax Code) is located in Mexico. A legal entity is a resident of Mexico either if it has its principal place of business or its place of effective management in Mexico. A Mexican citizen is presumed to be a resident of Mexico unless he or she can demonstrate that the contrary is true. If a legal entity or an individual is deemed to have a permanent establishment in Mexico for tax purposes, all income attributable to the permanent establishment will be subject to Mexican taxes, in accordance with applicable tax laws.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Taxation of Dividends</w:t>
      </w:r>
      <w:r>
        <w:rPr>
          <w:rFonts w:ascii="Arial" w:cs="Arial" w:eastAsia="Arial" w:hAnsi="Arial"/>
          <w:sz w:val="18"/>
          <w:szCs w:val="18"/>
          <w:color w:val="auto"/>
        </w:rPr>
        <w:t>. Under Mexican income tax law, dividends, either in cash or in kind, paid with respect to our shares represented by our ADSs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Mexican withholding tax.</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Taxation of Dispositions of ADSs</w:t>
      </w:r>
      <w:r>
        <w:rPr>
          <w:rFonts w:ascii="Arial" w:cs="Arial" w:eastAsia="Arial" w:hAnsi="Arial"/>
          <w:sz w:val="18"/>
          <w:szCs w:val="18"/>
          <w:color w:val="auto"/>
        </w:rPr>
        <w:t>. Gains from the sale or disposition of ADSs by non-resident holders will not be subject to Mexican tax, if the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is carried out through a stock exchange recognized under applicable Mexican tax law.</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Gains on the sale or other disposition of ADSs made in circumstances different from those set forth in the prior paragraph generally would be subject to Mexican tax, regardless of the nationality or residence of the transferor. However, under the Tax Treaty, a holder that is eligible to claim the benefits of the Tax Treaty will be exempt from Mexican tax on gains realized on a sale or other disposition of our ADSs in a transaction that is not carried out through the Mexican Stock Exchange or other approved securities markets, so long as the holder did not own, directly or indirectly, 25% or more of our outstanding capital stock (including shares represented by our ADSs) within the 12-month period preceding such sale or other disposition. Deposits of shares in exchange for ADSs and withdrawals of shares in exchange for our ADSs will not give rise to Mexican tax.</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Other Mexican Taxes</w:t>
      </w:r>
      <w:r>
        <w:rPr>
          <w:rFonts w:ascii="Arial" w:cs="Arial" w:eastAsia="Arial" w:hAnsi="Arial"/>
          <w:sz w:val="16"/>
          <w:szCs w:val="16"/>
          <w:color w:val="auto"/>
        </w:rPr>
        <w:t>. There are no Mexican inheritance, gift, succession or value added taxes applicable to the ownership, transfer, exchange or disposition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ADSs. There are no Mexican stamp, issue, registration or similar taxes or duties payable by holders of our ADSs.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Taxation</w:t>
      </w:r>
    </w:p>
    <w:p>
      <w:pPr>
        <w:spacing w:after="0" w:line="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i w:val="1"/>
          <w:iCs w:val="1"/>
          <w:color w:val="auto"/>
        </w:rPr>
        <w:t xml:space="preserve">Taxation of Dividends. </w:t>
      </w:r>
      <w:r>
        <w:rPr>
          <w:rFonts w:ascii="Arial" w:cs="Arial" w:eastAsia="Arial" w:hAnsi="Arial"/>
          <w:sz w:val="16"/>
          <w:szCs w:val="16"/>
          <w:color w:val="auto"/>
        </w:rPr>
        <w:t>The gross amount of any dividends paid with respect to our shares represented by our ADSs generally will be included in the gross</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a U.S. holder as ordinary income on the day on which the dividends are received by the ADS depositary and will not be eligible for the dividends received deduction allowed to corporations under the Internal Revenue Code of 1986, as amended. Dividends, which will be paid in Mexican pesos, will be includible in the income of a U.S. holder in a U.S. dollar amount calculated, in general, by reference to the exchange rate in effect on the date that they are received by the ADS depositary (regardless of whether such Mexican pesos are in fact converted into U.S. dollars on such date). If such dividends are converted into U.S. dollars on the date of receipt, a U.S. holder generally should not be required to recognize foreign currency gain or loss in respect of the dividends. U.S. holders should consult their tax advisors regarding the treatment of the foreign currency gain or loss, if any, on any Mexican pesos received that are converted into U.S. dollars on a date subsequent to the date of receipt. Subject to certain exceptions for short-term and hedged positions, the U.S. dollar amount of dividends received by an individual U.S. holder in respect of the ADSs for taxable years beginning before January 1, 2011 is subject to taxation at a maximum rate of 15% if the dividends are “qualified dividends.” Dividends paid on the ADSs will be treated as qualified dividends if (1) we are eligible for the benefits of a comprehensive income tax treaty with the United States that the Internal Revenue Service has approved for the purposes of the qualified dividend rules and</w:t>
      </w:r>
    </w:p>
    <w:p>
      <w:pPr>
        <w:spacing w:after="0" w:line="5" w:lineRule="exact"/>
        <w:rPr>
          <w:sz w:val="20"/>
          <w:szCs w:val="20"/>
          <w:color w:val="auto"/>
        </w:rPr>
      </w:pPr>
    </w:p>
    <w:p>
      <w:pPr>
        <w:ind w:right="40" w:firstLine="8"/>
        <w:spacing w:after="0" w:line="252"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were not, in the year prior to the year in which the dividend was paid, and are not, in the year in which the dividend is paid, a passive foreign investment company. The income tax treaty between Mexico and the United States has been approved for the purposes of the qualified dividend rules. Based on our audited consolidated financial statements and relevant market and shareholder data, we believe that we were not treated as a passive foreign investment company for U.S. federal income tax purposes with respect to our 2007 taxable year. In addition, based on our audited consolidated financial statements and our current expectations regarding the value and nature of our assets, the sources and nature of our income, and relevant market and shareholder data, we do not anticipate becoming a passive foreign investment company for our 2008 taxable year. Dividends generally will constitute foreign source “passive income” for U.S. foreign tax credit purposes.</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to holders of additional shares with respect to our ADSs that are made as part of a pro rata distribution to all of our shareholders generally will not be subject to U.S. federal income tax.</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holder of ADSs that is, with respect to the United States, a foreign corporation or non-U.S. holder generally will not be subject to U.S. federal income or withholding tax on dividends received on ADSs unless such income is effectively connected with the conduct by the non-U.S. holder of a trade or business in the United States.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Taxation of Capital Gains</w:t>
      </w:r>
      <w:r>
        <w:rPr>
          <w:rFonts w:ascii="Arial" w:cs="Arial" w:eastAsia="Arial" w:hAnsi="Arial"/>
          <w:sz w:val="18"/>
          <w:szCs w:val="18"/>
          <w:color w:val="auto"/>
        </w:rPr>
        <w:t>. A gain or loss realized by a U.S. holder on the sale or other disposition of ADSs will be subject to U.S. federal income taxation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 capital gain or loss in an amount equal to the difference between the amount realized on the disposition and such U.S. holder’s tax basis in the ADSs. Any such gain or loss will be a long-term capital gain or loss if the ADSs were held for more than one year on the date of such sale. Any long-term capital gain recognized by a U.S. holder that is an individual is subject to a reduced rate of federal income taxation. The deduction of capital losses is subject to limitations for U.S. federal income tax purposes. Deposits and withdrawals of shares by U.S. holders in exchange for ADSs will not result in the realization of gains or losses for U.S. federal income tax purposes.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by a U.S. holder on the sale or other disposition of ADSs will be treated as U.S. source income for U.S. foreign tax credit purposes.</w:t>
      </w:r>
    </w:p>
    <w:p>
      <w:pPr>
        <w:spacing w:after="0" w:line="19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non-U.S. holder of ADSs will not be subject to U.S. federal income or withholding tax on any gain realized on the sale of ADSs, unless (1) such gain is effectively connected with the conduct by the non-U.S. holder of a trade or business in the United States, or (2) in the case of a gain realized by an individual non-U.S. holder, the non-U.S. holder is present in the United States for 183 days or more in the taxable year of the sale and certain other conditions are met.</w:t>
      </w:r>
    </w:p>
    <w:p>
      <w:pPr>
        <w:spacing w:after="0" w:line="107"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i w:val="1"/>
          <w:iCs w:val="1"/>
          <w:color w:val="auto"/>
        </w:rPr>
        <w:t>United States Backup Withholding and Information Reporting</w:t>
      </w:r>
      <w:r>
        <w:rPr>
          <w:rFonts w:ascii="Arial" w:cs="Arial" w:eastAsia="Arial" w:hAnsi="Arial"/>
          <w:sz w:val="16"/>
          <w:szCs w:val="16"/>
          <w:color w:val="auto"/>
        </w:rPr>
        <w:t>. A U.S. holder of ADSs may, under certain circumstances, be subject to “backup</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with respect to certain payments to such U.S. holder, such as dividends, interest or the proceeds of 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sale or disposition of ADSs, unless such holder (1) is a corporation or comes within certain exempt categories, and demonstrates this fact when so required, or</w:t>
      </w:r>
    </w:p>
    <w:p>
      <w:pPr>
        <w:spacing w:after="0" w:line="38" w:lineRule="exact"/>
        <w:rPr>
          <w:sz w:val="20"/>
          <w:szCs w:val="20"/>
          <w:color w:val="auto"/>
        </w:rPr>
      </w:pPr>
    </w:p>
    <w:p>
      <w:pPr>
        <w:ind w:right="20" w:firstLine="8"/>
        <w:spacing w:after="0" w:line="295" w:lineRule="auto"/>
        <w:tabs>
          <w:tab w:leader="none" w:pos="2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provides a correct taxpayer identification number, certifies that it is not subject to backup withholding and otherwise complies with applicable requirements of the backup withholding rules. Any amount withheld under these rules does not constitute a separate tax and will be creditable against the holder’s U.S. federal income tax liability. While non-U.S. holders generally are exempt from backup withholding, a non-U.S. holder may, in certain circumstances, be required to comply with certain information and identification procedures in order to prove this exemption.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9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and our subsidiaries are parties to a variety of material agreements with third parties, including shareholders’ agreements, supply agreements and purchase and service agreements. Set forth below are summaries of the material terms of such agreements. The actual agreements have either been filed as exhibits to, or incorporated by reference in, this annual report. See “Item 19. Exhibits.”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Coca-Cola FEMSA operates pursuant to a shareholders agreement among two subsidiaries of FEMSA, The Coca-Cola Company and certain of its subsidiaries. This agreement, together with Coca-Cola FEMSA’s bylaws, sets forth the basic rules under which Coca-Cola FEMSA operates.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shareholders agreement contemplates that Coca-Cola FEMSA will be managed in accordance with one-year and five-year business plans, although in practice, it is now managed according to a three-year plan.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Coca-Cola FEMSA’s bylaws, its Series A Shares and Series D Shares are the only shares with full voting rights and, therefore, control actions by its shareholders. Except in certain limited situations, the holders of Series A Shares and Series D Shares have the power to determine the outcome of all actions requiring approval by the shareholders. For actions by its board of directors, a supermajority including the directors appointed by the holders of Series D Shares is required for all actions.</w:t>
      </w:r>
    </w:p>
    <w:p>
      <w:pPr>
        <w:spacing w:after="0" w:line="14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shareholders agreement sets forth the principal shareholders’ understanding as to the effect of adverse actions of The Coca-Cola Company under the bottler agreements. Coca-Cola FEMSA’s bylaws provide that a majority of the directors appointed by the holders of Series A Shares, upon making a reasonable, good faith determination that any action of The Coca-Cola Company under any bottler agreement between The Coca-Cola Company and Coca-Cola FEMSA or any of its subsidiaries is materially adverse to Coca-Cola FEMSA’s business interests and that The Coca-Cola Company has failed to cure such action within 60 days of notice, may declare a simple majority period at any time within 90 days after giving notice. During the simple majority period certain decisions, namely the approval of material changes in Coca-Cola FEMSA’s business plans, the introduction of a new, or termination of an existing, line of business, and related party transactions outside the ordinary course of business, which would ordinarily require the presence and approval of at least two Series D directors, can be made by a simple majority vote of its entire board of directors, without requiring the presence or approval of any Series D director. A majority of the Series A directors may terminate a simple majority period but, once having done so, cannot declare another simple majority period for one year after the termination. If a simple majority period persists for one year or more, the provisions of the shareholders agreement for resolution of irreconcilable differences may be triggered, with the consequences outlined in the following paragraph.</w:t>
      </w:r>
    </w:p>
    <w:p>
      <w:pPr>
        <w:spacing w:after="0" w:line="127"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In addition to the rights of first refusal provided for in Coca-Cola FEMSA’s bylaws regarding proposed transfers of Series A Shares or Series D Shares, the shareholders agreement contemplates three circumstances under which one principal shareholder may purchase the interest of the other in Coca-Cola FEMSA:</w:t>
      </w:r>
    </w:p>
    <w:p>
      <w:pPr>
        <w:ind w:right="460" w:firstLine="8"/>
        <w:spacing w:after="0" w:line="261" w:lineRule="auto"/>
        <w:tabs>
          <w:tab w:leader="none" w:pos="2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change in control in a principal shareholder; (2) the existence of irreconcilable differences between the principal shareholders; or (3) the occurrence of certain specified defaults.</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event that (1) one of the principal shareholders buys the other’s interest in Coca-Cola FEMSA in any of the circumstances described above or (2) the ownership of Coca-Cola FEMSA’s shares of capital stock other than the Series L Shares of the subsidiaries of The Coca-Cola Company or FEMSA is reduced below 20% and upon the request of the shareholder whose interest is not so reduced, the shareholders agreement requires that Coca-Cola FEMSA’s bylaws be amended to eliminate all share transfer restrictions and all super-majority voting and quorum requirements, after which the shareholders agreement would terminate. In the event that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335" w:lineRule="auto"/>
        <w:rPr>
          <w:sz w:val="20"/>
          <w:szCs w:val="20"/>
          <w:color w:val="auto"/>
        </w:rPr>
      </w:pPr>
      <w:r>
        <w:rPr>
          <w:rFonts w:ascii="Arial" w:cs="Arial" w:eastAsia="Arial" w:hAnsi="Arial"/>
          <w:sz w:val="15"/>
          <w:szCs w:val="15"/>
          <w:color w:val="auto"/>
        </w:rPr>
        <w:t>ownership of Coca-Cola FEMSA’s shares of capital stock other than the Series L Shares of the subsidiaries of The Coca-Cola Company or FEMSA is reduced below 25% (but not below 20%) and upon the request of the shareholder whose interest is not so reduced, the shareholders agreement requires that Coca-Cola FEMSA’s bylaws be amended to eliminate all super-majority voting and quorum requirements, other than those relating to the share transfer restrictions.</w:t>
      </w:r>
    </w:p>
    <w:p>
      <w:pPr>
        <w:spacing w:after="0" w:line="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shareholders agreement also contains provisions relating to the principal shareholders’ understanding as to Coca-Cola FEMSA’s growth. It states that it is The Coca-Cola Company’s intention that Coca-Cola FEMSA will be viewed as one of a small number of its “anchor” bottlers in Latin America. In particular, the parties agree that it is desirable that Coca-Cola FEMSA expands by acquiring additional bottler territories in Mexico and other Latin American countries in the event any become available through horizontal growth. In addition, The Coca-Cola Company has agreed, subject to a number of conditions, that if it obtains ownership of a bottler territory that fits with Coca-Cola FEMSA’s operations, it will give Coca-Cola FEMSA the option to acquire such territory. The Coca-Cola Company has also agreed to support prudent and sound modifications to Coca-Cola FEMSA’s capital structure to support horizontal growth. The Coca-Cola Company’s agreement as to horizontal growth expires upon either the elimination of the super-majority voting requirements described above or The Coca-Cola Company’s election to terminate the agreement as a result of a default.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Coca-Cola Memorandum</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 acquisition of Panamco, in 2003, Coca-Cola FEMSA established certain understandings primarily relating to operational and business issues with both The Coca-Cola Company and our company that were memorialized in writing prior to completion of the acquisition. The terms are as follows:</w:t>
      </w:r>
    </w:p>
    <w:p>
      <w:pPr>
        <w:spacing w:after="0" w:line="59"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current stockholder arrangements between our company and The Coca-Cola Company will continue in place. See “Shareholders Agreement.”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will continue to consolidate Coca-Cola FEMSA’s financial results.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Coca-Cola Company and our company will continue to discuss in good faith the possibility of implementing changes to Coca-Cola FEMSA’s capital structure in the future.</w:t>
      </w:r>
    </w:p>
    <w:p>
      <w:pPr>
        <w:spacing w:after="0" w:line="5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There will be no changes in concentrate incidence pricing or marketing support by The Coca-Cola Company up to May 2004. After such time, The Coca-Cola Company has complete discretion to implement any changes with respect to these matters, but any decision in this regard will be discussed with Coca-Cola FEMSA and will take Coca-Cola FEMSA’s operating condition into consideration.</w:t>
      </w:r>
    </w:p>
    <w:p>
      <w:pPr>
        <w:spacing w:after="0" w:line="25" w:lineRule="exact"/>
        <w:rPr>
          <w:rFonts w:ascii="Arial" w:cs="Arial" w:eastAsia="Arial" w:hAnsi="Arial"/>
          <w:sz w:val="16"/>
          <w:szCs w:val="16"/>
          <w:color w:val="auto"/>
        </w:rPr>
      </w:pPr>
    </w:p>
    <w:p>
      <w:pPr>
        <w:ind w:left="900" w:right="20" w:hanging="446"/>
        <w:spacing w:after="0" w:line="298"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Coca-Cola Company may require the establishment of a different long-term strategy for Brazil. If, after taking into account Coca-Cola FEMSA’s performance in Brazil, The Coca-Cola Company does not consider Coca-Cola FEMSA to be part of this long-term strategic solution for Brazil, then Coca-Cola FEMSA will sell its Brazilian franchise to The Coca-Cola Company or its designee at fair market value. Fair market value would be determined by independent investment bankers retained by each party at their own expense pursuant to specified procedures.</w:t>
      </w:r>
    </w:p>
    <w:p>
      <w:pPr>
        <w:spacing w:after="0" w:line="31" w:lineRule="exact"/>
        <w:rPr>
          <w:rFonts w:ascii="Arial" w:cs="Arial" w:eastAsia="Arial" w:hAnsi="Arial"/>
          <w:sz w:val="16"/>
          <w:szCs w:val="16"/>
          <w:color w:val="auto"/>
        </w:rPr>
      </w:pPr>
    </w:p>
    <w:p>
      <w:pPr>
        <w:ind w:left="900" w:right="100" w:hanging="446"/>
        <w:spacing w:after="0" w:line="25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FEMSA, The Coca-Cola Company and Coca-Cola FEMSA will meet to discuss the optimal Latin American territorial configuration for the Coca-Cola bottler system. During this meeting, Coca-Cola FEMSA will consider all possible combinations and any asset swap transactions that may arise from these discussions. In addition, Coca-Cola FEMSA will entertain any potential combination as long as it is strategically sound and done at fair market value.</w:t>
      </w:r>
    </w:p>
    <w:p>
      <w:pPr>
        <w:spacing w:after="0" w:line="62"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Coca-Cola FEMSA would like to keep open strategic alternatives that relate to the integration of sparkling beverages and beer. The Coca-Cola Company, our company and Coca-Cola FEMSA would explore these alternatives on a market-by-market basis at the appropriate time.</w:t>
      </w:r>
    </w:p>
    <w:p>
      <w:pPr>
        <w:spacing w:after="0" w:line="4" w:lineRule="exact"/>
        <w:rPr>
          <w:rFonts w:ascii="Arial" w:cs="Arial" w:eastAsia="Arial" w:hAnsi="Arial"/>
          <w:sz w:val="16"/>
          <w:szCs w:val="16"/>
          <w:color w:val="auto"/>
        </w:rPr>
      </w:pPr>
    </w:p>
    <w:p>
      <w:pPr>
        <w:ind w:left="900" w:hanging="446"/>
        <w:spacing w:after="0" w:line="314" w:lineRule="auto"/>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Coca-Cola Company agreed to sell to a subsidiary of our company sufficient shares to permit FEMSA to beneficially own 51% of Coca-Cola FEMSA’s outstanding capital stock (assuming that this subsidiary of FEMSA does not sell any shares and that there are no issuances of Coca-Cola FEMSA’s stock other than as contemplated by the acquisition). As a result of this understanding, on November 3, 2006, FEMSA acquired, through a subsidiary, 148,000,000 of Coca-Cola FEMSA’s Series D shares from certain subsidiaries of The Coca-Cola Company, representing 9.4% of the total outstanding voting shares and 8.02% of the total outstanding equity of Coca-Cola FEMSA, at a price of US$ 2.888 per share for an aggregate amount of US$ 427.4 million. Pursuant to Coca-Cola FEMSA’s bylaws, the acquired shares were converted from Series D Shares to Series A Shares.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98"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Coca-Cola FEMSA may be entering some markets where significant infrastructure investment may be required. The Coca-Cola Company and FEMSA will conduct a joint study that will outline strategies for these markets, as well as the investment levels required to execute these strategies. Subsequently, it is intended that our company and The Coca-Cola Company will reach agreement on the level of funding to be provided by each of the partners. The parties intend that this allocation of funding responsibilities would not be overly burdensome for either partner.</w:t>
      </w:r>
    </w:p>
    <w:p>
      <w:pPr>
        <w:spacing w:after="0" w:line="31" w:lineRule="exact"/>
        <w:rPr>
          <w:rFonts w:ascii="Arial" w:cs="Arial" w:eastAsia="Arial" w:hAnsi="Arial"/>
          <w:sz w:val="16"/>
          <w:szCs w:val="16"/>
          <w:color w:val="auto"/>
        </w:rPr>
      </w:pPr>
    </w:p>
    <w:p>
      <w:pPr>
        <w:ind w:left="900" w:right="68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Coca-Cola FEMSA entered into a stand-by credit facility, on December 19, 2003 with The Coca-Cola Export Corporation, which expired in December 2006.</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Cooperation Framework with the Coca-Cola Company</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September 1, 2006, Coca-Cola FEMSA and The Coca-Cola Company arrived at a comprehensive cooperation framework for a new stage of collaboration going forward. This new framework includes the main aspects of Coca-Cola FEMSA’s relationship with The Coca-Cola Company and defines the terms for the new collaborative business model. The framework is structured around three main objectives:</w:t>
      </w:r>
    </w:p>
    <w:p>
      <w:pPr>
        <w:spacing w:after="0" w:line="59" w:lineRule="exact"/>
        <w:rPr>
          <w:sz w:val="20"/>
          <w:szCs w:val="20"/>
          <w:color w:val="auto"/>
        </w:rPr>
      </w:pPr>
    </w:p>
    <w:p>
      <w:pPr>
        <w:ind w:left="900" w:right="80" w:hanging="446"/>
        <w:spacing w:after="0" w:line="291"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Sustainable growth of sparkling beverages and still beverages</w:t>
      </w:r>
      <w:r>
        <w:rPr>
          <w:rFonts w:ascii="Arial" w:cs="Arial" w:eastAsia="Arial" w:hAnsi="Arial"/>
          <w:sz w:val="16"/>
          <w:szCs w:val="16"/>
          <w:color w:val="auto"/>
        </w:rPr>
        <w:t>: Together with The Coca-Cola Company, Coca-Cola FEMSA has defined a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to jointly pursue, organically and through acquisitions, incremental growth in the sparkling beverage category, as well as accelerated development in the still beverage segment across Latin America. To this end, The Coca-Cola Company will provide a relevant portion of the funds derived from the incidence increase to marketing support of the sparkling and still beverages portfolio. In addition, the new framework contemplates a new, all-encompassing business model for the development of the still segment that further aligns Coca-Cola FEMSA’s and The Coca-Cola Company’s objectives and should contribute to incremental long-term value creation at both companies.</w:t>
      </w:r>
    </w:p>
    <w:p>
      <w:pPr>
        <w:spacing w:after="0" w:line="39" w:lineRule="exact"/>
        <w:rPr>
          <w:rFonts w:ascii="Arial" w:cs="Arial" w:eastAsia="Arial" w:hAnsi="Arial"/>
          <w:sz w:val="16"/>
          <w:szCs w:val="16"/>
          <w:color w:val="auto"/>
        </w:rPr>
      </w:pPr>
    </w:p>
    <w:p>
      <w:pPr>
        <w:ind w:left="900" w:right="360" w:hanging="446"/>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Horizontal growth</w:t>
      </w:r>
      <w:r>
        <w:rPr>
          <w:rFonts w:ascii="Arial" w:cs="Arial" w:eastAsia="Arial" w:hAnsi="Arial"/>
          <w:sz w:val="16"/>
          <w:szCs w:val="16"/>
          <w:color w:val="auto"/>
        </w:rPr>
        <w:t>: The new framework includes The Coca-Cola Company’s endorsement of Coca-Cola FEMSA’s aspiration to continue being a</w:t>
      </w:r>
      <w:r>
        <w:rPr>
          <w:rFonts w:ascii="Arial" w:cs="Arial" w:eastAsia="Arial" w:hAnsi="Arial"/>
          <w:sz w:val="16"/>
          <w:szCs w:val="16"/>
          <w:i w:val="1"/>
          <w:iCs w:val="1"/>
          <w:color w:val="auto"/>
        </w:rPr>
        <w:t xml:space="preserve"> </w:t>
      </w:r>
      <w:r>
        <w:rPr>
          <w:rFonts w:ascii="Arial" w:cs="Arial" w:eastAsia="Arial" w:hAnsi="Arial"/>
          <w:sz w:val="16"/>
          <w:szCs w:val="16"/>
          <w:color w:val="auto"/>
        </w:rPr>
        <w:t>leading participant in the consolidation of the Coca-Cola system in Latin America, as well as the exploration of potential opportunities in other markets where Coca-Cola FEMSA’s operating model and strong execution capabilities could be leveraged.</w:t>
      </w:r>
    </w:p>
    <w:p>
      <w:pPr>
        <w:spacing w:after="0" w:line="25" w:lineRule="exact"/>
        <w:rPr>
          <w:rFonts w:ascii="Arial" w:cs="Arial" w:eastAsia="Arial" w:hAnsi="Arial"/>
          <w:sz w:val="16"/>
          <w:szCs w:val="16"/>
          <w:color w:val="auto"/>
        </w:rPr>
      </w:pPr>
    </w:p>
    <w:p>
      <w:pPr>
        <w:ind w:left="900" w:right="60" w:hanging="446"/>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Long-term vision in relationship economics</w:t>
      </w:r>
      <w:r>
        <w:rPr>
          <w:rFonts w:ascii="Arial" w:cs="Arial" w:eastAsia="Arial" w:hAnsi="Arial"/>
          <w:sz w:val="16"/>
          <w:szCs w:val="16"/>
          <w:color w:val="auto"/>
        </w:rPr>
        <w:t>: Coca-Cola FEMSA and The Coca-Cola Company understand each other’s business objectives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plans, and the new framework provides long-term perspective on the economics of their relationship. This will allow Coca-Cola FEMSA and The Coca-Cola Company to focus on continuing to drive the business forward and generating profitable growth.</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Bottler Agreements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Bottler agreements are the standard agreements for each territory that The Coca-Cola Company enters into with bottlers outside the United States for the sale of concentrates for certain Coca-Cola trademark beverages. Coca-Cola FEMSA manufactures, packages, distributes and sells soft drink beverages and bottled water under a separate bottler agreement for each of its territories.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These bottler agreements provide that Coca-Cola FEMSA will purchase its entire requirement of concentrates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from The Coca-Cola Company and other authorized suppliers at prices, terms of payment and on other terms and conditions of supply as determined from time to time by The Coca-Cola Company at its sole discretion. Concentrate prices are determined as a percentage of the weighted average retail price in local currency, net of applicable taxes. Although the price multipliers used to calculate the cost of concentrate and the currency of payment, among other terms, are set by The Coca-Cola Company at its sole discretion, Coca-Cola FEMSA sets the price of products sold to retailers at its discretion, subject to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applicability of price restraints. Coca-Cola FEMSA has the exclusive right to distribute Coca-Cola trademark beverages for sale in its territories in authorized containers of the nature prescribed by the bottler agreements and currently used by Coca-Cola FEMSA. These containers include various configurations of cans and returnable and non-returnable bottles made of glass and plastic and fountain containers.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bottler agreements include an acknowledgment by Coca-Cola FEMSA that The Coca-Cola Company is the sole owner of the trademarks that identify the Coca-Cola trademark beverages and of the secret formulas with which The Coca-Cola Company’s concentrates are made. Subject to Coca-Cola FEMSA’s exclusive right to distribute Coca-Cola trademark beverages in its territories, The Coca-Cola Company reserves the right to import and export Coca-Cola trademark beverages to and from each of its territories. Coca-Cola FEMSA’s bottler agreements do not contain restrictions on The Coca-Cola Company’s ability to set the price of concentrates charged to its subsidiaries and do not impose minimum marketing obligations on The Coca-Cola Company. The prices at which Coca-Cola FEMSA purchases concentrates under the bottler agreements may vary materially from the prices it has historically paid. However, under Coca-Cola FEMSA’s bylaws and the shareholders agreement among The Coca-Cola Company and certain of its subsidiaries and certain subsidiaries of our company, an adverse action by The Coca-Cola Company under any of the bottler agreements may result in a suspension of certain veto rights of the directors appointed by The Coca-Cola Company. This provides us with limited protection against The Coca-Cola Company’s ability to raise concentrate prices to the extent that such increase is deemed detrimental to Coca-Cola FEMSA pursuant to the shareholder agreement and the bylaws. See “—Shareholders Agreement.”</w:t>
      </w:r>
    </w:p>
    <w:p>
      <w:pPr>
        <w:spacing w:after="0" w:line="12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The Coca-Cola Company has the ability, at its sole discretion, to reformulate any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to discontinue any of the Coca-Cola trademark beverages, subject to certain limitations, so long as all Coca-Cola trademark beverages are not discontinued. The Coca-Cola Company may also introduce new beverages in Coca-Cola FEMSA’s territories in which case Coca-Cola FEMSA has a right of first refusal with respect to the manufacturing, packaging, distribution and sale of such new beverages subject to the same obligations as then exist with respect to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under the bottler agreements. The bottler agreements prohibit Coca-Cola FEMSA from producing or handling cola products other than those of The Coca-Cola Company, or other products or packages that would imitate, infringe upon, or cause confusion with the products, trade dress, containers or trademarks of The Coca-Cola Company, or from acquiring or holding an interest in a party that engages in such activities. The bottler agreements also prohibit Coca-Cola FEMSA from bottling any soft drink product except under the authority of, or with the consent of, The Coca-Cola Company. The bottler agreements impose restrictions concerning the use of certain trademarks, authorized containers, packaging and labeling of The Coca-Cola Company so as to conform to policies prescribed by The Coca-Cola Company. In particular, Coca-Cola FEMSA is obligated to:</w:t>
      </w:r>
    </w:p>
    <w:p>
      <w:pPr>
        <w:spacing w:after="0" w:line="42" w:lineRule="exact"/>
        <w:rPr>
          <w:sz w:val="20"/>
          <w:szCs w:val="20"/>
          <w:color w:val="auto"/>
        </w:rPr>
      </w:pPr>
    </w:p>
    <w:p>
      <w:pPr>
        <w:ind w:left="900" w:right="8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 plant and equipment, staff and distribution facilities capable of manufacturing, packaging and distributing the Coca-Cola trademark beverages in authorized containers in accordance with Coca-Cola FEMSA bottler agreements and in sufficient quantities to satisfy fully the demand in its territories;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undertake adequate quality control measures prescribed by The Coca-Cola Company;</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develop, stimulate and satisfy fully the demand for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using all approved means, which includes the investment in advertising and marketing plans;</w:t>
      </w:r>
    </w:p>
    <w:p>
      <w:pPr>
        <w:spacing w:after="0" w:line="50"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 a sound financial capacity as may be reasonably necessary to assure performance by Coca-Cola FEMSA and its affiliates of their obligations to The Coca-Cola Company;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submit annually to The Coca-Cola Company, Coca-Cola FEMSA’s marketing, management, promotional and advertising plans for the ensuing year.</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Coca-Cola Company contributed a significant portion of Coca-Cola FEMSA’s total marketing expenses in its territories during 2007, a period in which Coca-Cola FEMSA contributed to The Coca-Cola Company’s marketing expenses and has reiterated its intention to continue providing such support as part of our new corporation framework. Although Coca-Cola FEMSA believes that The Coca-Cola Company will continue to provide funds for advertising and marketing, it is not obligated to do so. Consequently, future levels of advertising and marketing support provided by The Coca-Cola Company may vary materially from the levels historically provided. See “—Shareholders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Coca-Cola FEMSA has separate bottler agreements with The Coca-Cola Company for each of the territories in which it operates. Some of these bottler agreements renew automatically unless one of the parties gives prior notice that it does not wish to renew the agreement, while others require an agreement between the parties or require Coca-Cola FEMSA to give notice electing to renew the agreement.</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Coca-Cola FEMSA’s bottler agreements for Mexico expire in 2013 for two of its territories and 2015 for two of its other territories, and are renewable in each case for ten-year terms. Coca-Cola FEMSA’s bottler agreements for Guatemala, Costa Rica, Nicaragua, Panama (other beverages) and Colombia expire on September 30, 2008. These bottler agreements are renewable by mutual agreement of the parties. Coca-Cola FEMSA’s bottler agreement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for Panama has an indefinite term but may be terminated with six months prior written notice by either party. Coca-Cola FEMSA’s bottler agreement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for Venezuela expires on September 30, 2008, based on an agreement in principle subject to the execution of a formal extension letter. Coca-Cola FEMSA’s bottler agreement for Argentina expires in 2014 and is renewable for a ten-year term. Coca-Cola FEMSA’s bottler agreement for Brazil expired in December 2004. For the expired agreements and the agreements expiring this year, Coca-Cola FEMSA is currently in the process of negotiating renewals on similar terms and conditions as its agreements in other countries. In the meantime, Coca-Cola FEMSA and The Coca-Cola Company will continue operating under the terms of the existing agreements.</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bottler agreements are subject to termination by The Coca-Cola Company in the event of default by Coca-Cola FEMSA. The default provisions include limitations on the change in ownership or control of Coca-Cola FEMSA and the assignment or transfer of the bottler agreements and are designed to preclude any person not acceptable to The Coca-Cola Company from obtaining an assignment of a bottler agreement or from acquiring Coca-Cola FEMSA independently of similar rights set forth in the shareholders agreement. These provisions may prevent changes in Coca-Cola FEMSA’s principal shareholders, including mergers or acquisitions involving sales or dispositions of Coca-Cola FEMSA’s capital stock, which will involve an effective change of control without the consent of The Coca-Cola Company. See “—Shareholders Agreement.”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Coca-Cola FEMSA has also entered into tradename licensing agreements with The Coca-Cola Company pursuant to which Coca-Cola FEMSA is authorized to use certain trademark names of The Coca-Cola Company. These agreements have an indefinite term, but are terminated if Coca-Cola FEMSA’s ceases to manufacture, market, sell and distribute Coca-Cola trademark products pursuant to the bottler agreements or if the shareholders agreement is terminated. The Coca-Cola Company also has the right to terminate the license agreement if Coca-Cola FEMSA uses its trademark names in a manner not authorized by the bottler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file reports, including annual reports on Form 20-F, and other information with the SEC pursuant to the rules and regulations of the SEC that apply to foreign private issuers. You may read and copy any materials filed with the SEC at its public reference rooms in Washington, D.C., at 450 Fifth Street, N.W., Washington, D.C. 20549. Please call the SEC at 1-800-SEC-0330 for further information on the public reference room. Filings we make electronically with the SEC are also available to the public over the Internet at the SEC’s website at www.sec.gov.</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business activities require the holding or issuing of financial instruments that expose us to market risks related to changes in interest rates, foreign currency exchange rates, equity risk and commodity price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Interest rate risk exists principally with respect to our indebtedness that bears interest at floating rates. At December 31, 2007, we had outstanding long-term indebtedness of Ps. 36,582 million, of which 32.2% bore interest at fixed interest rates and 67.8% bore interest at variable interest rates. Swap contracts held by us effectively switch a portion of our variable rate indebtedness into fixed-rate indebtedness. After giving effect to these contracts, as of December 31, 2007, 82.9% of our long-term indebtedness was fixed rate and 17.1% of our long-term indebtedness was variable rate. The interest rate on our variable rate debt is determined by reference to the London Interbank Offered Rate, or LIBOR, (a benchmark rate used for Eurodollar loans), the Tasa de Interés Interbancaria de Equilibrio (Equilibrium Interbank Interest Rate) or TIIE, and the Certificados de la Tesorería (Treasury Certificates) or CETES rate. If these reference rates increase, our interest payments would consequently increase.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The table presents notional amounts and weighted average interest rates by expected contractual maturity dates. Notional amounts are used to calculate the contractual payments to be exchanged under the contract. Weighted average variable rates are based on the reference rates on December 31, 2007, plus spreads contracted by us. The instruments’ current payments are denominated in U.S. dollars, Mexican pesos and Brazilian reais. All of the payments in the table are presented in Mexican pesos, our reporting currency, utilizing the December 31, 2007 exchange rate of 10.8662 Mexican pesos per U.S. dollar, and 6.1346 Mexican pesos per Brazilian reais.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also includes the estimated fair value as of December 31, 2007 of:</w:t>
      </w:r>
    </w:p>
    <w:p>
      <w:pPr>
        <w:spacing w:after="0" w:line="90" w:lineRule="exact"/>
        <w:rPr>
          <w:sz w:val="20"/>
          <w:szCs w:val="20"/>
          <w:color w:val="auto"/>
        </w:rPr>
      </w:pPr>
    </w:p>
    <w:p>
      <w:pPr>
        <w:ind w:left="900" w:right="6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long-term debt, based on the discounted value of contractual cash flows, in which the discount rate is estimated using rates currently offered for debt with similar terms and remaining maturities;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long-term notes payable, based on quoted market prices;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cross currency swaps and interest rate swaps, based on quoted market prices to terminate the contracts as of December 31, 2007.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the fair value represents an additional liability of Ps. 378 million.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by Year of Maturity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4"/>
          </w:tcPr>
          <w:p>
            <w:pPr>
              <w:ind w:left="120"/>
              <w:spacing w:after="0"/>
              <w:rPr>
                <w:sz w:val="20"/>
                <w:szCs w:val="20"/>
                <w:color w:val="auto"/>
              </w:rPr>
            </w:pPr>
            <w:r>
              <w:rPr>
                <w:rFonts w:ascii="Arial" w:cs="Arial" w:eastAsia="Arial" w:hAnsi="Arial"/>
                <w:sz w:val="14"/>
                <w:szCs w:val="14"/>
                <w:b w:val="1"/>
                <w:bCs w:val="1"/>
                <w:color w:val="auto"/>
                <w:w w:val="89"/>
              </w:rPr>
              <w:t>At December 31, 2007</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ind w:left="80"/>
              <w:spacing w:after="0"/>
              <w:rPr>
                <w:sz w:val="20"/>
                <w:szCs w:val="20"/>
                <w:color w:val="auto"/>
              </w:rPr>
            </w:pPr>
            <w:r>
              <w:rPr>
                <w:rFonts w:ascii="Arial" w:cs="Arial" w:eastAsia="Arial" w:hAnsi="Arial"/>
                <w:sz w:val="14"/>
                <w:szCs w:val="14"/>
                <w:b w:val="1"/>
                <w:bCs w:val="1"/>
                <w:color w:val="auto"/>
                <w:w w:val="91"/>
              </w:rPr>
              <w:t>At December 31, 2006</w:t>
            </w:r>
          </w:p>
        </w:tc>
      </w:tr>
      <w:tr>
        <w:trPr>
          <w:trHeight w:val="129"/>
        </w:trPr>
        <w:tc>
          <w:tcPr>
            <w:tcW w:w="40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6"/>
              </w:rPr>
              <w:t>2013 and</w:t>
            </w: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Carrying</w:t>
            </w:r>
          </w:p>
        </w:tc>
        <w:tc>
          <w:tcPr>
            <w:tcW w:w="4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r>
      <w:tr>
        <w:trPr>
          <w:trHeight w:val="161"/>
        </w:trPr>
        <w:tc>
          <w:tcPr>
            <w:tcW w:w="40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thereafter</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w w:val="79"/>
              </w:rPr>
              <w:t>millions</w:t>
            </w:r>
          </w:p>
        </w:tc>
        <w:tc>
          <w:tcPr>
            <w:tcW w:w="206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w w:val="83"/>
              </w:rPr>
              <w:t>of constant Mexican pesos)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Fixed rate debt: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2,200</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280</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4"/>
              </w:rPr>
              <w:t>1,916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7,594</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20" w:type="dxa"/>
            <w:vAlign w:val="bottom"/>
          </w:tcPr>
          <w:p>
            <w:pPr>
              <w:spacing w:after="0"/>
              <w:rPr>
                <w:sz w:val="18"/>
                <w:szCs w:val="18"/>
                <w:color w:val="auto"/>
              </w:rPr>
            </w:pPr>
          </w:p>
        </w:tc>
      </w:tr>
      <w:tr>
        <w:trPr>
          <w:trHeight w:val="216"/>
        </w:trPr>
        <w:tc>
          <w:tcPr>
            <w:tcW w:w="400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8.7%</w:t>
            </w: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8.6%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3,332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20" w:type="dxa"/>
            <w:vAlign w:val="bottom"/>
          </w:tcPr>
          <w:p>
            <w:pPr>
              <w:spacing w:after="0"/>
              <w:rPr>
                <w:sz w:val="18"/>
                <w:szCs w:val="18"/>
                <w:color w:val="auto"/>
              </w:rPr>
            </w:pPr>
          </w:p>
        </w:tc>
      </w:tr>
      <w:tr>
        <w:trPr>
          <w:trHeight w:val="216"/>
        </w:trPr>
        <w:tc>
          <w:tcPr>
            <w:tcW w:w="400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216"/>
        </w:trPr>
        <w:tc>
          <w:tcPr>
            <w:tcW w:w="400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4,046</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2,220</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280</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4"/>
              </w:rPr>
              <w:t>1,916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11,770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12,112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10,152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10,453</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Variable rate debt: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5,043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1,269</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731</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4"/>
              </w:rPr>
              <w:t>1,767</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4"/>
              </w:rPr>
              <w:t>4,523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22,760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22,796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25,035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25,105</w:t>
            </w:r>
          </w:p>
        </w:tc>
        <w:tc>
          <w:tcPr>
            <w:tcW w:w="20" w:type="dxa"/>
            <w:vAlign w:val="bottom"/>
          </w:tcPr>
          <w:p>
            <w:pPr>
              <w:spacing w:after="0"/>
              <w:rPr>
                <w:sz w:val="18"/>
                <w:szCs w:val="18"/>
                <w:color w:val="auto"/>
              </w:rPr>
            </w:pPr>
          </w:p>
        </w:tc>
      </w:tr>
      <w:tr>
        <w:trPr>
          <w:trHeight w:val="216"/>
        </w:trPr>
        <w:tc>
          <w:tcPr>
            <w:tcW w:w="400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8.0%</w:t>
            </w: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8.0%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28</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 w:type="dxa"/>
            <w:vAlign w:val="bottom"/>
          </w:tcPr>
          <w:p>
            <w:pPr>
              <w:spacing w:after="0"/>
              <w:rPr>
                <w:sz w:val="18"/>
                <w:szCs w:val="18"/>
                <w:color w:val="auto"/>
              </w:rPr>
            </w:pPr>
          </w:p>
        </w:tc>
      </w:tr>
      <w:tr>
        <w:trPr>
          <w:trHeight w:val="216"/>
        </w:trPr>
        <w:tc>
          <w:tcPr>
            <w:tcW w:w="400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5.1%</w:t>
            </w: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5.1%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Brazilian reais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r>
        <w:trPr>
          <w:trHeight w:val="216"/>
        </w:trPr>
        <w:tc>
          <w:tcPr>
            <w:tcW w:w="400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Colombian pesos</w:t>
            </w:r>
            <w:r>
              <w:rPr>
                <w:rFonts w:ascii="Arial" w:cs="Arial" w:eastAsia="Arial" w:hAnsi="Arial"/>
                <w:sz w:val="22"/>
                <w:szCs w:val="22"/>
                <w:color w:val="auto"/>
                <w:vertAlign w:val="superscript"/>
              </w:rPr>
              <w:t>(2)</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r>
      <w:tr>
        <w:trPr>
          <w:trHeight w:val="216"/>
        </w:trPr>
        <w:tc>
          <w:tcPr>
            <w:tcW w:w="400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5,117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761</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4"/>
              </w:rPr>
              <w:t>1,795</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4"/>
              </w:rPr>
              <w:t>5,257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24,812</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24,848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28,084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28,154</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debt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5,918</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5,346</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2,981</w:t>
            </w:r>
          </w:p>
        </w:tc>
        <w:tc>
          <w:tcPr>
            <w:tcW w:w="720" w:type="dxa"/>
            <w:vAlign w:val="bottom"/>
            <w:gridSpan w:val="2"/>
          </w:tcPr>
          <w:p>
            <w:pPr>
              <w:jc w:val="right"/>
              <w:ind w:right="252"/>
              <w:spacing w:after="0"/>
              <w:rPr>
                <w:sz w:val="20"/>
                <w:szCs w:val="20"/>
                <w:color w:val="auto"/>
              </w:rPr>
            </w:pPr>
            <w:r>
              <w:rPr>
                <w:rFonts w:ascii="Arial" w:cs="Arial" w:eastAsia="Arial" w:hAnsi="Arial"/>
                <w:sz w:val="18"/>
                <w:szCs w:val="18"/>
                <w:color w:val="auto"/>
                <w:w w:val="84"/>
              </w:rPr>
              <w:t>2,075</w:t>
            </w:r>
          </w:p>
        </w:tc>
        <w:tc>
          <w:tcPr>
            <w:tcW w:w="720" w:type="dxa"/>
            <w:vAlign w:val="bottom"/>
            <w:gridSpan w:val="2"/>
          </w:tcPr>
          <w:p>
            <w:pPr>
              <w:jc w:val="right"/>
              <w:ind w:right="252"/>
              <w:spacing w:after="0"/>
              <w:rPr>
                <w:sz w:val="20"/>
                <w:szCs w:val="20"/>
                <w:color w:val="auto"/>
              </w:rPr>
            </w:pPr>
            <w:r>
              <w:rPr>
                <w:rFonts w:ascii="Arial" w:cs="Arial" w:eastAsia="Arial" w:hAnsi="Arial"/>
                <w:sz w:val="18"/>
                <w:szCs w:val="18"/>
                <w:color w:val="auto"/>
                <w:w w:val="84"/>
              </w:rPr>
              <w:t>7,173</w:t>
            </w:r>
          </w:p>
        </w:tc>
        <w:tc>
          <w:tcPr>
            <w:tcW w:w="580" w:type="dxa"/>
            <w:vAlign w:val="bottom"/>
          </w:tcPr>
          <w:p>
            <w:pPr>
              <w:jc w:val="right"/>
              <w:spacing w:after="0"/>
              <w:rPr>
                <w:sz w:val="20"/>
                <w:szCs w:val="20"/>
                <w:color w:val="auto"/>
              </w:rPr>
            </w:pPr>
            <w:r>
              <w:rPr>
                <w:rFonts w:ascii="Arial" w:cs="Arial" w:eastAsia="Arial" w:hAnsi="Arial"/>
                <w:sz w:val="18"/>
                <w:szCs w:val="18"/>
                <w:color w:val="auto"/>
              </w:rPr>
              <w:t>13,090</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36,582</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36,960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38,236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38,607</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rate swaps: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Variable to fixed</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5,000</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1,250</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712</w:t>
            </w:r>
          </w:p>
        </w:tc>
        <w:tc>
          <w:tcPr>
            <w:tcW w:w="720" w:type="dxa"/>
            <w:vAlign w:val="bottom"/>
            <w:gridSpan w:val="2"/>
          </w:tcPr>
          <w:p>
            <w:pPr>
              <w:jc w:val="right"/>
              <w:ind w:right="252"/>
              <w:spacing w:after="0"/>
              <w:rPr>
                <w:sz w:val="20"/>
                <w:szCs w:val="20"/>
                <w:color w:val="auto"/>
              </w:rPr>
            </w:pPr>
            <w:r>
              <w:rPr>
                <w:rFonts w:ascii="Arial" w:cs="Arial" w:eastAsia="Arial" w:hAnsi="Arial"/>
                <w:sz w:val="18"/>
                <w:szCs w:val="18"/>
                <w:color w:val="auto"/>
                <w:w w:val="84"/>
              </w:rPr>
              <w:t>1,763</w:t>
            </w:r>
          </w:p>
        </w:tc>
        <w:tc>
          <w:tcPr>
            <w:tcW w:w="720" w:type="dxa"/>
            <w:vAlign w:val="bottom"/>
            <w:gridSpan w:val="2"/>
          </w:tcPr>
          <w:p>
            <w:pPr>
              <w:jc w:val="right"/>
              <w:ind w:right="252"/>
              <w:spacing w:after="0"/>
              <w:rPr>
                <w:sz w:val="20"/>
                <w:szCs w:val="20"/>
                <w:color w:val="auto"/>
              </w:rPr>
            </w:pPr>
            <w:r>
              <w:rPr>
                <w:rFonts w:ascii="Arial" w:cs="Arial" w:eastAsia="Arial" w:hAnsi="Arial"/>
                <w:sz w:val="18"/>
                <w:szCs w:val="18"/>
                <w:color w:val="auto"/>
                <w:w w:val="84"/>
              </w:rPr>
              <w:t>2,815</w:t>
            </w:r>
          </w:p>
        </w:tc>
        <w:tc>
          <w:tcPr>
            <w:tcW w:w="580" w:type="dxa"/>
            <w:vAlign w:val="bottom"/>
          </w:tcPr>
          <w:p>
            <w:pPr>
              <w:jc w:val="right"/>
              <w:spacing w:after="0"/>
              <w:rPr>
                <w:sz w:val="20"/>
                <w:szCs w:val="20"/>
                <w:color w:val="auto"/>
              </w:rPr>
            </w:pPr>
            <w:r>
              <w:rPr>
                <w:rFonts w:ascii="Arial" w:cs="Arial" w:eastAsia="Arial" w:hAnsi="Arial"/>
                <w:sz w:val="18"/>
                <w:szCs w:val="18"/>
                <w:color w:val="auto"/>
              </w:rPr>
              <w:t>7,010</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18,550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20,741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88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9.4%</w:t>
            </w: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tcPr>
          <w:p>
            <w:pPr>
              <w:ind w:left="880"/>
              <w:spacing w:after="0" w:line="217" w:lineRule="exact"/>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7.9%</w:t>
            </w: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7.8%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Japanese yen to Brazilian reais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to variable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4000" w:type="dxa"/>
            <w:vAlign w:val="bottom"/>
          </w:tcPr>
          <w:p>
            <w:pPr>
              <w:ind w:left="88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880"/>
              <w:spacing w:after="0" w:line="217" w:lineRule="exact"/>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Weighted average interest rate.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Exchange rate used 0.0054 Mexican pesos per Columbian pesos.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 hypothetical, instantaneous and unfavorable change of one percentage point in the average interest rate applicable to variable-rate liabilities held at December 31, 2007 would increase our interest expense by approximately Ps. 83 million, or 13.5%, over the 12-month period of 2007 assuming no additional debt is incurred during such period, in each case after giving effect to all of our interest and cross currency swap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principal exchange rate risk involves changes in the value of the local currencies, of each country in which we operate, relative to the U.S. dollar. In 2007, the percentage of our consolidated total revenues was denominated as follows:</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Total Revenues by Currency At December 31, 2007</w:t>
      </w:r>
    </w:p>
    <w:p>
      <w:pPr>
        <w:spacing w:after="0" w:line="13" w:lineRule="exact"/>
        <w:rPr>
          <w:sz w:val="20"/>
          <w:szCs w:val="20"/>
          <w:color w:val="auto"/>
        </w:rPr>
      </w:pPr>
    </w:p>
    <w:tbl>
      <w:tblPr>
        <w:tblLayout w:type="fixed"/>
        <w:tblInd w:w="920" w:type="dxa"/>
        <w:tblCellMar>
          <w:top w:w="0" w:type="dxa"/>
          <w:left w:w="0" w:type="dxa"/>
          <w:bottom w:w="0" w:type="dxa"/>
          <w:right w:w="0" w:type="dxa"/>
        </w:tblCellMar>
      </w:tblPr>
      <w:tr>
        <w:trPr>
          <w:trHeight w:val="130"/>
        </w:trPr>
        <w:tc>
          <w:tcPr>
            <w:tcW w:w="500" w:type="dxa"/>
            <w:vAlign w:val="bottom"/>
            <w:tcBorders>
              <w:top w:val="single" w:sz="8" w:color="auto"/>
            </w:tcBorders>
          </w:tcPr>
          <w:p>
            <w:pPr>
              <w:spacing w:after="0"/>
              <w:rPr>
                <w:sz w:val="11"/>
                <w:szCs w:val="11"/>
                <w:color w:val="auto"/>
              </w:rPr>
            </w:pPr>
          </w:p>
        </w:tc>
        <w:tc>
          <w:tcPr>
            <w:tcW w:w="6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b w:val="1"/>
                <w:bCs w:val="1"/>
                <w:color w:val="auto"/>
                <w:w w:val="86"/>
              </w:rPr>
              <w:t>% of Consolidated</w:t>
            </w: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Country</w:t>
            </w:r>
          </w:p>
        </w:tc>
        <w:tc>
          <w:tcPr>
            <w:tcW w:w="6160" w:type="dxa"/>
            <w:vAlign w:val="bottom"/>
          </w:tcPr>
          <w:p>
            <w:pPr>
              <w:spacing w:after="0"/>
              <w:rPr>
                <w:sz w:val="14"/>
                <w:szCs w:val="14"/>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Currency</w:t>
            </w:r>
          </w:p>
        </w:tc>
        <w:tc>
          <w:tcPr>
            <w:tcW w:w="700" w:type="dxa"/>
            <w:vAlign w:val="bottom"/>
          </w:tcPr>
          <w:p>
            <w:pPr>
              <w:spacing w:after="0"/>
              <w:rPr>
                <w:sz w:val="14"/>
                <w:szCs w:val="1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Total Revenues</w:t>
            </w: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Mexican peso</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140" w:type="dxa"/>
            <w:vAlign w:val="bottom"/>
          </w:tcPr>
          <w:p>
            <w:pPr>
              <w:spacing w:after="0"/>
              <w:rPr>
                <w:sz w:val="20"/>
                <w:szCs w:val="20"/>
                <w:color w:val="auto"/>
              </w:rPr>
            </w:pPr>
            <w:r>
              <w:rPr>
                <w:rFonts w:ascii="Arial" w:cs="Arial" w:eastAsia="Arial" w:hAnsi="Arial"/>
                <w:sz w:val="18"/>
                <w:szCs w:val="18"/>
                <w:color w:val="auto"/>
              </w:rPr>
              <w:t>Reais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Bolivar</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1140" w:type="dxa"/>
            <w:vAlign w:val="bottom"/>
          </w:tcPr>
          <w:p>
            <w:pPr>
              <w:spacing w:after="0"/>
              <w:rPr>
                <w:sz w:val="20"/>
                <w:szCs w:val="20"/>
                <w:color w:val="auto"/>
              </w:rPr>
            </w:pPr>
            <w:r>
              <w:rPr>
                <w:rFonts w:ascii="Arial" w:cs="Arial" w:eastAsia="Arial" w:hAnsi="Arial"/>
                <w:sz w:val="18"/>
                <w:szCs w:val="18"/>
                <w:color w:val="auto"/>
                <w:w w:val="86"/>
              </w:rPr>
              <w:t>Colombian peso</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2"/>
              </w:rPr>
              <w:t>Argentine peso</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140" w:type="dxa"/>
            <w:vAlign w:val="bottom"/>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08"/>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Central</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4"/>
        </w:trPr>
        <w:tc>
          <w:tcPr>
            <w:tcW w:w="50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America</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15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estimate that a majority of our consolidated costs and expenses are denominated in Mexican pesos for Mexican subsidiaries and in the aforementioned currencies for the foreign subsidiaries, which are principally subsidiaries of Coca-Cola FEMSA and FEMSA Cerveza. Substantially all of our costs and expenses denominated in a foreign currency, other than the functional currency of each country in which we operate, are denominated in U.S. dollars. As of December 31, 2007 after giving effect to all cross currency swaps, 83.0% of our long-term indebtedness was denominated in Mexican pesos, 16.3% was denominated in U.S. dollars and the remaining 0.7% was denominated in Brazilian reais. We also have short-term indebtedness which consists of revolving bank loans. Decreases in the value of the different currencies relative to the U.S. dollar will increase the cost of our foreign currency denominated operating costs and expenses, and the debt service obligations with respect to our foreign currency denominated indebtedness. A depreciation of the Mexican peso relative to the U.S. dollar will also result in foreign exchange losses as the Mexican peso value of our foreign currency denominated long-term indebtedness is increased.</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40"/>
          </w:cols>
          <w:pgMar w:left="240" w:top="459" w:right="3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exposure to market risk associated with changes in foreign currency exchange rates relates primarily to U.S. dollar-denominated debt obligations as shown in the interest risk table above. We occasionally utilize financial derivative instruments to hedge our exposure to the U.S. dollar relative to the Mexican peso and other currencies.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December 31, 2007, we had forward agreements that meet the hedging criteria for accounting purposes, to hedge our operations denominated in U.S. dollars. The notional amount is Ps. 1,783 million with a fair value asset of Ps. 10 million, and maturity date in 2008. As of the December 31, 2007 we did not have any effects regarding expired forward agreements. In 2006, we registered in our consolidated income statement, Ps. 2 million as a foreign exchange loss related to expired forward agreements that meet the hedging criteria for accounting purposes. The fair value of the foreign currency forward contracts is estimated based on the quoted market price of each agreement at year end assuming the same maturity dates originally contracted.</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2007, certain forward agreements do not meet the hedging criteria for accounting purposes; consequently changes in the estimated fair value were recorded in our consolidated income statement. These contracts with a notional amount of Ps. 1,087 million, expire in 2008 and generated a gain of Ps. 9 million. As of December 31, 2007 and 2006, the net effect of expired contracts that do not meet hedging criteria for accounting purposes, was a gain of Ps. 13 million and a loss of Ps. 22 million, respectively. The fair value of the foreign currency forward contracts is estimated based on the quoted market price of each agreement at year end assuming the same maturity dates originally contracted.</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December 31, 2007, we did not have any call option agreements to buy U.S. dollars. We contracted cross currency swaps to manage the interest rate and foreign exchange risks associated with our borrowings denominated in U.S. dollars and other foreign currencies. The aggregate notional amount is Ps. 230 million with maturity date in 2009. The fair value is estimated based on quoted market exchange rates and interest rates to terminate the contracts at December 31, 2007, with a fair value liability of Ps. 39 million. As of December 31, 2007 and 2006, the net effect of expired contracts is included in interest expense and amounted to Ps. 37 million and Ps. 72 million, respectively.</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December 31, 2007, certain cross currency swap instruments do not meet the hedging criteria for accounting purposes; consequently changes in the estimated fair value were recorded in the income statement. The notional amount of these contracts is Ps. 5,302 million and mature in December 2017. The fair value of these contracts represented a gain of Ps. 59 million. As of December 31, 2007 and 2006, the net effect of expired contracts is included in the internal result of financing was a gain of Ps. 5 million and a loss of Ps. 3 million,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7"/>
              </w:rPr>
              <w:t>Forward and Cross Currency Swaps</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560" w:type="dxa"/>
            <w:vAlign w:val="bottom"/>
          </w:tcPr>
          <w:p>
            <w:pPr>
              <w:spacing w:after="0"/>
              <w:rPr>
                <w:sz w:val="12"/>
                <w:szCs w:val="12"/>
                <w:color w:val="auto"/>
              </w:rPr>
            </w:pPr>
          </w:p>
        </w:tc>
        <w:tc>
          <w:tcPr>
            <w:tcW w:w="2040" w:type="dxa"/>
            <w:vAlign w:val="bottom"/>
            <w:gridSpan w:val="6"/>
          </w:tcPr>
          <w:p>
            <w:pPr>
              <w:ind w:left="280"/>
              <w:spacing w:after="0" w:line="142" w:lineRule="exact"/>
              <w:rPr>
                <w:sz w:val="20"/>
                <w:szCs w:val="20"/>
                <w:color w:val="auto"/>
              </w:rPr>
            </w:pPr>
            <w:r>
              <w:rPr>
                <w:rFonts w:ascii="Arial" w:cs="Arial" w:eastAsia="Arial" w:hAnsi="Arial"/>
                <w:sz w:val="14"/>
                <w:szCs w:val="14"/>
                <w:b w:val="1"/>
                <w:bCs w:val="1"/>
                <w:color w:val="auto"/>
              </w:rPr>
              <w:t>At December 31, 2007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8"/>
              </w:rPr>
              <w:t>At December 31, 2006</w:t>
            </w:r>
          </w:p>
        </w:tc>
        <w:tc>
          <w:tcPr>
            <w:tcW w:w="60" w:type="dxa"/>
            <w:vAlign w:val="bottom"/>
          </w:tcPr>
          <w:p>
            <w:pPr>
              <w:spacing w:after="0"/>
              <w:rPr>
                <w:sz w:val="12"/>
                <w:szCs w:val="12"/>
                <w:color w:val="auto"/>
              </w:rPr>
            </w:pPr>
          </w:p>
        </w:tc>
      </w:tr>
      <w:tr>
        <w:trPr>
          <w:trHeight w:val="129"/>
        </w:trPr>
        <w:tc>
          <w:tcPr>
            <w:tcW w:w="75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89"/>
              </w:rPr>
              <w:t>Fair Value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Fair Value</w:t>
            </w:r>
          </w:p>
        </w:tc>
        <w:tc>
          <w:tcPr>
            <w:tcW w:w="60" w:type="dxa"/>
            <w:vAlign w:val="bottom"/>
          </w:tcPr>
          <w:p>
            <w:pPr>
              <w:spacing w:after="0"/>
              <w:rPr>
                <w:sz w:val="11"/>
                <w:szCs w:val="11"/>
                <w:color w:val="auto"/>
              </w:rPr>
            </w:pPr>
          </w:p>
        </w:tc>
      </w:tr>
      <w:tr>
        <w:trPr>
          <w:trHeight w:val="149"/>
        </w:trPr>
        <w:tc>
          <w:tcPr>
            <w:tcW w:w="7560" w:type="dxa"/>
            <w:vAlign w:val="bottom"/>
          </w:tcPr>
          <w:p>
            <w:pPr>
              <w:spacing w:after="0"/>
              <w:rPr>
                <w:sz w:val="12"/>
                <w:szCs w:val="12"/>
                <w:color w:val="auto"/>
              </w:rPr>
            </w:pPr>
          </w:p>
        </w:tc>
        <w:tc>
          <w:tcPr>
            <w:tcW w:w="10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Notional</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Notional</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Asset</w:t>
            </w:r>
          </w:p>
        </w:tc>
      </w:tr>
      <w:tr>
        <w:trPr>
          <w:trHeight w:val="161"/>
        </w:trPr>
        <w:tc>
          <w:tcPr>
            <w:tcW w:w="7560" w:type="dxa"/>
            <w:vAlign w:val="bottom"/>
          </w:tcPr>
          <w:p>
            <w:pPr>
              <w:spacing w:after="0"/>
              <w:rPr>
                <w:sz w:val="14"/>
                <w:szCs w:val="1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3"/>
              </w:rPr>
              <w:t>(liability)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(liability)</w:t>
            </w:r>
          </w:p>
        </w:tc>
        <w:tc>
          <w:tcPr>
            <w:tcW w:w="60" w:type="dxa"/>
            <w:vAlign w:val="bottom"/>
          </w:tcPr>
          <w:p>
            <w:pPr>
              <w:spacing w:after="0"/>
              <w:rPr>
                <w:sz w:val="14"/>
                <w:szCs w:val="14"/>
                <w:color w:val="auto"/>
              </w:rPr>
            </w:pPr>
          </w:p>
        </w:tc>
      </w:tr>
      <w:tr>
        <w:trPr>
          <w:trHeight w:val="129"/>
        </w:trPr>
        <w:tc>
          <w:tcPr>
            <w:tcW w:w="7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81"/>
              </w:rPr>
              <w:t>(in</w:t>
            </w:r>
          </w:p>
        </w:tc>
        <w:tc>
          <w:tcPr>
            <w:tcW w:w="3220" w:type="dxa"/>
            <w:vAlign w:val="bottom"/>
            <w:gridSpan w:val="10"/>
          </w:tcPr>
          <w:p>
            <w:pPr>
              <w:ind w:left="40"/>
              <w:spacing w:after="0" w:line="129" w:lineRule="exact"/>
              <w:rPr>
                <w:sz w:val="20"/>
                <w:szCs w:val="20"/>
                <w:color w:val="auto"/>
              </w:rPr>
            </w:pPr>
            <w:r>
              <w:rPr>
                <w:rFonts w:ascii="Arial" w:cs="Arial" w:eastAsia="Arial" w:hAnsi="Arial"/>
                <w:sz w:val="14"/>
                <w:szCs w:val="14"/>
                <w:b w:val="1"/>
                <w:bCs w:val="1"/>
                <w:color w:val="auto"/>
              </w:rPr>
              <w:t>millions of U.S. dollars, millions of Euros and</w:t>
            </w:r>
          </w:p>
        </w:tc>
      </w:tr>
      <w:tr>
        <w:trPr>
          <w:trHeight w:val="161"/>
        </w:trPr>
        <w:tc>
          <w:tcPr>
            <w:tcW w:w="7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4"/>
              </w:rPr>
              <w:t>millions of constant Mexican pesos)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Dollar Forwards: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To hedge Mexican peso risk</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foreign exchange rate Mexican peso per U.S. Dollar:</w:t>
            </w:r>
          </w:p>
        </w:tc>
        <w:tc>
          <w:tcPr>
            <w:tcW w:w="3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left="101"/>
              <w:spacing w:after="0"/>
              <w:rPr>
                <w:sz w:val="20"/>
                <w:szCs w:val="20"/>
                <w:color w:val="auto"/>
              </w:rPr>
            </w:pPr>
            <w:r>
              <w:rPr>
                <w:rFonts w:ascii="Arial" w:cs="Arial" w:eastAsia="Arial" w:hAnsi="Arial"/>
                <w:sz w:val="18"/>
                <w:szCs w:val="18"/>
                <w:color w:val="auto"/>
                <w:w w:val="99"/>
              </w:rPr>
              <w:t>—</w:t>
            </w: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Contracted</w:t>
            </w:r>
          </w:p>
        </w:tc>
        <w:tc>
          <w:tcPr>
            <w:tcW w:w="3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10.9986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Quoted market</w:t>
            </w:r>
          </w:p>
        </w:tc>
        <w:tc>
          <w:tcPr>
            <w:tcW w:w="3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10.8662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b w:val="1"/>
                <w:bCs w:val="1"/>
                <w:color w:val="auto"/>
              </w:rPr>
              <w:t>Euro forwards: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 hedge Mexican peso risk</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Weighted average foreign exchange rate Mexican peso for euro:</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Ps.  2</w:t>
            </w:r>
          </w:p>
        </w:tc>
      </w:tr>
      <w:tr>
        <w:trPr>
          <w:trHeight w:val="216"/>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Contracted</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13.0470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Quoted market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14.3303</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Cross currency and interest rate swap:</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To hedge Japanese yen risk</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foreign exchange rate Japanese yen per Brazilian reais: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1,639</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Ps. (38)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81"/>
              <w:spacing w:after="0"/>
              <w:rPr>
                <w:sz w:val="20"/>
                <w:szCs w:val="20"/>
                <w:color w:val="auto"/>
              </w:rPr>
            </w:pPr>
            <w:r>
              <w:rPr>
                <w:rFonts w:ascii="Arial" w:cs="Arial" w:eastAsia="Arial" w:hAnsi="Arial"/>
                <w:sz w:val="18"/>
                <w:szCs w:val="18"/>
                <w:color w:val="auto"/>
                <w:w w:val="89"/>
              </w:rPr>
              <w:t>Ps.(18)</w:t>
            </w: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Contracted</w:t>
            </w:r>
          </w:p>
        </w:tc>
        <w:tc>
          <w:tcPr>
            <w:tcW w:w="3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0.0183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0.0185</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Quoted market</w:t>
            </w:r>
          </w:p>
        </w:tc>
        <w:tc>
          <w:tcPr>
            <w:tcW w:w="3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0.0155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0.0181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To hedge Japanese yen risk</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foreign exchange rate Japanese yen per Brazilian reais: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777</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Ps.  (1)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left="101"/>
              <w:spacing w:after="0"/>
              <w:rPr>
                <w:sz w:val="20"/>
                <w:szCs w:val="20"/>
                <w:color w:val="auto"/>
              </w:rPr>
            </w:pPr>
            <w:r>
              <w:rPr>
                <w:rFonts w:ascii="Arial" w:cs="Arial" w:eastAsia="Arial" w:hAnsi="Arial"/>
                <w:sz w:val="18"/>
                <w:szCs w:val="18"/>
                <w:color w:val="auto"/>
                <w:w w:val="99"/>
              </w:rPr>
              <w:t>—</w:t>
            </w: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Contracted</w:t>
            </w:r>
          </w:p>
        </w:tc>
        <w:tc>
          <w:tcPr>
            <w:tcW w:w="3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0.0161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Quoted market</w:t>
            </w:r>
          </w:p>
        </w:tc>
        <w:tc>
          <w:tcPr>
            <w:tcW w:w="3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0.0155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31, 2007, we had determined that our leasing contracts denominated in U.S. dollars host an embedded derivative financial instrument. At December 31, 2007 and 2006, the fair value of these contracts represented Ps. 9 million and Ps. 49 million, respectively, which are recorded in the income statement as market value loss on ineffective portion of derivative financial instruments.</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 hypothetical, instantaneous and unfavorable 10% devaluation in the value of the Mexican peso relative to the U.S. dollar occurring on December 31, 2007, would have resulted in an increase in our net consolidated integral result of financing expense of approximately Ps. 854 million over the 12-month period of 2007, reflecting higher interest expense and foreign exchange gain generated by the cash balances held in U.S. dollars as of that date, net of the loss based on our U.S. dollar-denominated indebtedness at December 31, 2007. However, this result does not take into account any gain on monetary position that would be expected to result from an increase in the inflation rate generated by a devaluation of the Mexican peso relative to the U.S. dollar, which gain on monetary position would reduce the consolidated net integral result of financing.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May 30, 2008, the exchange rates relative to the U.S. dollar of all the countries in which we operate as well as their devaluation/revaluation effect compared to December 31, 2007,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7"/>
              </w:rPr>
              <w:t>Exchange Rate</w:t>
            </w:r>
          </w:p>
        </w:tc>
        <w:tc>
          <w:tcPr>
            <w:tcW w:w="4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(Devaluation) /</w:t>
            </w:r>
          </w:p>
        </w:tc>
        <w:tc>
          <w:tcPr>
            <w:tcW w:w="0" w:type="dxa"/>
            <w:vAlign w:val="bottom"/>
          </w:tcPr>
          <w:p>
            <w:pPr>
              <w:spacing w:after="0"/>
              <w:rPr>
                <w:sz w:val="1"/>
                <w:szCs w:val="1"/>
                <w:color w:val="auto"/>
              </w:rPr>
            </w:pPr>
          </w:p>
        </w:tc>
      </w:tr>
      <w:tr>
        <w:trPr>
          <w:trHeight w:val="161"/>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Country</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Currency</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8"/>
              </w:rPr>
              <w:t>at May 30, 2008</w:t>
            </w:r>
          </w:p>
        </w:tc>
        <w:tc>
          <w:tcPr>
            <w:tcW w:w="4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Revaluation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Mexican peso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10.3066</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140" w:type="dxa"/>
            <w:vAlign w:val="bottom"/>
          </w:tcPr>
          <w:p>
            <w:pPr>
              <w:spacing w:after="0"/>
              <w:rPr>
                <w:sz w:val="20"/>
                <w:szCs w:val="20"/>
                <w:color w:val="auto"/>
              </w:rPr>
            </w:pPr>
            <w:r>
              <w:rPr>
                <w:rFonts w:ascii="Arial" w:cs="Arial" w:eastAsia="Arial" w:hAnsi="Arial"/>
                <w:sz w:val="18"/>
                <w:szCs w:val="18"/>
                <w:color w:val="auto"/>
              </w:rPr>
              <w:t>Reai</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1.6294</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Bolivar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1140" w:type="dxa"/>
            <w:vAlign w:val="bottom"/>
          </w:tcPr>
          <w:p>
            <w:pPr>
              <w:spacing w:after="0"/>
              <w:rPr>
                <w:sz w:val="20"/>
                <w:szCs w:val="20"/>
                <w:color w:val="auto"/>
              </w:rPr>
            </w:pPr>
            <w:r>
              <w:rPr>
                <w:rFonts w:ascii="Arial" w:cs="Arial" w:eastAsia="Arial" w:hAnsi="Arial"/>
                <w:sz w:val="18"/>
                <w:szCs w:val="18"/>
                <w:color w:val="auto"/>
                <w:w w:val="86"/>
              </w:rPr>
              <w:t>Colombian peso</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1,744.0100</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2"/>
              </w:rPr>
              <w:t>Argentine peso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3.0978</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Costa Rica</w:t>
            </w:r>
          </w:p>
        </w:tc>
        <w:tc>
          <w:tcPr>
            <w:tcW w:w="1140" w:type="dxa"/>
            <w:vAlign w:val="bottom"/>
          </w:tcPr>
          <w:p>
            <w:pPr>
              <w:spacing w:after="0"/>
              <w:rPr>
                <w:sz w:val="20"/>
                <w:szCs w:val="20"/>
                <w:color w:val="auto"/>
              </w:rPr>
            </w:pPr>
            <w:r>
              <w:rPr>
                <w:rFonts w:ascii="Arial" w:cs="Arial" w:eastAsia="Arial" w:hAnsi="Arial"/>
                <w:sz w:val="18"/>
                <w:szCs w:val="18"/>
                <w:color w:val="auto"/>
              </w:rPr>
              <w:t>Colon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570.6300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Guatemala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Quetzal</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7.4335</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1140" w:type="dxa"/>
            <w:vAlign w:val="bottom"/>
          </w:tcPr>
          <w:p>
            <w:pPr>
              <w:spacing w:after="0"/>
              <w:rPr>
                <w:sz w:val="20"/>
                <w:szCs w:val="20"/>
                <w:color w:val="auto"/>
              </w:rPr>
            </w:pPr>
            <w:r>
              <w:rPr>
                <w:rFonts w:ascii="Arial" w:cs="Arial" w:eastAsia="Arial" w:hAnsi="Arial"/>
                <w:sz w:val="18"/>
                <w:szCs w:val="18"/>
                <w:color w:val="auto"/>
              </w:rPr>
              <w:t>Cordoba</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19.2899</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Panama</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hypothetical, instantaneous and unfavorable 10% devaluation in the value of the currencies of all the countries in which we operate, relative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occurring on December 31, 2007, would produce a reduction in stockholders’ equity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7"/>
              </w:rPr>
              <w:t>Reduction in</w:t>
            </w:r>
          </w:p>
        </w:tc>
      </w:tr>
      <w:tr>
        <w:trPr>
          <w:trHeight w:val="16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1160" w:type="dxa"/>
            <w:vAlign w:val="bottom"/>
          </w:tcPr>
          <w:p>
            <w:pPr>
              <w:ind w:left="300"/>
              <w:spacing w:after="0"/>
              <w:rPr>
                <w:sz w:val="20"/>
                <w:szCs w:val="20"/>
                <w:color w:val="auto"/>
              </w:rPr>
            </w:pPr>
            <w:r>
              <w:rPr>
                <w:rFonts w:ascii="Arial" w:cs="Arial" w:eastAsia="Arial" w:hAnsi="Arial"/>
                <w:sz w:val="14"/>
                <w:szCs w:val="14"/>
                <w:b w:val="1"/>
                <w:bCs w:val="1"/>
                <w:color w:val="auto"/>
              </w:rPr>
              <w:t>Currency</w:t>
            </w:r>
          </w:p>
        </w:tc>
        <w:tc>
          <w:tcPr>
            <w:tcW w:w="8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7"/>
              </w:rPr>
              <w:t>Stockholders’ Equity</w:t>
            </w:r>
          </w:p>
        </w:tc>
      </w:tr>
      <w:tr>
        <w:trPr>
          <w:trHeight w:val="142"/>
        </w:trPr>
        <w:tc>
          <w:tcPr>
            <w:tcW w:w="500" w:type="dxa"/>
            <w:vAlign w:val="bottom"/>
            <w:tcBorders>
              <w:top w:val="single" w:sz="8" w:color="auto"/>
            </w:tcBorders>
          </w:tcPr>
          <w:p>
            <w:pPr>
              <w:spacing w:after="0"/>
              <w:rPr>
                <w:sz w:val="12"/>
                <w:szCs w:val="12"/>
                <w:color w:val="auto"/>
              </w:rPr>
            </w:pPr>
          </w:p>
        </w:tc>
        <w:tc>
          <w:tcPr>
            <w:tcW w:w="53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millions of Mexican pesos)</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Mexican peso</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2,696</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160" w:type="dxa"/>
            <w:vAlign w:val="bottom"/>
          </w:tcPr>
          <w:p>
            <w:pPr>
              <w:spacing w:after="0"/>
              <w:rPr>
                <w:sz w:val="20"/>
                <w:szCs w:val="20"/>
                <w:color w:val="auto"/>
              </w:rPr>
            </w:pPr>
            <w:r>
              <w:rPr>
                <w:rFonts w:ascii="Arial" w:cs="Arial" w:eastAsia="Arial" w:hAnsi="Arial"/>
                <w:sz w:val="18"/>
                <w:szCs w:val="18"/>
                <w:color w:val="auto"/>
              </w:rPr>
              <w:t>Reais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682</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Bolivar</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1160" w:type="dxa"/>
            <w:vAlign w:val="bottom"/>
          </w:tcPr>
          <w:p>
            <w:pPr>
              <w:spacing w:after="0"/>
              <w:rPr>
                <w:sz w:val="20"/>
                <w:szCs w:val="20"/>
                <w:color w:val="auto"/>
              </w:rPr>
            </w:pPr>
            <w:r>
              <w:rPr>
                <w:rFonts w:ascii="Arial" w:cs="Arial" w:eastAsia="Arial" w:hAnsi="Arial"/>
                <w:sz w:val="18"/>
                <w:szCs w:val="18"/>
                <w:color w:val="auto"/>
                <w:w w:val="87"/>
              </w:rPr>
              <w:t>Colombian peso</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Costa Rica</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Colon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1160" w:type="dxa"/>
            <w:vAlign w:val="bottom"/>
          </w:tcPr>
          <w:p>
            <w:pPr>
              <w:spacing w:after="0"/>
              <w:rPr>
                <w:sz w:val="20"/>
                <w:szCs w:val="20"/>
                <w:color w:val="auto"/>
              </w:rPr>
            </w:pPr>
            <w:r>
              <w:rPr>
                <w:rFonts w:ascii="Arial" w:cs="Arial" w:eastAsia="Arial" w:hAnsi="Arial"/>
                <w:sz w:val="18"/>
                <w:szCs w:val="18"/>
                <w:color w:val="auto"/>
                <w:w w:val="94"/>
              </w:rPr>
              <w:t>Argentine peso</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Guatemala</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Quetzal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1160" w:type="dxa"/>
            <w:vAlign w:val="bottom"/>
          </w:tcPr>
          <w:p>
            <w:pPr>
              <w:spacing w:after="0"/>
              <w:rPr>
                <w:sz w:val="20"/>
                <w:szCs w:val="20"/>
                <w:color w:val="auto"/>
              </w:rPr>
            </w:pPr>
            <w:r>
              <w:rPr>
                <w:rFonts w:ascii="Arial" w:cs="Arial" w:eastAsia="Arial" w:hAnsi="Arial"/>
                <w:sz w:val="18"/>
                <w:szCs w:val="18"/>
                <w:color w:val="auto"/>
              </w:rPr>
              <w:t>Cordoba</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Panama</w:t>
            </w: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8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and 2006, we did not have any equity forward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entered into various derivative contracts to hedge the cost of certain raw materials. As of December 31, 2007, we had various derivative instruments contracts with maturity dates in 2010, notional amounts of Ps. 2,419 million and a fair value liability of Ps. 96 million. The result of our commodity price contracts as of December 31, 2007 and 2006 were losses of Ps. 82 million and Ps. 106 million, respectively, which were recorded in the results of operations of each year. As of December 31, 2007 we have certain derivative contracts that do not meet hedging criteria for accounting purposes. The fair value of these contracts was recognized as a loss on ineffective portion of derivative financial instruments of Ps. 43 million. The fair value is estimated based on the quoted market prices to terminate the contracts at the reporting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12-14.  NOT APPLICABLE</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Disclose Controls and Procedures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evaluated, with the participation of our chief executive officer and chief financial officer, the effectiveness of our disclosure controls and procedures as of December 31, 2007.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chief executive officer and chief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under the Securities Exchange Act of 1934, as amended.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Internal Controls—Integrated Framework issued by the Committee of Sponsoring Organizations of the Treadway Commission, our management concluded that our internal control over financial reporting was effective as of December 31, 2007.</w:t>
      </w:r>
    </w:p>
    <w:p>
      <w:pPr>
        <w:spacing w:after="0" w:line="143" w:lineRule="exact"/>
        <w:rPr>
          <w:sz w:val="20"/>
          <w:szCs w:val="20"/>
          <w:color w:val="auto"/>
        </w:rPr>
      </w:pPr>
    </w:p>
    <w:p>
      <w:pPr>
        <w:ind w:right="360" w:firstLine="456"/>
        <w:spacing w:after="0" w:line="330" w:lineRule="auto"/>
        <w:rPr>
          <w:sz w:val="20"/>
          <w:szCs w:val="20"/>
          <w:color w:val="auto"/>
        </w:rPr>
      </w:pPr>
      <w:r>
        <w:rPr>
          <w:rFonts w:ascii="Arial" w:cs="Arial" w:eastAsia="Arial" w:hAnsi="Arial"/>
          <w:sz w:val="16"/>
          <w:szCs w:val="16"/>
          <w:color w:val="auto"/>
        </w:rPr>
        <w:t>The effectiveness of our internal control over financial reporting as of December 31, 2007 has been audited by Galaz, Yamazaki, Ruiz Urquiza, S.C., a member of Deloitte Touche Tohmatsu, an independent registered public accounting firm, as stated in its report included herein.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FOMENTO ECONÓMICO MEXICANO, S.A.B. DE C.V.</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have audited the internal control over financial reporting of Fomento Económico Mexicano, S.A.B. de C.V. and subsidiaries (the “Company”) as of December 31, 2007, based on criteria established in Internal Control—Integrated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2007, based on the criteria established in Internal Control—Integrated Framework issued by the Committee of Sponsoring Organizations of the Treadway Commission.</w:t>
      </w:r>
    </w:p>
    <w:p>
      <w:pPr>
        <w:spacing w:after="0" w:line="8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December 31, 2007 of the Company, and our report dated June 12, 2008 expressed an unqualified opinion on those financial statements and includes explanatory paragraphs regarding (1) the nature and effect of differences between Mexican Financial Reporting Standards and accounting principles generally accepted in the United States of America (2) the adoption of Statement of Financial Accounting Standards No. 158, Employers’ Accounting for Defined Benefit Pension and Other Postretirement Plans—an amendment of FASB Statements No. 87, 88, 106, and 132(R) effective December 31, 2006 and (3) that our audit also comprehended the translation of Mexican peso amounts into U.S. dollar amounts in conformity with the basis stated in Note 2 to such consolidated financial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Galaz, Yamazaki, Ruiz Urquiza, S.C.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 of Deloitte Touche Tohmatsu</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C.P.C. Gabriel González Martínez</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Monterrey, N.L., Mexico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12, 2008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2007, there were no changes in our internal control over financial reporting that either materially affected, or would be reasonably likely to have a material effect, on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shareholders and our board of directors have designated José Manuel Canal Hernando, an independent director as required by the Mexican Securities Market Law and applicable New York Stock Exchange listing standards, as an “audit committee financial expert” within the meaning of this Item 16A. See “Item 6. Directors, Senior Management and Employees—Directors.”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adopted a code of ethics, within the meaning of this Item 16B of Form 20-F. Our code of ethics applies to our chief executive officer, chief financial officer, chief accounting officer and persons performing similar functions as well as to our directors and other officers and employees. Our code of ethics is available on our website at www.femsa.com/ethics.asp. If we amend the provisions of our code of ethics that apply to our chief executive officer, chief financial officer, chief accounting officer and persons performing similar functions, or if we grant any waiver of such provisions, we will disclose such amendment or waiver on our web site at the same address.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following table summarizes the aggregate fees billed to us by Galaz, Yamazaki, Ruiz Urquiza, S.C., Member of Deloitte Touche Tohmatsu, and its affiliates as principal auditors, which we collectively refer to as Deloitte, during the fiscal years ended December 31, 2007 and 2006:</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80" w:type="dxa"/>
            <w:vAlign w:val="bottom"/>
            <w:tcBorders>
              <w:bottom w:val="single" w:sz="8" w:color="auto"/>
            </w:tcBorders>
            <w:gridSpan w:val="4"/>
          </w:tcPr>
          <w:p>
            <w:pPr>
              <w:jc w:val="center"/>
              <w:ind w:left="212"/>
              <w:spacing w:after="0"/>
              <w:rPr>
                <w:sz w:val="20"/>
                <w:szCs w:val="20"/>
                <w:color w:val="auto"/>
              </w:rPr>
            </w:pPr>
            <w:r>
              <w:rPr>
                <w:rFonts w:ascii="Arial" w:cs="Arial" w:eastAsia="Arial" w:hAnsi="Arial"/>
                <w:sz w:val="14"/>
                <w:szCs w:val="14"/>
                <w:b w:val="1"/>
                <w:bCs w:val="1"/>
                <w:color w:val="auto"/>
                <w:w w:val="85"/>
              </w:rPr>
              <w:t>Year ended December 31,</w:t>
            </w: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80" w:type="dxa"/>
            <w:vAlign w:val="bottom"/>
            <w:gridSpan w:val="4"/>
          </w:tcPr>
          <w:p>
            <w:pPr>
              <w:jc w:val="center"/>
              <w:ind w:left="212"/>
              <w:spacing w:after="0" w:line="142" w:lineRule="exact"/>
              <w:rPr>
                <w:sz w:val="20"/>
                <w:szCs w:val="20"/>
                <w:color w:val="auto"/>
              </w:rPr>
            </w:pPr>
            <w:r>
              <w:rPr>
                <w:rFonts w:ascii="Arial" w:cs="Arial" w:eastAsia="Arial" w:hAnsi="Arial"/>
                <w:sz w:val="14"/>
                <w:szCs w:val="14"/>
                <w:b w:val="1"/>
                <w:bCs w:val="1"/>
                <w:color w:val="auto"/>
                <w:w w:val="85"/>
              </w:rPr>
              <w:t>(in millions of Mexican pesos)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9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103</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106</w:t>
            </w:r>
          </w:p>
        </w:tc>
        <w:tc>
          <w:tcPr>
            <w:tcW w:w="2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Audit-related fees</w:t>
            </w:r>
          </w:p>
        </w:tc>
        <w:tc>
          <w:tcPr>
            <w:tcW w:w="3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Other fees</w:t>
            </w:r>
          </w:p>
        </w:tc>
        <w:tc>
          <w:tcPr>
            <w:tcW w:w="3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133</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127</w:t>
            </w:r>
          </w:p>
        </w:tc>
        <w:tc>
          <w:tcPr>
            <w:tcW w:w="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in the above table are the aggregate fees billed by Deloitte in connection with the audit of our annual financial statements, the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of our quarterly financial statements and statutory and regulatory audits.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fees in the above table for the year ended December 31, 2007 and 2006 are the aggregate fees billed by Deloitte mainly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due diligence services.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fees in the above table are fees billed by Deloitte for services based upon existing facts and prior transactions in order to document, compute,</w:t>
      </w:r>
      <w:r>
        <w:rPr>
          <w:rFonts w:ascii="Arial" w:cs="Arial" w:eastAsia="Arial" w:hAnsi="Arial"/>
          <w:sz w:val="18"/>
          <w:szCs w:val="18"/>
          <w:i w:val="1"/>
          <w:iCs w:val="1"/>
          <w:color w:val="auto"/>
        </w:rPr>
        <w:t xml:space="preserve"> </w:t>
      </w:r>
      <w:r>
        <w:rPr>
          <w:rFonts w:ascii="Arial" w:cs="Arial" w:eastAsia="Arial" w:hAnsi="Arial"/>
          <w:sz w:val="18"/>
          <w:szCs w:val="18"/>
          <w:color w:val="auto"/>
        </w:rPr>
        <w:t>and obtain government approval for amounts included in tax filings such as value-added tax return assistance, transfer pricing documentation and requests for technical advice from taxing authorities.</w:t>
      </w:r>
    </w:p>
    <w:p>
      <w:pPr>
        <w:spacing w:after="0" w:line="140" w:lineRule="exact"/>
        <w:rPr>
          <w:sz w:val="20"/>
          <w:szCs w:val="20"/>
          <w:color w:val="auto"/>
        </w:rPr>
      </w:pPr>
    </w:p>
    <w:p>
      <w:pPr>
        <w:jc w:val="center"/>
        <w:ind w:right="120"/>
        <w:spacing w:after="0" w:line="440" w:lineRule="auto"/>
        <w:rPr>
          <w:sz w:val="20"/>
          <w:szCs w:val="20"/>
          <w:color w:val="auto"/>
        </w:rPr>
      </w:pPr>
      <w:r>
        <w:rPr>
          <w:rFonts w:ascii="Arial" w:cs="Arial" w:eastAsia="Arial" w:hAnsi="Arial"/>
          <w:sz w:val="18"/>
          <w:szCs w:val="18"/>
          <w:i w:val="1"/>
          <w:iCs w:val="1"/>
          <w:color w:val="auto"/>
        </w:rPr>
        <w:t>Other fees</w:t>
      </w:r>
      <w:r>
        <w:rPr>
          <w:rFonts w:ascii="Arial" w:cs="Arial" w:eastAsia="Arial" w:hAnsi="Arial"/>
          <w:sz w:val="18"/>
          <w:szCs w:val="18"/>
          <w:color w:val="auto"/>
        </w:rPr>
        <w:t>. Other fees in the above table are consulting related fees. As a percentage of the total fees billed to us, other fees represents 6% for 2007.</w:t>
      </w:r>
      <w:r>
        <w:rPr>
          <w:rFonts w:ascii="Arial" w:cs="Arial" w:eastAsia="Arial" w:hAnsi="Arial"/>
          <w:sz w:val="18"/>
          <w:szCs w:val="18"/>
          <w:i w:val="1"/>
          <w:iCs w:val="1"/>
          <w:color w:val="auto"/>
        </w:rPr>
        <w:t xml:space="preserve"> </w:t>
      </w: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adopted pre-approval policies and procedures under which all audit and non-audit services provided by our external auditors must be pre-approved by the audit committee as set forth in the Audit Committee’s charter. Any service proposals submitted by external auditors need to be discussed and approved by the Audit Committee during its meetings, which take place at least four times a year. Once the proposed service is approved, we or our subsidiaries formalize the engagement of services. The approval of any audit and non-audit services to be provided by our external auditors is specified in the minutes of our Audit Committee. In addition, the members of our board of directors are briefed on matters discussed by the different committees of our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did not purchase any of our equity securities in 2007. The following table presents purchases by trusts that we administer in connection with our stock incentive plans, which purchases may be deemed to be purchases by an affiliated purchaser of us. See “Item 6. Directors, Senior Management and Employees— Stock Incentive Plan” and “––EVA Stock Incentive Plan.”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80"/>
          </w:cols>
          <w:pgMar w:left="240" w:top="459" w:right="3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8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Appropriate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(or Units)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7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BD Units</w:t>
            </w:r>
          </w:p>
        </w:tc>
        <w:tc>
          <w:tcPr>
            <w:tcW w:w="78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Paid per BD</w:t>
            </w:r>
          </w:p>
        </w:tc>
        <w:tc>
          <w:tcPr>
            <w:tcW w:w="7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8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Purchase Date</w:t>
            </w:r>
          </w:p>
        </w:tc>
        <w:tc>
          <w:tcPr>
            <w:tcW w:w="960" w:type="dxa"/>
            <w:vAlign w:val="bottom"/>
          </w:tcPr>
          <w:p>
            <w:pPr>
              <w:jc w:val="right"/>
              <w:ind w:right="104"/>
              <w:spacing w:after="0"/>
              <w:rPr>
                <w:sz w:val="20"/>
                <w:szCs w:val="20"/>
                <w:color w:val="auto"/>
              </w:rPr>
            </w:pPr>
            <w:r>
              <w:rPr>
                <w:rFonts w:ascii="Arial" w:cs="Arial" w:eastAsia="Arial" w:hAnsi="Arial"/>
                <w:sz w:val="14"/>
                <w:szCs w:val="14"/>
                <w:b w:val="1"/>
                <w:bCs w:val="1"/>
                <w:color w:val="auto"/>
              </w:rPr>
              <w:t>Purchased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Arial" w:cs="Arial" w:eastAsia="Arial" w:hAnsi="Arial"/>
                <w:sz w:val="14"/>
                <w:szCs w:val="14"/>
                <w:b w:val="1"/>
                <w:bCs w:val="1"/>
                <w:color w:val="auto"/>
                <w:w w:val="85"/>
              </w:rPr>
              <w:t>Units</w:t>
            </w:r>
          </w:p>
        </w:tc>
        <w:tc>
          <w:tcPr>
            <w:tcW w:w="7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8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2007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640,428</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Ps.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187.55</w:t>
            </w: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80" w:type="dxa"/>
            <w:vAlign w:val="bottom"/>
            <w:gridSpan w:val="3"/>
          </w:tcPr>
          <w:p>
            <w:pPr>
              <w:spacing w:after="0"/>
              <w:rPr>
                <w:sz w:val="20"/>
                <w:szCs w:val="20"/>
                <w:color w:val="auto"/>
              </w:rPr>
            </w:pPr>
            <w:r>
              <w:rPr>
                <w:rFonts w:ascii="Arial" w:cs="Arial" w:eastAsia="Arial" w:hAnsi="Arial"/>
                <w:sz w:val="18"/>
                <w:szCs w:val="18"/>
                <w:color w:val="auto"/>
              </w:rPr>
              <w:t>January 16 to February 5, 2008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775,880</w:t>
            </w: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Ps.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193.46</w:t>
            </w: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F-56,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9"/>
              </w:rPr>
              <w:t>ITEM 19</w:t>
            </w:r>
          </w:p>
        </w:tc>
        <w:tc>
          <w:tcPr>
            <w:tcW w:w="1066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660" w:type="dxa"/>
            <w:vAlign w:val="bottom"/>
          </w:tcPr>
          <w:p>
            <w:pPr>
              <w:ind w:left="500"/>
              <w:spacing w:after="0"/>
              <w:rPr>
                <w:sz w:val="20"/>
                <w:szCs w:val="20"/>
                <w:color w:val="auto"/>
              </w:rPr>
            </w:pPr>
            <w:r>
              <w:rPr>
                <w:rFonts w:ascii="Arial" w:cs="Arial" w:eastAsia="Arial" w:hAnsi="Arial"/>
                <w:sz w:val="18"/>
                <w:szCs w:val="18"/>
                <w:color w:val="auto"/>
                <w:w w:val="89"/>
              </w:rPr>
              <w:t>Bylaws (estatutos sociales) of Fomento Económico Mexicano, S.A.B. de C.V., approved on April 22, 2008, together with an English translation</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thereof.</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660" w:type="dxa"/>
            <w:vAlign w:val="bottom"/>
          </w:tcPr>
          <w:p>
            <w:pPr>
              <w:ind w:left="500"/>
              <w:spacing w:after="0"/>
              <w:rPr>
                <w:sz w:val="20"/>
                <w:szCs w:val="20"/>
                <w:color w:val="auto"/>
              </w:rPr>
            </w:pPr>
            <w:r>
              <w:rPr>
                <w:rFonts w:ascii="Arial" w:cs="Arial" w:eastAsia="Arial" w:hAnsi="Arial"/>
                <w:sz w:val="18"/>
                <w:szCs w:val="18"/>
                <w:color w:val="auto"/>
                <w:w w:val="89"/>
              </w:rPr>
              <w:t>Deposit Agreement, as further amended and restated as of May 11, 2007, among FEMSA, The Bank of New York, and all owners and holders</w:t>
            </w:r>
          </w:p>
        </w:tc>
      </w:tr>
      <w:tr>
        <w:trPr>
          <w:trHeight w:val="216"/>
        </w:trPr>
        <w:tc>
          <w:tcPr>
            <w:tcW w:w="760" w:type="dxa"/>
            <w:vAlign w:val="bottom"/>
          </w:tcPr>
          <w:p>
            <w:pPr>
              <w:spacing w:after="0"/>
              <w:rPr>
                <w:sz w:val="18"/>
                <w:szCs w:val="18"/>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93"/>
              </w:rPr>
              <w:t>from time to time of any American Depositary Receipts, including the form of American Depositary Receipt (incorporated by reference to</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FEMSA’s registration statement on Form F-6 filed on April 30, 2007 (File No. 333- 142469)).</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660" w:type="dxa"/>
            <w:vAlign w:val="bottom"/>
          </w:tcPr>
          <w:p>
            <w:pPr>
              <w:ind w:left="500"/>
              <w:spacing w:after="0"/>
              <w:rPr>
                <w:sz w:val="20"/>
                <w:szCs w:val="20"/>
                <w:color w:val="auto"/>
              </w:rPr>
            </w:pPr>
            <w:r>
              <w:rPr>
                <w:rFonts w:ascii="Arial" w:cs="Arial" w:eastAsia="Arial" w:hAnsi="Arial"/>
                <w:sz w:val="18"/>
                <w:szCs w:val="18"/>
                <w:color w:val="auto"/>
                <w:w w:val="88"/>
              </w:rPr>
              <w:t>Specimen certificate representing a BD Unit, consisting of one Series B Share, two Series D-B Shares and two Series D-L Shares, together with</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91"/>
              </w:rPr>
              <w:t>an English translation (incorporated by reference to FEMSA’s registration statement on Form F-4 filed on April 9, 1998 (File No. 333-8618)).</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660" w:type="dxa"/>
            <w:vAlign w:val="bottom"/>
          </w:tcPr>
          <w:p>
            <w:pPr>
              <w:ind w:left="500"/>
              <w:spacing w:after="0"/>
              <w:rPr>
                <w:sz w:val="20"/>
                <w:szCs w:val="20"/>
                <w:color w:val="auto"/>
              </w:rPr>
            </w:pPr>
            <w:r>
              <w:rPr>
                <w:rFonts w:ascii="Arial" w:cs="Arial" w:eastAsia="Arial" w:hAnsi="Arial"/>
                <w:sz w:val="18"/>
                <w:szCs w:val="18"/>
                <w:color w:val="auto"/>
                <w:w w:val="91"/>
              </w:rPr>
              <w:t>Indenture, dated July 11, 1997, by and between Corporación Interamericana de Bebidas, S.A. de C.V. and The Chase Manhattan Bank, as</w:t>
            </w:r>
          </w:p>
        </w:tc>
      </w:tr>
      <w:tr>
        <w:trPr>
          <w:trHeight w:val="216"/>
        </w:trPr>
        <w:tc>
          <w:tcPr>
            <w:tcW w:w="760" w:type="dxa"/>
            <w:vAlign w:val="bottom"/>
          </w:tcPr>
          <w:p>
            <w:pPr>
              <w:spacing w:after="0"/>
              <w:rPr>
                <w:sz w:val="18"/>
                <w:szCs w:val="18"/>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89"/>
              </w:rPr>
              <w:t>Trustee (incorporated by reference to Exhibit 4.1 of Panamco’s Registration Statement on Form F-4, filed on November 7, 1997 (File No. 333-</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07918)).</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660" w:type="dxa"/>
            <w:vAlign w:val="bottom"/>
          </w:tcPr>
          <w:p>
            <w:pPr>
              <w:ind w:left="500"/>
              <w:spacing w:after="0"/>
              <w:rPr>
                <w:sz w:val="20"/>
                <w:szCs w:val="20"/>
                <w:color w:val="auto"/>
              </w:rPr>
            </w:pPr>
            <w:r>
              <w:rPr>
                <w:rFonts w:ascii="Arial" w:cs="Arial" w:eastAsia="Arial" w:hAnsi="Arial"/>
                <w:sz w:val="18"/>
                <w:szCs w:val="18"/>
                <w:color w:val="auto"/>
                <w:w w:val="90"/>
              </w:rPr>
              <w:t>First Supplemental Indenture, dated October 15, 2003, between Corporación Interamericana de Bebidas, S.A. de C.V., as Issuer, Coca-Cola</w:t>
            </w:r>
          </w:p>
        </w:tc>
      </w:tr>
      <w:tr>
        <w:trPr>
          <w:trHeight w:val="216"/>
        </w:trPr>
        <w:tc>
          <w:tcPr>
            <w:tcW w:w="760" w:type="dxa"/>
            <w:vAlign w:val="bottom"/>
          </w:tcPr>
          <w:p>
            <w:pPr>
              <w:spacing w:after="0"/>
              <w:rPr>
                <w:sz w:val="18"/>
                <w:szCs w:val="18"/>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89"/>
              </w:rPr>
              <w:t>FEMSA, as Guarantor, and JPMorgan Chase Bank, as Trustee (incorporated by reference to Exhibit 2.5 to Coca-Cola FEMSA’s Annual Report</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on Form 20-F filed on April 5, 2004 (File No. 1-12260)).</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660" w:type="dxa"/>
            <w:vAlign w:val="bottom"/>
          </w:tcPr>
          <w:p>
            <w:pPr>
              <w:ind w:left="500"/>
              <w:spacing w:after="0"/>
              <w:rPr>
                <w:sz w:val="20"/>
                <w:szCs w:val="20"/>
                <w:color w:val="auto"/>
              </w:rPr>
            </w:pPr>
            <w:r>
              <w:rPr>
                <w:rFonts w:ascii="Arial" w:cs="Arial" w:eastAsia="Arial" w:hAnsi="Arial"/>
                <w:sz w:val="18"/>
                <w:szCs w:val="18"/>
                <w:color w:val="auto"/>
                <w:w w:val="87"/>
              </w:rPr>
              <w:t>Second Supplemental Indenture, dated November 19, 2003, between Corporación Interamericana de Bebidas, S.A. de C.V., as Issuer, Coca-Cola</w:t>
            </w:r>
          </w:p>
        </w:tc>
      </w:tr>
      <w:tr>
        <w:trPr>
          <w:trHeight w:val="216"/>
        </w:trPr>
        <w:tc>
          <w:tcPr>
            <w:tcW w:w="760" w:type="dxa"/>
            <w:vAlign w:val="bottom"/>
          </w:tcPr>
          <w:p>
            <w:pPr>
              <w:spacing w:after="0"/>
              <w:rPr>
                <w:sz w:val="18"/>
                <w:szCs w:val="18"/>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89"/>
              </w:rPr>
              <w:t>FEMSA, as Guarantor, and JPMorgan Chase Bank, as Trustee (incorporated by reference to Exhibit 2.6 to Coca-Cola FEMSA’s Annual Report</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on Form 20-F filed on April 5, 2004 (File No. 1-12260)).</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660" w:type="dxa"/>
            <w:vAlign w:val="bottom"/>
          </w:tcPr>
          <w:p>
            <w:pPr>
              <w:ind w:left="500"/>
              <w:spacing w:after="0"/>
              <w:rPr>
                <w:sz w:val="20"/>
                <w:szCs w:val="20"/>
                <w:color w:val="auto"/>
              </w:rPr>
            </w:pPr>
            <w:r>
              <w:rPr>
                <w:rFonts w:ascii="Arial" w:cs="Arial" w:eastAsia="Arial" w:hAnsi="Arial"/>
                <w:sz w:val="18"/>
                <w:szCs w:val="18"/>
                <w:color w:val="auto"/>
                <w:w w:val="93"/>
              </w:rPr>
              <w:t>Third Supplemental Indenture, dated August 1, 2007, between Propimex, S.A. de C.V., as Issuer, Coca-Cola FEMSA, as Guarantor, and</w:t>
            </w:r>
          </w:p>
        </w:tc>
      </w:tr>
      <w:tr>
        <w:trPr>
          <w:trHeight w:val="216"/>
        </w:trPr>
        <w:tc>
          <w:tcPr>
            <w:tcW w:w="760" w:type="dxa"/>
            <w:vAlign w:val="bottom"/>
          </w:tcPr>
          <w:p>
            <w:pPr>
              <w:spacing w:after="0"/>
              <w:rPr>
                <w:sz w:val="18"/>
                <w:szCs w:val="18"/>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89"/>
              </w:rPr>
              <w:t>JPMorgan Chase Bank, as Trustee (incorporated by reference to Exhibit 2.5 to Coca-Cola FEMSA’s Annual Report on Form 20-F filed on June</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30, 2008 (File No. 1-12260)).</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660" w:type="dxa"/>
            <w:vAlign w:val="bottom"/>
          </w:tcPr>
          <w:p>
            <w:pPr>
              <w:ind w:left="500"/>
              <w:spacing w:after="0"/>
              <w:rPr>
                <w:sz w:val="20"/>
                <w:szCs w:val="20"/>
                <w:color w:val="auto"/>
              </w:rPr>
            </w:pPr>
            <w:r>
              <w:rPr>
                <w:rFonts w:ascii="Arial" w:cs="Arial" w:eastAsia="Arial" w:hAnsi="Arial"/>
                <w:sz w:val="18"/>
                <w:szCs w:val="18"/>
                <w:color w:val="auto"/>
                <w:w w:val="93"/>
              </w:rPr>
              <w:t>Amended Voting Trust Agreement among certain principal shareholders of FEMSA together with an English translation (incorporated by</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reference to FEMSA’s Schedule 13D as amended filed on August 11, 2005 (File No. 005-54705)).</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660" w:type="dxa"/>
            <w:vAlign w:val="bottom"/>
          </w:tcPr>
          <w:p>
            <w:pPr>
              <w:ind w:left="500"/>
              <w:spacing w:after="0"/>
              <w:rPr>
                <w:sz w:val="20"/>
                <w:szCs w:val="20"/>
                <w:color w:val="auto"/>
              </w:rPr>
            </w:pPr>
            <w:r>
              <w:rPr>
                <w:rFonts w:ascii="Arial" w:cs="Arial" w:eastAsia="Arial" w:hAnsi="Arial"/>
                <w:sz w:val="18"/>
                <w:szCs w:val="18"/>
                <w:color w:val="auto"/>
                <w:w w:val="91"/>
              </w:rPr>
              <w:t>Amended and Restated Shareholders’ Agreement, dated as of July 6, 2002, by and among CIBSA, Emprex, The Coca-Cola Company and</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98"/>
              </w:rPr>
              <w:t>Inmex (incorporated by reference to Coca-Cola FEMSA’s Annual Report on Form 20-F filed on June 27, 2003 (File No. 1-12260)).</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660" w:type="dxa"/>
            <w:vAlign w:val="bottom"/>
          </w:tcPr>
          <w:p>
            <w:pPr>
              <w:ind w:left="500"/>
              <w:spacing w:after="0"/>
              <w:rPr>
                <w:sz w:val="20"/>
                <w:szCs w:val="20"/>
                <w:color w:val="auto"/>
              </w:rPr>
            </w:pPr>
            <w:r>
              <w:rPr>
                <w:rFonts w:ascii="Arial" w:cs="Arial" w:eastAsia="Arial" w:hAnsi="Arial"/>
                <w:sz w:val="18"/>
                <w:szCs w:val="18"/>
                <w:color w:val="auto"/>
                <w:w w:val="91"/>
              </w:rPr>
              <w:t>Amendment, dated May 6, 2003, to the Amended and Restated Shareholders’ Agreement dated July 6, 2002, among CIBSA, Emprex, The</w:t>
            </w:r>
          </w:p>
        </w:tc>
      </w:tr>
      <w:tr>
        <w:trPr>
          <w:trHeight w:val="216"/>
        </w:trPr>
        <w:tc>
          <w:tcPr>
            <w:tcW w:w="760" w:type="dxa"/>
            <w:vAlign w:val="bottom"/>
          </w:tcPr>
          <w:p>
            <w:pPr>
              <w:spacing w:after="0"/>
              <w:rPr>
                <w:sz w:val="18"/>
                <w:szCs w:val="18"/>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94"/>
              </w:rPr>
              <w:t>Coca-Cola Company, Inmex, Atlantic Industries, Dulux CBAI 2003 B.V. and Dulux CBEXINMX 2003 B.V. (incorporated by reference to</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Exhibit 4.14 to Coca-Cola FEMSA’s Annual Report on Form 20-F filed on June 27, 2003 (File No. 1-12260)).</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660" w:type="dxa"/>
            <w:vAlign w:val="bottom"/>
          </w:tcPr>
          <w:p>
            <w:pPr>
              <w:ind w:left="500"/>
              <w:spacing w:after="0"/>
              <w:rPr>
                <w:sz w:val="20"/>
                <w:szCs w:val="20"/>
                <w:color w:val="auto"/>
              </w:rPr>
            </w:pPr>
            <w:r>
              <w:rPr>
                <w:rFonts w:ascii="Arial" w:cs="Arial" w:eastAsia="Arial" w:hAnsi="Arial"/>
                <w:sz w:val="18"/>
                <w:szCs w:val="18"/>
                <w:color w:val="auto"/>
                <w:w w:val="91"/>
              </w:rPr>
              <w:t>Amended and Restated Bottler Agreement, dated June 21, 2003, between Coca-Cola FEMSA and The Coca-Cola Company with respect to</w:t>
            </w:r>
          </w:p>
        </w:tc>
      </w:tr>
      <w:tr>
        <w:trPr>
          <w:trHeight w:val="216"/>
        </w:trPr>
        <w:tc>
          <w:tcPr>
            <w:tcW w:w="760" w:type="dxa"/>
            <w:vAlign w:val="bottom"/>
          </w:tcPr>
          <w:p>
            <w:pPr>
              <w:spacing w:after="0"/>
              <w:rPr>
                <w:sz w:val="18"/>
                <w:szCs w:val="18"/>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91"/>
              </w:rPr>
              <w:t>operations in the southeast of Mexico (incorporated by reference to Exhibit 4.3 to Coca-Cola FEMSA’s Annual Report on Form 20-F filed on</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April 5, 2004 (File No. 1-12260)).</w:t>
            </w:r>
          </w:p>
        </w:tc>
      </w:tr>
      <w:tr>
        <w:trPr>
          <w:trHeight w:val="318"/>
        </w:trPr>
        <w:tc>
          <w:tcPr>
            <w:tcW w:w="76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660" w:type="dxa"/>
            <w:vAlign w:val="bottom"/>
          </w:tcPr>
          <w:p>
            <w:pPr>
              <w:ind w:left="500"/>
              <w:spacing w:after="0"/>
              <w:rPr>
                <w:sz w:val="20"/>
                <w:szCs w:val="20"/>
                <w:color w:val="auto"/>
              </w:rPr>
            </w:pPr>
            <w:r>
              <w:rPr>
                <w:rFonts w:ascii="Arial" w:cs="Arial" w:eastAsia="Arial" w:hAnsi="Arial"/>
                <w:sz w:val="18"/>
                <w:szCs w:val="18"/>
                <w:color w:val="auto"/>
                <w:w w:val="90"/>
              </w:rPr>
              <w:t>Supplemental Agreement, dated June 21, 1993, between Coca-Cola FEMSA and The Coca-Cola Company with respect to operations in the</w:t>
            </w:r>
          </w:p>
        </w:tc>
      </w:tr>
      <w:tr>
        <w:trPr>
          <w:trHeight w:val="216"/>
        </w:trPr>
        <w:tc>
          <w:tcPr>
            <w:tcW w:w="760" w:type="dxa"/>
            <w:vAlign w:val="bottom"/>
          </w:tcPr>
          <w:p>
            <w:pPr>
              <w:spacing w:after="0"/>
              <w:rPr>
                <w:sz w:val="18"/>
                <w:szCs w:val="18"/>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w w:val="92"/>
              </w:rPr>
              <w:t>southeast of Mexico (with English translation) (incorporated by reference to Exhibit 10.3 to Coca-Cola FEMSA’s Registration Statement on</w:t>
            </w:r>
          </w:p>
        </w:tc>
      </w:tr>
      <w:tr>
        <w:trPr>
          <w:trHeight w:val="222"/>
        </w:trPr>
        <w:tc>
          <w:tcPr>
            <w:tcW w:w="760" w:type="dxa"/>
            <w:vAlign w:val="bottom"/>
          </w:tcPr>
          <w:p>
            <w:pPr>
              <w:spacing w:after="0"/>
              <w:rPr>
                <w:sz w:val="19"/>
                <w:szCs w:val="19"/>
                <w:color w:val="auto"/>
              </w:rPr>
            </w:pPr>
          </w:p>
        </w:tc>
        <w:tc>
          <w:tcPr>
            <w:tcW w:w="10660" w:type="dxa"/>
            <w:vAlign w:val="bottom"/>
          </w:tcPr>
          <w:p>
            <w:pPr>
              <w:ind w:left="500"/>
              <w:spacing w:after="0"/>
              <w:rPr>
                <w:sz w:val="20"/>
                <w:szCs w:val="20"/>
                <w:color w:val="auto"/>
              </w:rPr>
            </w:pPr>
            <w:r>
              <w:rPr>
                <w:rFonts w:ascii="Arial" w:cs="Arial" w:eastAsia="Arial" w:hAnsi="Arial"/>
                <w:sz w:val="18"/>
                <w:szCs w:val="18"/>
                <w:color w:val="auto"/>
              </w:rPr>
              <w:t>Form F-1 filed on August 13, 1993 (File No. 333-67380)).</w:t>
            </w:r>
          </w:p>
        </w:tc>
      </w:tr>
      <w:tr>
        <w:trPr>
          <w:trHeight w:val="365"/>
        </w:trPr>
        <w:tc>
          <w:tcPr>
            <w:tcW w:w="760" w:type="dxa"/>
            <w:vAlign w:val="bottom"/>
          </w:tcPr>
          <w:p>
            <w:pPr>
              <w:spacing w:after="0"/>
              <w:rPr>
                <w:sz w:val="24"/>
                <w:szCs w:val="24"/>
                <w:color w:val="auto"/>
              </w:rPr>
            </w:pPr>
          </w:p>
        </w:tc>
        <w:tc>
          <w:tcPr>
            <w:tcW w:w="10660" w:type="dxa"/>
            <w:vAlign w:val="bottom"/>
          </w:tcPr>
          <w:p>
            <w:pPr>
              <w:ind w:left="4820"/>
              <w:spacing w:after="0"/>
              <w:rPr>
                <w:sz w:val="20"/>
                <w:szCs w:val="20"/>
                <w:color w:val="auto"/>
              </w:rPr>
            </w:pPr>
            <w:r>
              <w:rPr>
                <w:rFonts w:ascii="Arial" w:cs="Arial" w:eastAsia="Arial" w:hAnsi="Arial"/>
                <w:sz w:val="18"/>
                <w:szCs w:val="18"/>
                <w:color w:val="auto"/>
              </w:rPr>
              <w:t>137</w:t>
            </w: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4.5</w:t>
            </w: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Amended and Restated Bottler Agreement, dated June 21, 2003, between Coca-Cola FEMSA and The Coca-Cola Company with respect to</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operations in the southeast of Mexico (incorporated by reference to Coca-Cola FEMSA’s Annual Report on Form 20-F filed on April 5, 2004</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(File No. 1-12260)).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4.6</w:t>
            </w: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Supplemental Agreement, dated June 21, 1993, between Coca-Cola FEMSA and The Coca-Cola Company with respect to operations in the</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southeast of Mexico (with English translation) (incorporated by reference to Exhibit 10.4 to Coca-Cola FEMSA’s Registration Statement on</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Form F-1 filed on August 13, 1993 (File No. 333-67380)).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4.7</w:t>
            </w:r>
          </w:p>
        </w:tc>
        <w:tc>
          <w:tcPr>
            <w:tcW w:w="10440" w:type="dxa"/>
            <w:vAlign w:val="bottom"/>
          </w:tcPr>
          <w:p>
            <w:pPr>
              <w:ind w:left="280"/>
              <w:spacing w:after="0"/>
              <w:rPr>
                <w:sz w:val="20"/>
                <w:szCs w:val="20"/>
                <w:color w:val="auto"/>
              </w:rPr>
            </w:pPr>
            <w:r>
              <w:rPr>
                <w:rFonts w:ascii="Arial" w:cs="Arial" w:eastAsia="Arial" w:hAnsi="Arial"/>
                <w:sz w:val="18"/>
                <w:szCs w:val="18"/>
                <w:color w:val="auto"/>
                <w:w w:val="88"/>
              </w:rPr>
              <w:t>Letter of Renewal, dated June 10, 2008, between The Coca-Cola Company and Industria Nacional de Gaseosas S.A., with respect to operations</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in Colombia (English translation) (incorporated by reference to Exhibit 4.19 to Coca-Cola FEMSA’s Annual Report on Form 20-F filed on June</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30, 2008 (File No. 1-12260)).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4.8</w:t>
            </w: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Amendments, dated May 17 and July 20, 1995, to Bottler Agreement and Letter of Agreement, dated August 22, 1994, each with respect to</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operations in Argentina between Coca-Cola FEMSA and The Coca-Cola Company (with English translation) (incorporated by reference to</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Exhibit 10.3 to Coca-Cola FEMSA’s Annual Report on Form 20-F filed on June 28, 1996 (File No. 1-12260)).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4.9</w:t>
            </w: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Bottler Agreement, dated December 1, 1995, between Coca-Cola FEMSA and The Coca-Cola Company with respect to operations in SIRSA</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(with English translation) (incorporated by reference to Exhibit 10.4 to Coca-Cola FEMSA’s Annual Report on Form 20-F filed on June 28,</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1996 (File No. 1-12260)).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4.10</w:t>
            </w: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Supplemental Agreement, dated December 1, 1995, between Coca-Cola FEMSA and The Coca-Cola Company with respect to operations in</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SIRSA (with English translation) (incorporated by reference to Exhibit 10.6 to Coca-Cola FEMSA’s Annual Report on Form 20-F filed on June</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28, 1996 (File No. 1-12260)).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4.11</w:t>
            </w:r>
          </w:p>
        </w:tc>
        <w:tc>
          <w:tcPr>
            <w:tcW w:w="10440" w:type="dxa"/>
            <w:vAlign w:val="bottom"/>
          </w:tcPr>
          <w:p>
            <w:pPr>
              <w:ind w:left="280"/>
              <w:spacing w:after="0"/>
              <w:rPr>
                <w:sz w:val="20"/>
                <w:szCs w:val="20"/>
                <w:color w:val="auto"/>
              </w:rPr>
            </w:pPr>
            <w:r>
              <w:rPr>
                <w:rFonts w:ascii="Arial" w:cs="Arial" w:eastAsia="Arial" w:hAnsi="Arial"/>
                <w:sz w:val="18"/>
                <w:szCs w:val="18"/>
                <w:color w:val="auto"/>
                <w:w w:val="95"/>
              </w:rPr>
              <w:t>Amendment, dated February 1, 1996, to Bottler Agreement between Coca-Cola FEMSA and The Coca-Cola Company with respect to</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operations in SIRSA, dated December 1, 1995 (with English translation) (incorporated by reference to Exhibit 10.5 to Coca-Cola FEMSA’s</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Annual Report on Form 20-F filed on June 28, 1996 (File No. 1-12260)).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4.12</w:t>
            </w: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Amendment, dated May 22, 1998, to Bottler Agreement with respect to the former SIRSA territory, dated December 1, 1995, between Coca-</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4"/>
              </w:rPr>
              <w:t>Cola FEMSA and The Coca-Cola Company (with English translation) (incorporated by reference to Exhibit 4.12 to Coca-Cola FEMSA’s</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Annual Report on Form 20-F filed on June 20, 2001 (File No. 1-12260)).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4.13</w:t>
            </w:r>
          </w:p>
        </w:tc>
        <w:tc>
          <w:tcPr>
            <w:tcW w:w="10440" w:type="dxa"/>
            <w:vAlign w:val="bottom"/>
          </w:tcPr>
          <w:p>
            <w:pPr>
              <w:ind w:left="280"/>
              <w:spacing w:after="0"/>
              <w:rPr>
                <w:sz w:val="20"/>
                <w:szCs w:val="20"/>
                <w:color w:val="auto"/>
              </w:rPr>
            </w:pPr>
            <w:r>
              <w:rPr>
                <w:rFonts w:ascii="Arial" w:cs="Arial" w:eastAsia="Arial" w:hAnsi="Arial"/>
                <w:sz w:val="18"/>
                <w:szCs w:val="18"/>
                <w:color w:val="auto"/>
                <w:w w:val="97"/>
              </w:rPr>
              <w:t>Bottler Agreement, dated August 16, 1996, and Letter of Renewal, dated February 9, 2001, between The Coca-Cola Company and</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88"/>
              </w:rPr>
              <w:t>Embotelladora Coca-Cola y Hit de Venezuela, S.A. with respect to operations in Venezuela (with English translation) (incorporated by reference</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to Coca-Cola FEMSA’s Annual Report on Form 20-F filed on April 5, 2004 (File No. 1-12260)).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4.14</w:t>
            </w:r>
          </w:p>
        </w:tc>
        <w:tc>
          <w:tcPr>
            <w:tcW w:w="10440" w:type="dxa"/>
            <w:vAlign w:val="bottom"/>
          </w:tcPr>
          <w:p>
            <w:pPr>
              <w:ind w:left="280"/>
              <w:spacing w:after="0"/>
              <w:rPr>
                <w:sz w:val="20"/>
                <w:szCs w:val="20"/>
                <w:color w:val="auto"/>
              </w:rPr>
            </w:pPr>
            <w:r>
              <w:rPr>
                <w:rFonts w:ascii="Arial" w:cs="Arial" w:eastAsia="Arial" w:hAnsi="Arial"/>
                <w:sz w:val="18"/>
                <w:szCs w:val="18"/>
                <w:color w:val="auto"/>
                <w:w w:val="95"/>
              </w:rPr>
              <w:t>Bottler Agreement, dated August 16, 1996, and Letter of Renewal, dated February 9, 2001, between Advantage Investments, Inc. and</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Embotelladora Coca-Cola y Hit de Venezuela, S.A. with respect to operations in Venezuela (English translation) (incorporated by reference to</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Coca-Cola FEMSA’s Annual Report on Form 20-F filed on April 5, 2004 (File No. 1-12260)).</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4.15</w:t>
            </w:r>
          </w:p>
        </w:tc>
        <w:tc>
          <w:tcPr>
            <w:tcW w:w="10440" w:type="dxa"/>
            <w:vAlign w:val="bottom"/>
          </w:tcPr>
          <w:p>
            <w:pPr>
              <w:ind w:left="280"/>
              <w:spacing w:after="0"/>
              <w:rPr>
                <w:sz w:val="20"/>
                <w:szCs w:val="20"/>
                <w:color w:val="auto"/>
              </w:rPr>
            </w:pPr>
            <w:r>
              <w:rPr>
                <w:rFonts w:ascii="Arial" w:cs="Arial" w:eastAsia="Arial" w:hAnsi="Arial"/>
                <w:sz w:val="18"/>
                <w:szCs w:val="18"/>
                <w:color w:val="auto"/>
                <w:w w:val="95"/>
              </w:rPr>
              <w:t>Supply Agreement, dated June 21, 1993, between Coca-Cola FEMSA and FEMSA Empaques (incorporated by reference to FEMSA’s</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registration statement on Form F-4 filed on April 9, 1998 (File No. 333-8618)).</w:t>
            </w:r>
          </w:p>
        </w:tc>
      </w:tr>
      <w:tr>
        <w:trPr>
          <w:trHeight w:val="365"/>
        </w:trPr>
        <w:tc>
          <w:tcPr>
            <w:tcW w:w="600" w:type="dxa"/>
            <w:vAlign w:val="bottom"/>
          </w:tcPr>
          <w:p>
            <w:pPr>
              <w:spacing w:after="0"/>
              <w:rPr>
                <w:sz w:val="24"/>
                <w:szCs w:val="24"/>
                <w:color w:val="auto"/>
              </w:rPr>
            </w:pPr>
          </w:p>
        </w:tc>
        <w:tc>
          <w:tcPr>
            <w:tcW w:w="10440" w:type="dxa"/>
            <w:vAlign w:val="bottom"/>
          </w:tcPr>
          <w:p>
            <w:pPr>
              <w:ind w:left="4600"/>
              <w:spacing w:after="0"/>
              <w:rPr>
                <w:sz w:val="20"/>
                <w:szCs w:val="20"/>
                <w:color w:val="auto"/>
              </w:rPr>
            </w:pPr>
            <w:r>
              <w:rPr>
                <w:rFonts w:ascii="Arial" w:cs="Arial" w:eastAsia="Arial" w:hAnsi="Arial"/>
                <w:sz w:val="18"/>
                <w:szCs w:val="18"/>
                <w:color w:val="auto"/>
              </w:rPr>
              <w:t>138</w:t>
            </w: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4.16</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Bottler Agreement and Side Letter dated June 1, 2005, between Panamco Golfo, S.A. de C.V. and The Coca-Cola Company with respect to</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operations in Golfo, Mexico (English translation) (incorporated by reference to Exhibit 4.7 to Coca-Cola FEMSA’s Annual Report on Form 20-</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 filed on April 18, 2006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4.17</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Bottler Agreement and Side Letter dated June 1, 2005, between Panamco Baijo, S.A. de C.V., and the Coca-Cola Company with respect to</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operations in Baijo, Mexico (English translation). (incorporated by reference to Exhibit 4.8 to Coca-Cola FEMSA’s Annual Report on Form 20-</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 filed on April 18, 2006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4.18</w:t>
            </w:r>
          </w:p>
        </w:tc>
        <w:tc>
          <w:tcPr>
            <w:tcW w:w="10420" w:type="dxa"/>
            <w:vAlign w:val="bottom"/>
          </w:tcPr>
          <w:p>
            <w:pPr>
              <w:ind w:left="280"/>
              <w:spacing w:after="0"/>
              <w:rPr>
                <w:sz w:val="20"/>
                <w:szCs w:val="20"/>
                <w:color w:val="auto"/>
              </w:rPr>
            </w:pPr>
            <w:r>
              <w:rPr>
                <w:rFonts w:ascii="Arial" w:cs="Arial" w:eastAsia="Arial" w:hAnsi="Arial"/>
                <w:sz w:val="18"/>
                <w:szCs w:val="18"/>
                <w:color w:val="auto"/>
                <w:w w:val="88"/>
              </w:rPr>
              <w:t>Letter of Renewal, dated December 12, 2005, between The Coca-Cola Company and Embotelladora Central, S.A, with respect to operations in</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Guatemala (English translation) (incorporated by reference to Exhibit 4.10 to Coca-Cola FEMSA’s Annual Report on Form 20-F filed on</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April 18, 2006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4.19</w:t>
            </w:r>
          </w:p>
        </w:tc>
        <w:tc>
          <w:tcPr>
            <w:tcW w:w="10420" w:type="dxa"/>
            <w:vAlign w:val="bottom"/>
          </w:tcPr>
          <w:p>
            <w:pPr>
              <w:ind w:left="280"/>
              <w:spacing w:after="0"/>
              <w:rPr>
                <w:sz w:val="20"/>
                <w:szCs w:val="20"/>
                <w:color w:val="auto"/>
              </w:rPr>
            </w:pPr>
            <w:r>
              <w:rPr>
                <w:rFonts w:ascii="Arial" w:cs="Arial" w:eastAsia="Arial" w:hAnsi="Arial"/>
                <w:sz w:val="18"/>
                <w:szCs w:val="18"/>
                <w:color w:val="auto"/>
                <w:w w:val="88"/>
              </w:rPr>
              <w:t>Letter of Renewal, dated January 4, 2006, between The Coca-Cola Company and Coca-Cola de Panamá, Compañia Embotelladora, S.A., with</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88"/>
              </w:rPr>
              <w:t>respect to operations in Panama (English translation) (incorporated by reference to Exhibit 4.12 to Coca-Cola FEMSA’s Annual Report on Form</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20-F filed on April 18, 2006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4.20</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Manufacturing Agreement, dated April 16, 1999, between Coca-Cola Industrias Ltda., SPAL—Industria Brasileira de Bebidas, S.A. and The</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Coca-Cola Company with respect to operations in São Paulo, Brazil (English translation) (incorporated by reference to Coca-Cola FEMSA’s</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Annual Report on Form 20-F filed on April 5, 2004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4.21</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Manufacturing Agreement, dated April 16, 1999, between Coca-Cola Industrias Ltda., SPAL—Industria Brasileira de Bebidas, S.A. and The</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Coca-Cola Company with respect to operations in Campinas, Brazil (English translation) (incorporated by reference to Coca-Cola FEMSA’s</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Annual Report on Form 20-F filed on April 5, 2004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4.22</w:t>
            </w: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Manufacturing Agreement, dated April 16, 1999, between Coca-Cola Industrias Ltda., SPAL—Industria Brasileira de Bebidas, S.A., and The</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Coca-Cola Company with respect to operations in Campo Grande, Brazil (English translation) (incorporated by reference to Coca-Cola</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FEMSA’s Annual Report on Form 20-F filed on April 5, 2004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4.23</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Coca-Cola Tradename License Agreement dated June 21, 1993, between Coca-Cola FEMSA and The Coca-Cola Company (with English</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7"/>
              </w:rPr>
              <w:t>translation) (incorporated by reference to FEMSA’s Registration Statement on Form F-4 filed on April 9, 1998 (File No. 333-8618)).</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4.24</w:t>
            </w:r>
          </w:p>
        </w:tc>
        <w:tc>
          <w:tcPr>
            <w:tcW w:w="10420" w:type="dxa"/>
            <w:vAlign w:val="bottom"/>
          </w:tcPr>
          <w:p>
            <w:pPr>
              <w:ind w:left="280"/>
              <w:spacing w:after="0"/>
              <w:rPr>
                <w:sz w:val="20"/>
                <w:szCs w:val="20"/>
                <w:color w:val="auto"/>
              </w:rPr>
            </w:pPr>
            <w:r>
              <w:rPr>
                <w:rFonts w:ascii="Arial" w:cs="Arial" w:eastAsia="Arial" w:hAnsi="Arial"/>
                <w:sz w:val="18"/>
                <w:szCs w:val="18"/>
                <w:color w:val="auto"/>
                <w:w w:val="88"/>
              </w:rPr>
              <w:t>Amendment to the Trademark License Agreement, dated December 1, 2002, entered by and among Administración de Marcas S.A. de C.V., as</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proprietor, and The Coca-Cola Export Corporation Mexico branch, as licensee (incorporated by reference to Panamco’s Quarterly Report on</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Form 10-Q for the period ended March 31, 2003 (File No. 1-2290)).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4.25</w:t>
            </w:r>
          </w:p>
        </w:tc>
        <w:tc>
          <w:tcPr>
            <w:tcW w:w="10420" w:type="dxa"/>
            <w:vAlign w:val="bottom"/>
          </w:tcPr>
          <w:p>
            <w:pPr>
              <w:ind w:left="280"/>
              <w:spacing w:after="0"/>
              <w:rPr>
                <w:sz w:val="20"/>
                <w:szCs w:val="20"/>
                <w:color w:val="auto"/>
              </w:rPr>
            </w:pPr>
            <w:r>
              <w:rPr>
                <w:rFonts w:ascii="Arial" w:cs="Arial" w:eastAsia="Arial" w:hAnsi="Arial"/>
                <w:sz w:val="18"/>
                <w:szCs w:val="18"/>
                <w:color w:val="auto"/>
                <w:w w:val="87"/>
              </w:rPr>
              <w:t>Trademark Sub-License Agreement, dated January 4, 2003, entered by and among Panamco Golfo S.A. de C.V., as licensor, and The Coca-Cola</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89"/>
              </w:rPr>
              <w:t>Company, as licensee (incorporated by reference to Panamco’s Quarterly Report on Form 10-Q for the period ended March 31, 2003 (File No.</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1-12290)).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4.26</w:t>
            </w:r>
          </w:p>
        </w:tc>
        <w:tc>
          <w:tcPr>
            <w:tcW w:w="10420" w:type="dxa"/>
            <w:vAlign w:val="bottom"/>
          </w:tcPr>
          <w:p>
            <w:pPr>
              <w:ind w:left="280"/>
              <w:spacing w:after="0"/>
              <w:rPr>
                <w:sz w:val="20"/>
                <w:szCs w:val="20"/>
                <w:color w:val="auto"/>
              </w:rPr>
            </w:pPr>
            <w:r>
              <w:rPr>
                <w:rFonts w:ascii="Arial" w:cs="Arial" w:eastAsia="Arial" w:hAnsi="Arial"/>
                <w:sz w:val="18"/>
                <w:szCs w:val="18"/>
                <w:color w:val="auto"/>
                <w:w w:val="87"/>
              </w:rPr>
              <w:t>Trademark Sub-License Agreement, dated January 4, 2003, entered by and among Panamco Bajio S.A. de C.V., as licensor, and The Coca-Cola</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89"/>
              </w:rPr>
              <w:t>Company, as licensee (incorporated by reference to Panamco’s Quarterly Report on Form 10-Q for the period ended March 31, 2003 (File No.</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1-12290)).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4.27</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Supply Agreement dated April 3, 1998, between ALPLA Fábrica de Plásticos, S.A. de C.V. and Industria Embotelladora de México, S.A. de</w:t>
            </w:r>
          </w:p>
        </w:tc>
      </w:tr>
      <w:tr>
        <w:trPr>
          <w:trHeight w:val="216"/>
        </w:trPr>
        <w:tc>
          <w:tcPr>
            <w:tcW w:w="60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C.V. (with English translation) (incorporated by reference to Coca-Cola FEMSA’s Annual Report on Form 20-F filed on July 1, 2002 (File</w:t>
            </w:r>
          </w:p>
        </w:tc>
      </w:tr>
      <w:tr>
        <w:trPr>
          <w:trHeight w:val="222"/>
        </w:trPr>
        <w:tc>
          <w:tcPr>
            <w:tcW w:w="600" w:type="dxa"/>
            <w:vAlign w:val="bottom"/>
          </w:tcPr>
          <w:p>
            <w:pPr>
              <w:spacing w:after="0"/>
              <w:rPr>
                <w:sz w:val="19"/>
                <w:szCs w:val="19"/>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No. 1-12260)).</w:t>
            </w:r>
          </w:p>
        </w:tc>
      </w:tr>
      <w:tr>
        <w:trPr>
          <w:trHeight w:val="365"/>
        </w:trPr>
        <w:tc>
          <w:tcPr>
            <w:tcW w:w="600" w:type="dxa"/>
            <w:vAlign w:val="bottom"/>
          </w:tcPr>
          <w:p>
            <w:pPr>
              <w:spacing w:after="0"/>
              <w:rPr>
                <w:sz w:val="24"/>
                <w:szCs w:val="24"/>
                <w:color w:val="auto"/>
              </w:rPr>
            </w:pPr>
          </w:p>
        </w:tc>
        <w:tc>
          <w:tcPr>
            <w:tcW w:w="10420" w:type="dxa"/>
            <w:vAlign w:val="bottom"/>
          </w:tcPr>
          <w:p>
            <w:pPr>
              <w:ind w:left="460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4.28</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Supply Agreement dated June 21, 1993, between Coca-Cola FEMSA and FEMSA Empaques, (incorporated by reference to Exhibit 10.7 to</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Coca-Cola FEMSA’s Registration Statement on Form F-1 filed on August 13, 1993 (File No. 333-67380)).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4.29</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Supply Agreement dated April 3, 1998, between ALPLA Fábrica de Plásticos, S.A. de C.V. and Industria Embotelladora de México, S.A. de</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0"/>
              </w:rPr>
              <w:t>C.V. (with English translation) (incorporated by reference to Exhibit 4.18 to Coca-Cola FEMSA’s Annual Report on Form 20-F filed on July 1,</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2002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4.30</w:t>
            </w:r>
          </w:p>
        </w:tc>
        <w:tc>
          <w:tcPr>
            <w:tcW w:w="10380" w:type="dxa"/>
            <w:vAlign w:val="bottom"/>
          </w:tcPr>
          <w:p>
            <w:pPr>
              <w:ind w:left="280"/>
              <w:spacing w:after="0"/>
              <w:rPr>
                <w:sz w:val="20"/>
                <w:szCs w:val="20"/>
                <w:color w:val="auto"/>
              </w:rPr>
            </w:pPr>
            <w:r>
              <w:rPr>
                <w:rFonts w:ascii="Arial" w:cs="Arial" w:eastAsia="Arial" w:hAnsi="Arial"/>
                <w:sz w:val="18"/>
                <w:szCs w:val="18"/>
                <w:color w:val="auto"/>
                <w:w w:val="89"/>
              </w:rPr>
              <w:t>Services Agreement, dated November 7, 2000, between Coca-Cola FEMSA and FEMSA Logística (with English translation) (incorporated by</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reference to Exhibit 4.15 to Coca-Cola FEMSA’s Annual Report on Form 20-F filed on June 20, 2001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4.31</w:t>
            </w:r>
          </w:p>
        </w:tc>
        <w:tc>
          <w:tcPr>
            <w:tcW w:w="10380" w:type="dxa"/>
            <w:vAlign w:val="bottom"/>
          </w:tcPr>
          <w:p>
            <w:pPr>
              <w:ind w:left="280"/>
              <w:spacing w:after="0"/>
              <w:rPr>
                <w:sz w:val="20"/>
                <w:szCs w:val="20"/>
                <w:color w:val="auto"/>
              </w:rPr>
            </w:pPr>
            <w:r>
              <w:rPr>
                <w:rFonts w:ascii="Arial" w:cs="Arial" w:eastAsia="Arial" w:hAnsi="Arial"/>
                <w:sz w:val="18"/>
                <w:szCs w:val="18"/>
                <w:color w:val="auto"/>
                <w:w w:val="88"/>
              </w:rPr>
              <w:t>Promotion and Non-Compete Agreement, dated March 11, 2003, entered by and among The Coca-Cola Export Corporation Mexico branch and</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89"/>
              </w:rPr>
              <w:t>Panamco Bajio S.A. de C.V. (with English translation) (incorporated by reference to Panamco’s Quarterly Report on Form 10-Q for the period</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ended March 31, 2003 (File No. 1-12290)).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4.32</w:t>
            </w:r>
          </w:p>
        </w:tc>
        <w:tc>
          <w:tcPr>
            <w:tcW w:w="10380" w:type="dxa"/>
            <w:vAlign w:val="bottom"/>
          </w:tcPr>
          <w:p>
            <w:pPr>
              <w:ind w:left="280"/>
              <w:spacing w:after="0"/>
              <w:rPr>
                <w:sz w:val="20"/>
                <w:szCs w:val="20"/>
                <w:color w:val="auto"/>
              </w:rPr>
            </w:pPr>
            <w:r>
              <w:rPr>
                <w:rFonts w:ascii="Arial" w:cs="Arial" w:eastAsia="Arial" w:hAnsi="Arial"/>
                <w:sz w:val="18"/>
                <w:szCs w:val="18"/>
                <w:color w:val="auto"/>
                <w:w w:val="88"/>
              </w:rPr>
              <w:t>Promotion and Non-Compete Agreement, dated March 11, 2003, entered by and among The Coca-Cola Export Corporation Mexico branch and</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89"/>
              </w:rPr>
              <w:t>Panamco Golfo S.A. de C.V. (with English translation) (incorporated by reference to Panamco’s Quarterly Report on Form 10-Q for the period</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ended March 31, 2003 (File No. 1-12290)).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4.33</w:t>
            </w: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Memorandum of Understanding, dated as of March 11, 2003, by and among Panamco, as seller, and The Coca-Cola Company, as buyer</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Panamco’s Quarterly Report on Form 10-Q for the period ended March 31, 2003 (File No. 1-12290)).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4.34</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Letter of Renewal, dated December 12, 2005, between The Coca-Cola Company and Industria Nacional de Gaseosas S.A., with respect to</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operations in Colombia (English translation) (incorporated by reference to Exhibit 4.15 to Coca-Cola FEMSA’s Annual Report on Form 20-F</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filed on April 18, 2006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4.35</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Coca-Cola Tradename License Agreement dated June 21, 1993, between Coca-Cola FEMSA and The Coca-Cola Company (with English</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0"/>
              </w:rPr>
              <w:t>translation) (incorporated by reference to Exhibit 10.40 to FEMSA’s Registration Statement on Form F-4 filed on April 9, 1998 (File No. 333-</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8618)).</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4.36</w:t>
            </w:r>
          </w:p>
        </w:tc>
        <w:tc>
          <w:tcPr>
            <w:tcW w:w="10380" w:type="dxa"/>
            <w:vAlign w:val="bottom"/>
          </w:tcPr>
          <w:p>
            <w:pPr>
              <w:ind w:left="280"/>
              <w:spacing w:after="0"/>
              <w:rPr>
                <w:sz w:val="20"/>
                <w:szCs w:val="20"/>
                <w:color w:val="auto"/>
              </w:rPr>
            </w:pPr>
            <w:r>
              <w:rPr>
                <w:rFonts w:ascii="Arial" w:cs="Arial" w:eastAsia="Arial" w:hAnsi="Arial"/>
                <w:sz w:val="18"/>
                <w:szCs w:val="18"/>
                <w:color w:val="auto"/>
                <w:w w:val="89"/>
              </w:rPr>
              <w:t>Bottler Agreement, dated August 22, 1994, between Coca-Cola FEMSA and The Coca-Cola Company with respect to operations in Argentina</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2"/>
              </w:rPr>
              <w:t>(with English translation) (incorporated by reference to Exhibit 10.1 to Coca-Cola FEMSA’s Annual Report on Form 20-F filed on June 30,</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1995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4.37</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Supplemental Agreement, dated August 22, 1994, between Coca-Cola FEMSA and The Coca-Cola Company with respect to operations in</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Argentina (with English translation) (incorporated by reference to Exhibit 10.2 to Coca-Cola FEMSA’s Annual Report on Form 20-F filed on</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June 30, 1995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4.38</w:t>
            </w: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Amendments, dated May 17 and July 20, 1995, to Bottler Agreement and Letter of Agreement, dated August 22, 1994, each with respect to</w:t>
            </w:r>
          </w:p>
        </w:tc>
      </w:tr>
      <w:tr>
        <w:trPr>
          <w:trHeight w:val="216"/>
        </w:trPr>
        <w:tc>
          <w:tcPr>
            <w:tcW w:w="600" w:type="dxa"/>
            <w:vAlign w:val="bottom"/>
          </w:tcPr>
          <w:p>
            <w:pPr>
              <w:spacing w:after="0"/>
              <w:rPr>
                <w:sz w:val="18"/>
                <w:szCs w:val="18"/>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w w:val="91"/>
              </w:rPr>
              <w:t>operations in Argentina, between Coca-Cola FEMSA and The Coca-Cola Company (with English translation) (incorporated by reference to</w:t>
            </w:r>
          </w:p>
        </w:tc>
      </w:tr>
      <w:tr>
        <w:trPr>
          <w:trHeight w:val="222"/>
        </w:trPr>
        <w:tc>
          <w:tcPr>
            <w:tcW w:w="600" w:type="dxa"/>
            <w:vAlign w:val="bottom"/>
          </w:tcPr>
          <w:p>
            <w:pPr>
              <w:spacing w:after="0"/>
              <w:rPr>
                <w:sz w:val="19"/>
                <w:szCs w:val="19"/>
                <w:color w:val="auto"/>
              </w:rPr>
            </w:pPr>
          </w:p>
        </w:tc>
        <w:tc>
          <w:tcPr>
            <w:tcW w:w="10380" w:type="dxa"/>
            <w:vAlign w:val="bottom"/>
          </w:tcPr>
          <w:p>
            <w:pPr>
              <w:ind w:left="280"/>
              <w:spacing w:after="0"/>
              <w:rPr>
                <w:sz w:val="20"/>
                <w:szCs w:val="20"/>
                <w:color w:val="auto"/>
              </w:rPr>
            </w:pPr>
            <w:r>
              <w:rPr>
                <w:rFonts w:ascii="Arial" w:cs="Arial" w:eastAsia="Arial" w:hAnsi="Arial"/>
                <w:sz w:val="18"/>
                <w:szCs w:val="18"/>
                <w:color w:val="auto"/>
              </w:rPr>
              <w:t>Exhibit 10.3 to Coca-Cola FEMSA’s Annual Report on Form 20-F filed on June 28, 1996 (File No. 1-12260)).</w:t>
            </w:r>
          </w:p>
        </w:tc>
      </w:tr>
      <w:tr>
        <w:trPr>
          <w:trHeight w:val="365"/>
        </w:trPr>
        <w:tc>
          <w:tcPr>
            <w:tcW w:w="600" w:type="dxa"/>
            <w:vAlign w:val="bottom"/>
          </w:tcPr>
          <w:p>
            <w:pPr>
              <w:spacing w:after="0"/>
              <w:rPr>
                <w:sz w:val="24"/>
                <w:szCs w:val="24"/>
                <w:color w:val="auto"/>
              </w:rPr>
            </w:pPr>
          </w:p>
        </w:tc>
        <w:tc>
          <w:tcPr>
            <w:tcW w:w="10380" w:type="dxa"/>
            <w:vAlign w:val="bottom"/>
          </w:tcPr>
          <w:p>
            <w:pPr>
              <w:ind w:left="4600"/>
              <w:spacing w:after="0"/>
              <w:rPr>
                <w:sz w:val="20"/>
                <w:szCs w:val="20"/>
                <w:color w:val="auto"/>
              </w:rPr>
            </w:pPr>
            <w:r>
              <w:rPr>
                <w:rFonts w:ascii="Arial" w:cs="Arial" w:eastAsia="Arial" w:hAnsi="Arial"/>
                <w:sz w:val="18"/>
                <w:szCs w:val="18"/>
                <w:color w:val="auto"/>
              </w:rPr>
              <w:t>140</w:t>
            </w:r>
          </w:p>
        </w:tc>
      </w:tr>
    </w:tbl>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4.39</w:t>
            </w: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Bottler Agreement, dated December 1, 1995, between Coca-Cola FEMSA and The Coca-Cola Company with respect to operations in SIRSA</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(with English translation) (incorporated by reference to Exhibit 10.4 to Coca-Cola FEMSA’s Annual Report on Form 20-F filed on June 28,</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1996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4.40</w:t>
            </w: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Supplemental Agreement, dated December 1, 1995, between Coca-Cola FEMSA and The Coca-Cola Company with respect to operations in</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SIRSA (with English translation) (incorporated by reference to Exhibit 10.6 to Coca-Cola FEMSA’s Annual Report on Form 20-F filed on June</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28, 1996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4.41</w:t>
            </w:r>
          </w:p>
        </w:tc>
        <w:tc>
          <w:tcPr>
            <w:tcW w:w="10440" w:type="dxa"/>
            <w:vAlign w:val="bottom"/>
          </w:tcPr>
          <w:p>
            <w:pPr>
              <w:ind w:left="280"/>
              <w:spacing w:after="0"/>
              <w:rPr>
                <w:sz w:val="20"/>
                <w:szCs w:val="20"/>
                <w:color w:val="auto"/>
              </w:rPr>
            </w:pPr>
            <w:r>
              <w:rPr>
                <w:rFonts w:ascii="Arial" w:cs="Arial" w:eastAsia="Arial" w:hAnsi="Arial"/>
                <w:sz w:val="18"/>
                <w:szCs w:val="18"/>
                <w:color w:val="auto"/>
                <w:w w:val="95"/>
              </w:rPr>
              <w:t>Amendment, dated February 1, 1996, to Bottler Agreement between Coca-Cola FEMSA and The Coca-Cola Company with respect to</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operations in SIRSA, dated December 1, 1995 (with English translation) (incorporated by reference to Exhibit 10.5 to Coca-Cola FEMSA’s</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Annual Report on Form 20-F filed on June 28, 1996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4.42</w:t>
            </w: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Amendment, dated May 22, 1998, to Bottler Agreement with respect to the former SIRSA territory, dated December 1, 1995, between Coca-</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4"/>
              </w:rPr>
              <w:t>Cola FEMSA and The Coca-Cola Company (with English translation) (incorporated by reference to Exhibit 4.12 to Coca-Cola FEMSA’s</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Annual Report on Form 20-F filed on June 20, 2001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4.43</w:t>
            </w:r>
          </w:p>
        </w:tc>
        <w:tc>
          <w:tcPr>
            <w:tcW w:w="10440" w:type="dxa"/>
            <w:vAlign w:val="bottom"/>
          </w:tcPr>
          <w:p>
            <w:pPr>
              <w:ind w:left="280"/>
              <w:spacing w:after="0"/>
              <w:rPr>
                <w:sz w:val="20"/>
                <w:szCs w:val="20"/>
                <w:color w:val="auto"/>
              </w:rPr>
            </w:pPr>
            <w:r>
              <w:rPr>
                <w:rFonts w:ascii="Arial" w:cs="Arial" w:eastAsia="Arial" w:hAnsi="Arial"/>
                <w:sz w:val="18"/>
                <w:szCs w:val="18"/>
                <w:color w:val="auto"/>
                <w:w w:val="87"/>
              </w:rPr>
              <w:t>Letter of Renewal, dated June 10, 2008, between The Coca-Cola Company and Industria Nacional de Refrescos, S.A., with respect to operations</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89"/>
              </w:rPr>
              <w:t>in Nicaragua (English translation) (incorporated by reference to Exhibit 4.12 to Coca-Cola FEMSA’s Annual Report on Form 20-F filed on June</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30, 2008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4.44</w:t>
            </w: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Bottler Agreement, dated August 1, 1947, between The Coca-Cola Company and The Panama Coca-Cola Bottling Company, with respect to</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operations in Panama (incorporated by reference to Exhibit 4.13 to Coca-Cola FEMSA’s Annual Report on Form 20-F filed on June 25, 2007</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4.45</w:t>
            </w:r>
          </w:p>
        </w:tc>
        <w:tc>
          <w:tcPr>
            <w:tcW w:w="10440" w:type="dxa"/>
            <w:vAlign w:val="bottom"/>
          </w:tcPr>
          <w:p>
            <w:pPr>
              <w:ind w:left="280"/>
              <w:spacing w:after="0"/>
              <w:rPr>
                <w:sz w:val="20"/>
                <w:szCs w:val="20"/>
                <w:color w:val="auto"/>
              </w:rPr>
            </w:pPr>
            <w:r>
              <w:rPr>
                <w:rFonts w:ascii="Arial" w:cs="Arial" w:eastAsia="Arial" w:hAnsi="Arial"/>
                <w:sz w:val="18"/>
                <w:szCs w:val="18"/>
                <w:color w:val="auto"/>
                <w:w w:val="88"/>
              </w:rPr>
              <w:t>Bottler Agreement, dated November 1, 1994 between The Coca-Cola Company and Coca-Cola de Panamá, Compañía Embotelladora, S.A, with</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88"/>
              </w:rPr>
              <w:t>respect to operations in Panama (English translation) (incorporated by reference to Exhibit 4.14 to Coca-Cola FEMSA’s Annual Report on Form</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20-F filed on June 25, 2007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4.46</w:t>
            </w:r>
          </w:p>
        </w:tc>
        <w:tc>
          <w:tcPr>
            <w:tcW w:w="10440" w:type="dxa"/>
            <w:vAlign w:val="bottom"/>
          </w:tcPr>
          <w:p>
            <w:pPr>
              <w:ind w:left="280"/>
              <w:spacing w:after="0"/>
              <w:rPr>
                <w:sz w:val="20"/>
                <w:szCs w:val="20"/>
                <w:color w:val="auto"/>
              </w:rPr>
            </w:pPr>
            <w:r>
              <w:rPr>
                <w:rFonts w:ascii="Arial" w:cs="Arial" w:eastAsia="Arial" w:hAnsi="Arial"/>
                <w:sz w:val="18"/>
                <w:szCs w:val="18"/>
                <w:color w:val="auto"/>
                <w:w w:val="88"/>
              </w:rPr>
              <w:t>Letter of Renewal, dated June 10, 2008, between The Coca-Cola Company and Coca-Cola FEMSA de Panamá, S.A., with respect to operations</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in Panama (English translation) (incorporated by reference to Exhibit 4.15 to Coca-Cola FEMSA’s Annual Report on Form 20-F filed on June</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30, 2008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4.47</w:t>
            </w: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Bottler Agreement and Letter Agreement, both dated October 1, 2002, between The Coca-Cola Company and Embotelladora Panamco Tica,</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S.A. with respect to operations in Costa Rica (English translation) (incorporated by reference to Exhibit 4.11 to Coca-Cola FEMSA’s Annual</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Report on Form 20-F filed on April 5, 2004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4.48</w:t>
            </w:r>
          </w:p>
        </w:tc>
        <w:tc>
          <w:tcPr>
            <w:tcW w:w="10440" w:type="dxa"/>
            <w:vAlign w:val="bottom"/>
          </w:tcPr>
          <w:p>
            <w:pPr>
              <w:ind w:left="280"/>
              <w:spacing w:after="0"/>
              <w:rPr>
                <w:sz w:val="20"/>
                <w:szCs w:val="20"/>
                <w:color w:val="auto"/>
              </w:rPr>
            </w:pPr>
            <w:r>
              <w:rPr>
                <w:rFonts w:ascii="Arial" w:cs="Arial" w:eastAsia="Arial" w:hAnsi="Arial"/>
                <w:sz w:val="18"/>
                <w:szCs w:val="18"/>
                <w:color w:val="auto"/>
                <w:w w:val="88"/>
              </w:rPr>
              <w:t>Bottler Agreement, dated July 1, 1999, between The Coca-Cola Company and Panamco-Colombia, S.A., with respect to operations in Colombia</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3"/>
              </w:rPr>
              <w:t>(English translation) (incorporated by reference to Exhibit 4.12 to Coca-Cola FEMSA’s Annual Report on Form 20-F filed on April 5, 2004</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4.49</w:t>
            </w: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Letter of Renewal, dated June 10, 2008, between The Coca-Cola Company and Embotelladora Central, S.A., with respect to operations in</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Guatemala (English translation) (incorporated by reference to Exhibit 4.10 to Coca-Cola FEMSA’s Annual Report on Form 20-F filed on June</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30, 2008 (File No. 1-12260)).</w:t>
            </w:r>
          </w:p>
        </w:tc>
      </w:tr>
      <w:tr>
        <w:trPr>
          <w:trHeight w:val="318"/>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4.50</w:t>
            </w:r>
          </w:p>
        </w:tc>
        <w:tc>
          <w:tcPr>
            <w:tcW w:w="10440" w:type="dxa"/>
            <w:vAlign w:val="bottom"/>
          </w:tcPr>
          <w:p>
            <w:pPr>
              <w:ind w:left="280"/>
              <w:spacing w:after="0"/>
              <w:rPr>
                <w:sz w:val="20"/>
                <w:szCs w:val="20"/>
                <w:color w:val="auto"/>
              </w:rPr>
            </w:pPr>
            <w:r>
              <w:rPr>
                <w:rFonts w:ascii="Arial" w:cs="Arial" w:eastAsia="Arial" w:hAnsi="Arial"/>
                <w:sz w:val="18"/>
                <w:szCs w:val="18"/>
                <w:color w:val="auto"/>
                <w:w w:val="97"/>
              </w:rPr>
              <w:t>Bottler Agreement, dated August 16, 1996 and Letter of Renewal, dated February 9, 2001, between The Coca-Cola Company and</w:t>
            </w:r>
          </w:p>
        </w:tc>
      </w:tr>
      <w:tr>
        <w:trPr>
          <w:trHeight w:val="216"/>
        </w:trPr>
        <w:tc>
          <w:tcPr>
            <w:tcW w:w="60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Embotelladora Coca-Cola y Hit de Venezuela, S.A. with respect to operations in Venezuela (English translation) (incorporated by reference to</w:t>
            </w:r>
          </w:p>
        </w:tc>
      </w:tr>
      <w:tr>
        <w:trPr>
          <w:trHeight w:val="222"/>
        </w:trPr>
        <w:tc>
          <w:tcPr>
            <w:tcW w:w="60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Exhibit 4.13 to Coca-Cola FEMSA’s Annual Report on Form 20-F filed on April 5, 2004 (File No. 1-12260)).</w:t>
            </w:r>
          </w:p>
        </w:tc>
      </w:tr>
      <w:tr>
        <w:trPr>
          <w:trHeight w:val="365"/>
        </w:trPr>
        <w:tc>
          <w:tcPr>
            <w:tcW w:w="600" w:type="dxa"/>
            <w:vAlign w:val="bottom"/>
          </w:tcPr>
          <w:p>
            <w:pPr>
              <w:spacing w:after="0"/>
              <w:rPr>
                <w:sz w:val="24"/>
                <w:szCs w:val="24"/>
                <w:color w:val="auto"/>
              </w:rPr>
            </w:pPr>
          </w:p>
        </w:tc>
        <w:tc>
          <w:tcPr>
            <w:tcW w:w="10440" w:type="dxa"/>
            <w:vAlign w:val="bottom"/>
          </w:tcPr>
          <w:p>
            <w:pPr>
              <w:ind w:left="4600"/>
              <w:spacing w:after="0"/>
              <w:rPr>
                <w:sz w:val="20"/>
                <w:szCs w:val="20"/>
                <w:color w:val="auto"/>
              </w:rPr>
            </w:pPr>
            <w:r>
              <w:rPr>
                <w:rFonts w:ascii="Arial" w:cs="Arial" w:eastAsia="Arial" w:hAnsi="Arial"/>
                <w:sz w:val="18"/>
                <w:szCs w:val="18"/>
                <w:color w:val="auto"/>
              </w:rPr>
              <w:t>141</w:t>
            </w: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600" w:type="dxa"/>
            <w:vAlign w:val="bottom"/>
          </w:tcPr>
          <w:p>
            <w:pPr>
              <w:jc w:val="right"/>
              <w:ind w:right="212"/>
              <w:spacing w:after="0"/>
              <w:rPr>
                <w:sz w:val="20"/>
                <w:szCs w:val="20"/>
                <w:color w:val="auto"/>
              </w:rPr>
            </w:pPr>
            <w:r>
              <w:rPr>
                <w:rFonts w:ascii="Arial" w:cs="Arial" w:eastAsia="Arial" w:hAnsi="Arial"/>
                <w:sz w:val="18"/>
                <w:szCs w:val="18"/>
                <w:color w:val="auto"/>
              </w:rPr>
              <w:t>8.1</w:t>
            </w:r>
          </w:p>
        </w:tc>
        <w:tc>
          <w:tcPr>
            <w:tcW w:w="7460" w:type="dxa"/>
            <w:vAlign w:val="bottom"/>
          </w:tcPr>
          <w:p>
            <w:pPr>
              <w:ind w:left="280"/>
              <w:spacing w:after="0"/>
              <w:rPr>
                <w:sz w:val="20"/>
                <w:szCs w:val="20"/>
                <w:color w:val="auto"/>
              </w:rPr>
            </w:pPr>
            <w:r>
              <w:rPr>
                <w:rFonts w:ascii="Arial" w:cs="Arial" w:eastAsia="Arial" w:hAnsi="Arial"/>
                <w:sz w:val="18"/>
                <w:szCs w:val="18"/>
                <w:color w:val="auto"/>
              </w:rPr>
              <w:t>Significant Subsidiaries.</w:t>
            </w:r>
          </w:p>
        </w:tc>
      </w:tr>
      <w:tr>
        <w:trPr>
          <w:trHeight w:val="324"/>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12.1</w:t>
            </w:r>
          </w:p>
        </w:tc>
        <w:tc>
          <w:tcPr>
            <w:tcW w:w="7460" w:type="dxa"/>
            <w:vAlign w:val="bottom"/>
          </w:tcPr>
          <w:p>
            <w:pPr>
              <w:ind w:left="280"/>
              <w:spacing w:after="0"/>
              <w:rPr>
                <w:sz w:val="20"/>
                <w:szCs w:val="20"/>
                <w:color w:val="auto"/>
              </w:rPr>
            </w:pPr>
            <w:r>
              <w:rPr>
                <w:rFonts w:ascii="Arial" w:cs="Arial" w:eastAsia="Arial" w:hAnsi="Arial"/>
                <w:sz w:val="18"/>
                <w:szCs w:val="18"/>
                <w:color w:val="auto"/>
                <w:w w:val="90"/>
              </w:rPr>
              <w:t>CEO Certification pursuant to Section 302 of the Sarbanes-Oxley Act of 2002, dated June 30, 2008.</w:t>
            </w:r>
          </w:p>
        </w:tc>
      </w:tr>
      <w:tr>
        <w:trPr>
          <w:trHeight w:val="324"/>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12.2</w:t>
            </w:r>
          </w:p>
        </w:tc>
        <w:tc>
          <w:tcPr>
            <w:tcW w:w="7460" w:type="dxa"/>
            <w:vAlign w:val="bottom"/>
          </w:tcPr>
          <w:p>
            <w:pPr>
              <w:ind w:left="280"/>
              <w:spacing w:after="0"/>
              <w:rPr>
                <w:sz w:val="20"/>
                <w:szCs w:val="20"/>
                <w:color w:val="auto"/>
              </w:rPr>
            </w:pPr>
            <w:r>
              <w:rPr>
                <w:rFonts w:ascii="Arial" w:cs="Arial" w:eastAsia="Arial" w:hAnsi="Arial"/>
                <w:sz w:val="18"/>
                <w:szCs w:val="18"/>
                <w:color w:val="auto"/>
                <w:w w:val="90"/>
              </w:rPr>
              <w:t>CFO Certification pursuant to Section 302 of the Sarbanes-Oxley Act of 2002, dated June 30, 2008.</w:t>
            </w:r>
          </w:p>
        </w:tc>
      </w:tr>
      <w:tr>
        <w:trPr>
          <w:trHeight w:val="324"/>
        </w:trPr>
        <w:tc>
          <w:tcPr>
            <w:tcW w:w="600" w:type="dxa"/>
            <w:vAlign w:val="bottom"/>
          </w:tcPr>
          <w:p>
            <w:pPr>
              <w:jc w:val="right"/>
              <w:ind w:right="212"/>
              <w:spacing w:after="0"/>
              <w:rPr>
                <w:sz w:val="20"/>
                <w:szCs w:val="20"/>
                <w:color w:val="auto"/>
              </w:rPr>
            </w:pPr>
            <w:r>
              <w:rPr>
                <w:rFonts w:ascii="Arial" w:cs="Arial" w:eastAsia="Arial" w:hAnsi="Arial"/>
                <w:sz w:val="18"/>
                <w:szCs w:val="18"/>
                <w:color w:val="auto"/>
                <w:w w:val="79"/>
              </w:rPr>
              <w:t>13.1</w:t>
            </w:r>
          </w:p>
        </w:tc>
        <w:tc>
          <w:tcPr>
            <w:tcW w:w="7460" w:type="dxa"/>
            <w:vAlign w:val="bottom"/>
          </w:tcPr>
          <w:p>
            <w:pPr>
              <w:ind w:left="280"/>
              <w:spacing w:after="0"/>
              <w:rPr>
                <w:sz w:val="20"/>
                <w:szCs w:val="20"/>
                <w:color w:val="auto"/>
              </w:rPr>
            </w:pPr>
            <w:r>
              <w:rPr>
                <w:rFonts w:ascii="Arial" w:cs="Arial" w:eastAsia="Arial" w:hAnsi="Arial"/>
                <w:sz w:val="18"/>
                <w:szCs w:val="18"/>
                <w:color w:val="auto"/>
                <w:w w:val="88"/>
              </w:rPr>
              <w:t>Officer Certification pursuant to Section 906 of the Sarbanes-Oxley Act of 2002, dated June 30, 2008.</w:t>
            </w:r>
          </w:p>
        </w:tc>
      </w:tr>
      <w:tr>
        <w:trPr>
          <w:trHeight w:val="365"/>
        </w:trPr>
        <w:tc>
          <w:tcPr>
            <w:tcW w:w="600" w:type="dxa"/>
            <w:vAlign w:val="bottom"/>
          </w:tcPr>
          <w:p>
            <w:pPr>
              <w:spacing w:after="0"/>
              <w:rPr>
                <w:sz w:val="24"/>
                <w:szCs w:val="24"/>
                <w:color w:val="auto"/>
              </w:rPr>
            </w:pPr>
          </w:p>
        </w:tc>
        <w:tc>
          <w:tcPr>
            <w:tcW w:w="7460" w:type="dxa"/>
            <w:vAlign w:val="bottom"/>
          </w:tcPr>
          <w:p>
            <w:pPr>
              <w:ind w:left="4600"/>
              <w:spacing w:after="0"/>
              <w:rPr>
                <w:sz w:val="20"/>
                <w:szCs w:val="20"/>
                <w:color w:val="auto"/>
              </w:rPr>
            </w:pPr>
            <w:r>
              <w:rPr>
                <w:rFonts w:ascii="Arial" w:cs="Arial" w:eastAsia="Arial" w:hAnsi="Arial"/>
                <w:sz w:val="18"/>
                <w:szCs w:val="18"/>
                <w:color w:val="auto"/>
              </w:rPr>
              <w:t>142</w:t>
            </w:r>
          </w:p>
        </w:tc>
      </w:tr>
    </w:tbl>
    <w:p>
      <w:pPr>
        <w:sectPr>
          <w:pgSz w:w="11900" w:h="16838" w:orient="portrait"/>
          <w:cols w:equalWidth="0" w:num="1">
            <w:col w:w="10219"/>
          </w:cols>
          <w:pgMar w:left="240" w:top="459" w:right="1440"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Fomento Económico Mexicano, S.A.B. de C.V.</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AVIER</w:t>
            </w:r>
            <w:r>
              <w:rPr>
                <w:rFonts w:ascii="Arial" w:cs="Arial" w:eastAsia="Arial" w:hAnsi="Arial"/>
                <w:sz w:val="18"/>
                <w:szCs w:val="18"/>
                <w:color w:val="auto"/>
              </w:rPr>
              <w:t xml:space="preserve"> A</w:t>
            </w:r>
            <w:r>
              <w:rPr>
                <w:rFonts w:ascii="Arial" w:cs="Arial" w:eastAsia="Arial" w:hAnsi="Arial"/>
                <w:sz w:val="14"/>
                <w:szCs w:val="14"/>
                <w:color w:val="auto"/>
              </w:rPr>
              <w:t>STABURUAGA</w:t>
            </w:r>
            <w:r>
              <w:rPr>
                <w:rFonts w:ascii="Arial" w:cs="Arial" w:eastAsia="Arial" w:hAnsi="Arial"/>
                <w:sz w:val="18"/>
                <w:szCs w:val="18"/>
                <w:color w:val="auto"/>
              </w:rPr>
              <w:t xml:space="preserve"> S</w:t>
            </w:r>
            <w:r>
              <w:rPr>
                <w:rFonts w:ascii="Arial" w:cs="Arial" w:eastAsia="Arial" w:hAnsi="Arial"/>
                <w:sz w:val="14"/>
                <w:szCs w:val="14"/>
                <w:color w:val="auto"/>
              </w:rPr>
              <w:t>ANJINES</w:t>
            </w:r>
          </w:p>
        </w:tc>
      </w:tr>
      <w:tr>
        <w:trPr>
          <w:trHeight w:val="197"/>
        </w:trPr>
        <w:tc>
          <w:tcPr>
            <w:tcW w:w="580" w:type="dxa"/>
            <w:vAlign w:val="bottom"/>
          </w:tcPr>
          <w:p>
            <w:pPr>
              <w:spacing w:after="0" w:line="197" w:lineRule="exact"/>
              <w:rPr>
                <w:sz w:val="20"/>
                <w:szCs w:val="20"/>
                <w:color w:val="auto"/>
              </w:rPr>
            </w:pPr>
            <w:r>
              <w:rPr>
                <w:rFonts w:ascii="Arial" w:cs="Arial" w:eastAsia="Arial" w:hAnsi="Arial"/>
                <w:sz w:val="18"/>
                <w:szCs w:val="18"/>
                <w:b w:val="1"/>
                <w:bCs w:val="1"/>
                <w:color w:val="auto"/>
              </w:rPr>
              <w:t>Name:</w:t>
            </w:r>
          </w:p>
        </w:tc>
        <w:tc>
          <w:tcPr>
            <w:tcW w:w="3980" w:type="dxa"/>
            <w:vAlign w:val="bottom"/>
          </w:tcPr>
          <w:p>
            <w:pPr>
              <w:ind w:left="60"/>
              <w:spacing w:after="0" w:line="197" w:lineRule="exact"/>
              <w:rPr>
                <w:sz w:val="20"/>
                <w:szCs w:val="20"/>
                <w:color w:val="auto"/>
              </w:rPr>
            </w:pPr>
            <w:r>
              <w:rPr>
                <w:rFonts w:ascii="Arial" w:cs="Arial" w:eastAsia="Arial" w:hAnsi="Arial"/>
                <w:sz w:val="18"/>
                <w:szCs w:val="18"/>
                <w:b w:val="1"/>
                <w:bCs w:val="1"/>
                <w:color w:val="auto"/>
              </w:rPr>
              <w:t>Javier Astaburuaga Sanjines</w:t>
            </w:r>
          </w:p>
        </w:tc>
      </w:tr>
      <w:tr>
        <w:trPr>
          <w:trHeight w:val="216"/>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b w:val="1"/>
                <w:bCs w:val="1"/>
                <w:color w:val="auto"/>
              </w:rPr>
              <w:t>Executive Vice-President of Finance</w:t>
            </w:r>
          </w:p>
        </w:tc>
      </w:tr>
      <w:tr>
        <w:trPr>
          <w:trHeight w:val="228"/>
        </w:trPr>
        <w:tc>
          <w:tcPr>
            <w:tcW w:w="580" w:type="dxa"/>
            <w:vAlign w:val="bottom"/>
          </w:tcPr>
          <w:p>
            <w:pPr>
              <w:spacing w:after="0"/>
              <w:rPr>
                <w:sz w:val="19"/>
                <w:szCs w:val="19"/>
                <w:color w:val="auto"/>
              </w:rPr>
            </w:pPr>
          </w:p>
        </w:tc>
        <w:tc>
          <w:tcPr>
            <w:tcW w:w="3980" w:type="dxa"/>
            <w:vAlign w:val="bottom"/>
          </w:tcPr>
          <w:p>
            <w:pPr>
              <w:ind w:left="60"/>
              <w:spacing w:after="0"/>
              <w:rPr>
                <w:sz w:val="20"/>
                <w:szCs w:val="20"/>
                <w:color w:val="auto"/>
              </w:rPr>
            </w:pPr>
            <w:r>
              <w:rPr>
                <w:rFonts w:ascii="Arial" w:cs="Arial" w:eastAsia="Arial" w:hAnsi="Arial"/>
                <w:sz w:val="18"/>
                <w:szCs w:val="18"/>
                <w:b w:val="1"/>
                <w:bCs w:val="1"/>
                <w:color w:val="auto"/>
                <w:w w:val="89"/>
              </w:rPr>
              <w:t>and Strategic Development / Chief Financial Officer</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FOMENTO ECONÓMICO MEXICANO, S.A.B.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50">
              <w:r>
                <w:rPr>
                  <w:rFonts w:ascii="Arial" w:cs="Arial" w:eastAsia="Arial" w:hAnsi="Arial"/>
                  <w:sz w:val="18"/>
                  <w:szCs w:val="18"/>
                  <w:color w:val="0000EE"/>
                  <w:w w:val="88"/>
                </w:rPr>
                <w:t>Report of independent registered public accounting firm of Fomento Económico Mexicano, S.A.B. de C.V. and subsidiaries</w:t>
              </w:r>
            </w:hyperlink>
          </w:p>
        </w:tc>
        <w:tc>
          <w:tcPr>
            <w:tcW w:w="1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9900" w:type="dxa"/>
            <w:vAlign w:val="bottom"/>
            <w:gridSpan w:val="8"/>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Consolidated balance sheets at December 31, 2007 and December 31, 2006</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32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61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53">
              <w:r>
                <w:rPr>
                  <w:rFonts w:ascii="Arial" w:cs="Arial" w:eastAsia="Arial" w:hAnsi="Arial"/>
                  <w:sz w:val="18"/>
                  <w:szCs w:val="18"/>
                  <w:color w:val="0000EE"/>
                  <w:w w:val="87"/>
                </w:rPr>
                <w:t>Consolidated income statements for the year ended December 31, 2007, 2006 and 2005</w:t>
              </w:r>
            </w:hyperlink>
          </w:p>
        </w:tc>
        <w:tc>
          <w:tcPr>
            <w:tcW w:w="3740" w:type="dxa"/>
            <w:vAlign w:val="bottom"/>
            <w:gridSpan w:val="5"/>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9900" w:type="dxa"/>
            <w:vAlign w:val="bottom"/>
            <w:gridSpan w:val="8"/>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statements of changes in financial position for the years ended December 31, 2007, 2006 and 2005</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324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81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55">
              <w:r>
                <w:rPr>
                  <w:rFonts w:ascii="Arial" w:cs="Arial" w:eastAsia="Arial" w:hAnsi="Arial"/>
                  <w:sz w:val="18"/>
                  <w:szCs w:val="18"/>
                  <w:color w:val="0000EE"/>
                  <w:w w:val="87"/>
                </w:rPr>
                <w:t>Consolidated statements of changes in stockholders’ equity for the years ended December 31, 2007, 2006 and 2005</w:t>
              </w:r>
            </w:hyperlink>
          </w:p>
        </w:tc>
        <w:tc>
          <w:tcPr>
            <w:tcW w:w="1740" w:type="dxa"/>
            <w:vAlign w:val="bottom"/>
            <w:gridSpan w:val="2"/>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3240" w:type="dxa"/>
            <w:vAlign w:val="bottom"/>
            <w:tcBorders>
              <w:bottom w:val="single" w:sz="8" w:color="0000EE"/>
            </w:tcBorders>
          </w:tcPr>
          <w:p>
            <w:pPr>
              <w:spacing w:after="0"/>
              <w:rPr>
                <w:rFonts w:ascii="Arial" w:cs="Arial" w:eastAsia="Arial" w:hAnsi="Arial"/>
                <w:sz w:val="18"/>
                <w:szCs w:val="18"/>
                <w:color w:val="0000EE"/>
                <w:w w:val="87"/>
              </w:rPr>
            </w:pPr>
            <w:hyperlink w:anchor="page156">
              <w:r>
                <w:rPr>
                  <w:rFonts w:ascii="Arial" w:cs="Arial" w:eastAsia="Arial" w:hAnsi="Arial"/>
                  <w:sz w:val="18"/>
                  <w:szCs w:val="18"/>
                  <w:color w:val="0000EE"/>
                  <w:w w:val="87"/>
                </w:rPr>
                <w:t>Notes to the consolidated financial statements</w:t>
              </w:r>
            </w:hyperlink>
          </w:p>
        </w:tc>
        <w:tc>
          <w:tcPr>
            <w:tcW w:w="6660" w:type="dxa"/>
            <w:vAlign w:val="bottom"/>
            <w:gridSpan w:val="7"/>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9900" w:type="dxa"/>
            <w:vAlign w:val="bottom"/>
            <w:gridSpan w:val="8"/>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Report of independent registered public accounting firm of FEMSA Comercio, S.A. de C.V. and subsidiaries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F-56</w:t>
            </w:r>
          </w:p>
        </w:tc>
      </w:tr>
      <w:tr>
        <w:trPr>
          <w:trHeight w:val="383"/>
        </w:trPr>
        <w:tc>
          <w:tcPr>
            <w:tcW w:w="324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2340" w:type="dxa"/>
            <w:vAlign w:val="bottom"/>
            <w:tcBorders>
              <w:top w:val="single" w:sz="8" w:color="0000EE"/>
            </w:tcBorders>
            <w:gridSpan w:val="2"/>
          </w:tcPr>
          <w:p>
            <w:pPr>
              <w:ind w:left="300"/>
              <w:spacing w:after="0"/>
              <w:rPr>
                <w:sz w:val="20"/>
                <w:szCs w:val="20"/>
                <w:color w:val="auto"/>
              </w:rPr>
            </w:pPr>
            <w:r>
              <w:rPr>
                <w:rFonts w:ascii="Arial" w:cs="Arial" w:eastAsia="Arial" w:hAnsi="Arial"/>
                <w:sz w:val="18"/>
                <w:szCs w:val="18"/>
                <w:color w:val="auto"/>
              </w:rPr>
              <w:t>F-1</w:t>
            </w:r>
          </w:p>
        </w:tc>
        <w:tc>
          <w:tcPr>
            <w:tcW w:w="2260" w:type="dxa"/>
            <w:vAlign w:val="bottom"/>
            <w:gridSpan w:val="4"/>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5135" cy="4800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S.A.B. de C.V.:</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audited the accompanying consolidated balance sheets of Fomento Económico Mexicano, S.A.B. de C.V. (a Mexican corporation) and subsidiaries (the “Company”) as of December 31, 2007 and 2006, and the related consolidated statements of income, changes in stockholders’ equity and changes in financial position for each of the three years in the period ended December 31, 2007, all expressed in millions of Mexican pesos of purchasing power as of December 31, 2007. These financial statements are the responsibility of the Company’s management. Our responsibility is to express an opinion on these financial statements based on our audits. We did not audit the financial statements of FEMSA Comercio, S.A. de C.V. and subsidiaries (a consolidated subsidiary), which statements reflect total assets constituting 9% and 8%, respectively, of consolidated total assets as of December 31, 2007 and 2006, and total revenues constituting 29%, 27% and 26%, respectively, of consolidated total revenues for each of the three years in the period ended December 31, 2007. Those statements were audited by other auditors whose report has been furnished to us and our opinion, insofar as it relates to the amounts included for FEMSA Comercio, S.A. de C.V. and subsidiaries, is based solely on the report of the other auditors.</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our opinion, based on our audits and the report of the other auditors, such consolidated financial statements present fairly, in all material respects, the financial position of Fomento Económico Mexicano, S.A.B. de C.V. and subsidiaries as of December 31, 2007 and 2006, and the results of their operations, changes in their stockholders’ equity and changes in their financial position for each of the three years in the period ended December 31, 2007, in conformity with Mexican Financial Reporting Standards.</w:t>
      </w:r>
    </w:p>
    <w:p>
      <w:pPr>
        <w:spacing w:after="0" w:line="14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Mexican Financial Reporting Standards vary in certain significant respects from accounting principles generally accepted in the United States of America. The application of the latter would have affected the determination of net income for each of the three years in the period ended December 31, 2007, and the determination of stockholders’ equity as of December 31, 2007 and 2006, to the extent summarized in Note 27.</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disclosed in Note 26 k) to the accompanying consolidated financial statements, the Company adopted the recognition and disclosure provisions of Statements of Financial Accounting Standards No. 158, “Employers’ Accounting for Defined Benefit Pension and Other Postretirement Plans—an amendment of FASB Statements No. 87, 88, 106 and 132(R),” effective December 31, 2006.</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audit also comprehended the translation of the Mexican peso amounts into U.S. dollar amounts and, in our opinion, such translation has been made in conformity with the basis stated in Note 2. The translation of the financial statement amounts into U.S. dollars and the translation of the financial statements into English have been made solely for the convenience of readers in the United States of America.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2007,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June 12, 2008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603375" cy="4629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033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Galaz, Yamazaki, Ruiz Urquiza,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C.P.C. Gabriel González Martínez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Monterrey, N.L.,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2007 and 2006. Amounts expressed in millions of U.S. dollars ($) and in millions of constant Mexican pesos (Ps.) as of December 31,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71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102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958</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Ps. 10,456</w:t>
            </w:r>
          </w:p>
        </w:tc>
        <w:tc>
          <w:tcPr>
            <w:tcW w:w="1080" w:type="dxa"/>
            <w:vAlign w:val="bottom"/>
            <w:gridSpan w:val="3"/>
            <w:shd w:val="clear" w:color="auto" w:fill="CCEEFF"/>
          </w:tcPr>
          <w:p>
            <w:pPr>
              <w:jc w:val="center"/>
              <w:ind w:left="73"/>
              <w:spacing w:after="0"/>
              <w:rPr>
                <w:sz w:val="20"/>
                <w:szCs w:val="20"/>
                <w:color w:val="auto"/>
              </w:rPr>
            </w:pPr>
            <w:r>
              <w:rPr>
                <w:rFonts w:ascii="Arial" w:cs="Arial" w:eastAsia="Arial" w:hAnsi="Arial"/>
                <w:sz w:val="18"/>
                <w:szCs w:val="18"/>
                <w:color w:val="auto"/>
                <w:w w:val="98"/>
              </w:rPr>
              <w:t>Ps.  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854</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9,329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919</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Recoverable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1,699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shares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33,485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Investments in shares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5,011</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54,707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5,518</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60,234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1,018</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11,117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Bottles and cases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286</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3,125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asset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15,187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165,795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316</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475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542</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Suppliers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1,251</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13,657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335</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3,658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427</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4,658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33,404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Bank loans and 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2,809</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30,665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328</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Labor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341</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3,718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Contingencies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4,771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42,738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6,975</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76,142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consolidated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2,297</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25,075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Majority interest: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490</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1,888</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20,612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 from prior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3,491</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38,108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780</w:t>
            </w: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8,511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Cumulative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(734)</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(8,001)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Majority interest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64,578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89,653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15,187</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0"/>
              </w:rPr>
              <w:t>Ps. 165,795</w:t>
            </w:r>
          </w:p>
        </w:tc>
        <w:tc>
          <w:tcPr>
            <w:tcW w:w="260" w:type="dxa"/>
            <w:vAlign w:val="bottom"/>
            <w:vMerge w:val="continue"/>
          </w:tcPr>
          <w:p>
            <w:pPr>
              <w:spacing w:after="0"/>
              <w:rPr>
                <w:sz w:val="19"/>
                <w:szCs w:val="19"/>
                <w:color w:val="auto"/>
              </w:rPr>
            </w:pPr>
          </w:p>
        </w:tc>
        <w:tc>
          <w:tcPr>
            <w:tcW w:w="1080" w:type="dxa"/>
            <w:vAlign w:val="bottom"/>
            <w:gridSpan w:val="3"/>
          </w:tcPr>
          <w:p>
            <w:pPr>
              <w:jc w:val="center"/>
              <w:ind w:left="73"/>
              <w:spacing w:after="0"/>
              <w:rPr>
                <w:sz w:val="20"/>
                <w:szCs w:val="20"/>
                <w:color w:val="auto"/>
              </w:rPr>
            </w:pPr>
            <w:r>
              <w:rPr>
                <w:rFonts w:ascii="Arial" w:cs="Arial" w:eastAsia="Arial" w:hAnsi="Arial"/>
                <w:sz w:val="18"/>
                <w:szCs w:val="18"/>
                <w:color w:val="auto"/>
                <w:w w:val="87"/>
              </w:rPr>
              <w:t>Ps.154,516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The accompanying notes are an integral part of these 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Monterrey, N.L., Mexico, February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471805" cy="6261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1805" cy="62611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135890</wp:posOffset>
            </wp:positionV>
            <wp:extent cx="1457960" cy="7632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57960" cy="7632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José Antonio Fernández Carbajal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Javier Astaburuaga Sanjines</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ectPr>
          <w:pgSz w:w="11900" w:h="16838" w:orient="portrait"/>
          <w:cols w:equalWidth="0" w:num="2">
            <w:col w:w="8720" w:space="720"/>
            <w:col w:w="19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1420"/>
          </w:cols>
          <w:pgMar w:left="240" w:top="459" w:right="2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Income Statements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years ended December 31, 2007, 2006 and 2005. Amounts expressed in millions of U.S. dollars ($) and in millions of constant Mexican pesos (Ps.) as of December 31, 2007,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2006</w:t>
            </w: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13,472</w:t>
            </w:r>
          </w:p>
        </w:tc>
        <w:tc>
          <w:tcPr>
            <w:tcW w:w="1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320"/>
              <w:spacing w:after="0"/>
              <w:rPr>
                <w:sz w:val="20"/>
                <w:szCs w:val="20"/>
                <w:color w:val="auto"/>
              </w:rPr>
            </w:pPr>
            <w:r>
              <w:rPr>
                <w:rFonts w:ascii="Arial" w:cs="Arial" w:eastAsia="Arial" w:hAnsi="Arial"/>
                <w:sz w:val="18"/>
                <w:szCs w:val="18"/>
                <w:b w:val="1"/>
                <w:bCs w:val="1"/>
                <w:color w:val="auto"/>
              </w:rPr>
              <w:t>Ps. 147,069</w:t>
            </w: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Ps.135,647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Ps.118,799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Other operating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13,516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147,556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136,120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7,310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79,801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73,366</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67,755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62,754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9,191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8,973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38,995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35,314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48,186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44,287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1,793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19,569</w:t>
            </w:r>
          </w:p>
        </w:tc>
        <w:tc>
          <w:tcPr>
            <w:tcW w:w="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18,467</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(1,297)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Integral result of financing: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(4,554)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(4,299)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769</w:t>
            </w: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 (loss),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691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Gain on monetary position,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1,639</w:t>
            </w: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1,488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value gain (loss) on ineffective portion of derivative financial instruments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(1,386)</w:t>
            </w:r>
          </w:p>
        </w:tc>
        <w:tc>
          <w:tcPr>
            <w:tcW w:w="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(2,349)</w:t>
            </w: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16,886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14,468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4,950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4,608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11,936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9,860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Net majority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8,511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7,127</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minority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1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11,936</w:t>
            </w:r>
          </w:p>
        </w:tc>
        <w:tc>
          <w:tcPr>
            <w:tcW w:w="4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9,860</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9,073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 (U.S. dollars and constant Mexican pesos):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Per Series “B”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14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b w:val="1"/>
                <w:bCs w:val="1"/>
                <w:color w:val="auto"/>
                <w:w w:val="81"/>
              </w:rPr>
              <w:t>Ps.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0.42</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Per Series “D”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81"/>
              </w:rPr>
              <w:t>Ps.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0.53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income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Statements of Changes in Financial Position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years ended December 31, 2007, 2006 and 2005. Amounts expressed in millions of U.S. dollars ($) and in millions of constant Mexican pesos (Ps.) as of December 31,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5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Resources Generated by (Used in) Operating Activities: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2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1,093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Ps. 11,936</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9,860</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9,073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4,930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Amortization and other non-cash charges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3,182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3,154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(239)</w:t>
            </w:r>
          </w:p>
        </w:tc>
        <w:tc>
          <w:tcPr>
            <w:tcW w:w="2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19,902</w:t>
            </w: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Working capital:</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(141)</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(1,536)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(166)</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(1,812)</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Recoverable taxes, net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860"/>
              <w:spacing w:after="0"/>
              <w:rPr>
                <w:sz w:val="20"/>
                <w:szCs w:val="20"/>
                <w:color w:val="auto"/>
              </w:rPr>
            </w:pPr>
            <w:r>
              <w:rPr>
                <w:rFonts w:ascii="Arial" w:cs="Arial" w:eastAsia="Arial" w:hAnsi="Arial"/>
                <w:sz w:val="18"/>
                <w:szCs w:val="18"/>
                <w:color w:val="auto"/>
                <w:w w:val="95"/>
              </w:rPr>
              <w:t>Other current assets and investment in shares</w:t>
            </w:r>
          </w:p>
        </w:tc>
        <w:tc>
          <w:tcPr>
            <w:tcW w:w="2740" w:type="dxa"/>
            <w:vAlign w:val="bottom"/>
          </w:tcPr>
          <w:p>
            <w:pPr>
              <w:ind w:left="240"/>
              <w:spacing w:after="0"/>
              <w:rPr>
                <w:sz w:val="20"/>
                <w:szCs w:val="20"/>
                <w:color w:val="auto"/>
              </w:rPr>
            </w:pPr>
            <w:r>
              <w:rPr>
                <w:rFonts w:ascii="Arial" w:cs="Arial" w:eastAsia="Arial" w:hAnsi="Arial"/>
                <w:sz w:val="18"/>
                <w:szCs w:val="18"/>
                <w:color w:val="auto"/>
              </w:rPr>
              <w:t>available for sale</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(668)</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Suppliers and other current liabilities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860"/>
              <w:spacing w:after="0"/>
              <w:rPr>
                <w:sz w:val="20"/>
                <w:szCs w:val="20"/>
                <w:color w:val="auto"/>
              </w:rPr>
            </w:pPr>
            <w:r>
              <w:rPr>
                <w:rFonts w:ascii="Arial" w:cs="Arial" w:eastAsia="Arial" w:hAnsi="Arial"/>
                <w:sz w:val="18"/>
                <w:szCs w:val="18"/>
                <w:color w:val="auto"/>
              </w:rPr>
              <w:t>Interest payable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Labor liabilities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(318)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Net resources generated by operating activities</w:t>
            </w:r>
          </w:p>
        </w:tc>
        <w:tc>
          <w:tcPr>
            <w:tcW w:w="2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1,651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18,022</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15,192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Resources Generated by (Used in) Investing Activities: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Sale of minority interest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415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(551)</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(6,015)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(410)</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(4,472)</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shares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(95)</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(1,040)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Bottles and cases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(861)</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Other business acquisitions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(128)</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Acquisition of Coca-Cola FEMSA minority interest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Acquisitions by FEMSA Cerveza</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resources used in investing activities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(1,140)</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(12,437)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(15,809)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w w:val="92"/>
              </w:rPr>
              <w:t>Resources Generated by (Used in) Financing Activities:</w:t>
            </w:r>
          </w:p>
        </w:tc>
        <w:tc>
          <w:tcPr>
            <w:tcW w:w="2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obtained</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9,660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Bank loans paid</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(994)</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(10,851)</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(4,292)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in real terms of long-term liabilities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(1,202)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(175)</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(1,909)</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Contingencies and other financing liabilities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Cumulative translation adjustment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capital stock</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Net resources used in financing activities</w:t>
            </w: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(357)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(3,901)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Net increase (decrease)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in acquisitions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2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8,766</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7"/>
              </w:rPr>
              <w:t>Ps. 10,456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8,766</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statements of changes in financial position.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Statements of Changes in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2007, 2006 and 2005. Amounts expressed in millions of constant Mexican pesos (Ps.) as of December 31,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Retained</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Cumulative</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Minority</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Earnings</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Interest in</w:t>
            </w:r>
          </w:p>
        </w:tc>
        <w:tc>
          <w:tcPr>
            <w:tcW w:w="1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26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from Prior</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Net</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Majority</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1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Interest</w:t>
            </w:r>
          </w:p>
        </w:tc>
        <w:tc>
          <w:tcPr>
            <w:tcW w:w="3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2004</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Ps. 4,979</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Ps.14,154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2"/>
              </w:rPr>
              <w:t>Ps.21,447</w:t>
            </w:r>
          </w:p>
        </w:tc>
        <w:tc>
          <w:tcPr>
            <w:tcW w:w="10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0"/>
              </w:rPr>
              <w:t>Ps. 6,917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Ps.   (7,183)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5"/>
              </w:rPr>
              <w:t>Ps.40,314</w:t>
            </w: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9"/>
              </w:rPr>
              <w:t>Ps. 19,713</w:t>
            </w: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Ps. 60,027</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Transfer of prior year net income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6,917</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(6,917)</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(731)</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Issuance of capital stock</w:t>
            </w: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8,092</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8,461</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2005</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5,348</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22,246</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27,633</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5,951</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(8,778)</w:t>
            </w: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52,400</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Transfer of prior year net income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(5,951)</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(1,055)</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(1,055)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Kaiser minority interest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Acquisition of FEMSA Cerveza</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640" w:type="dxa"/>
            <w:vAlign w:val="bottom"/>
          </w:tcPr>
          <w:p>
            <w:pPr>
              <w:spacing w:after="0"/>
              <w:rPr>
                <w:sz w:val="19"/>
                <w:szCs w:val="19"/>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(80)</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Coca-Cola FEMSA</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6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(1,609)</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7,127</w:t>
            </w:r>
          </w:p>
        </w:tc>
        <w:tc>
          <w:tcPr>
            <w:tcW w:w="3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6,998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20,557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32,529</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7,127</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(8,907)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56,654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21,554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420"/>
          </w:cols>
          <w:pgMar w:left="240" w:top="460"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Transfer of prior year net income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7,127</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(7,127)</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(1,525)</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(1,525)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Sale of minority interest</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Acquisition of minority interest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8,511</w:t>
            </w:r>
          </w:p>
        </w:tc>
        <w:tc>
          <w:tcPr>
            <w:tcW w:w="1240" w:type="dxa"/>
            <w:vAlign w:val="bottom"/>
            <w:gridSpan w:val="2"/>
          </w:tcPr>
          <w:p>
            <w:pPr>
              <w:jc w:val="right"/>
              <w:ind w:right="258"/>
              <w:spacing w:after="0"/>
              <w:rPr>
                <w:sz w:val="20"/>
                <w:szCs w:val="20"/>
                <w:color w:val="auto"/>
              </w:rPr>
            </w:pPr>
            <w:r>
              <w:rPr>
                <w:rFonts w:ascii="Arial" w:cs="Arial" w:eastAsia="Arial" w:hAnsi="Arial"/>
                <w:sz w:val="18"/>
                <w:szCs w:val="18"/>
                <w:color w:val="auto"/>
              </w:rPr>
              <w:t>906</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9,417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3,561</w:t>
            </w:r>
          </w:p>
        </w:tc>
      </w:tr>
      <w:tr>
        <w:trPr>
          <w:trHeight w:val="225"/>
        </w:trPr>
        <w:tc>
          <w:tcPr>
            <w:tcW w:w="3120" w:type="dxa"/>
            <w:vAlign w:val="bottom"/>
          </w:tcPr>
          <w:p>
            <w:pPr>
              <w:spacing w:after="0"/>
              <w:rPr>
                <w:sz w:val="20"/>
                <w:szCs w:val="20"/>
                <w:color w:val="auto"/>
              </w:rPr>
            </w:pPr>
            <w:r>
              <w:rPr>
                <w:rFonts w:ascii="Arial" w:cs="Arial" w:eastAsia="Arial" w:hAnsi="Arial"/>
                <w:sz w:val="18"/>
                <w:szCs w:val="18"/>
                <w:b w:val="1"/>
                <w:bCs w:val="1"/>
                <w:color w:val="auto"/>
              </w:rPr>
              <w:t>Balances at December 31, 2007</w:t>
            </w: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0"/>
              </w:rPr>
              <w:t>Ps. 5,348</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Ps.20,612</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Ps.38,108</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Ps. 8,511</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Ps.   (8,001</w:t>
            </w:r>
          </w:p>
        </w:tc>
        <w:tc>
          <w:tcPr>
            <w:tcW w:w="340" w:type="dxa"/>
            <w:vAlign w:val="bottom"/>
          </w:tcPr>
          <w:p>
            <w:pPr>
              <w:jc w:val="right"/>
              <w:ind w:right="198"/>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Ps.64,578</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Ps. 25,075</w:t>
            </w:r>
          </w:p>
        </w:tc>
        <w:tc>
          <w:tcPr>
            <w:tcW w:w="6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2466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1"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auto"/>
        </w:rPr>
        <w:t>The accompanying notes are an integral part of these consolidated statements of changes in stockholders’ equity.</w:t>
      </w:r>
    </w:p>
    <w:p>
      <w:pPr>
        <w:spacing w:after="0" w:line="187"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(1,909)</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12,978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5060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Ps. 89,653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5060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10280" w:space="280"/>
            <w:col w:w="860"/>
          </w:cols>
          <w:pgMar w:left="240" w:top="460" w:right="23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347" w:lineRule="auto"/>
        <w:rPr>
          <w:sz w:val="20"/>
          <w:szCs w:val="20"/>
          <w:color w:val="auto"/>
        </w:rPr>
      </w:pPr>
      <w:r>
        <w:rPr>
          <w:rFonts w:ascii="Arial" w:cs="Arial" w:eastAsia="Arial" w:hAnsi="Arial"/>
          <w:sz w:val="18"/>
          <w:szCs w:val="18"/>
          <w:b w:val="1"/>
          <w:bCs w:val="1"/>
          <w:color w:val="auto"/>
        </w:rPr>
        <w:t xml:space="preserve">FOMENTO ECONÓMICO MEXICANO, S.A.B. DE C.V. AND SUBSIDIARIES </w:t>
      </w:r>
      <w:r>
        <w:rPr>
          <w:rFonts w:ascii="Arial" w:cs="Arial" w:eastAsia="Arial" w:hAnsi="Arial"/>
          <w:sz w:val="18"/>
          <w:szCs w:val="18"/>
          <w:i w:val="1"/>
          <w:iCs w:val="1"/>
          <w:color w:val="auto"/>
        </w:rPr>
        <w:t>Notes to the Consolidated Financial Statements</w:t>
      </w:r>
    </w:p>
    <w:p>
      <w:pPr>
        <w:spacing w:after="0" w:line="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years ended December 31, 2007, 2006 and 2005. Amounts expressed in millions of U.S. dollars ($) and in millions of constant Mexican pesos (Ps.) as of December 31, 2007.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Activities of the Company.</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Fomento Económico Mexicano, S.A.B. de C.V. (“FEMSA”) is a Mexican holding company. The principal activities of FEMSA and its subsidiaries (the “Company”), as an economic unit, are carried out by operating subsidiaries and grouped under direct and indirect holding company subsidiaries (the “Subholding Companies”) of FEMSA. The following is a description of such activities, together with the ownership interest in each Subholding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Subholding Company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 Ownership</w:t>
            </w:r>
          </w:p>
        </w:tc>
        <w:tc>
          <w:tcPr>
            <w:tcW w:w="10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b w:val="1"/>
                <w:bCs w:val="1"/>
                <w:color w:val="auto"/>
              </w:rPr>
              <w:t>Activities</w:t>
            </w:r>
          </w:p>
        </w:tc>
      </w:tr>
      <w:tr>
        <w:trPr>
          <w:trHeight w:val="201"/>
        </w:trPr>
        <w:tc>
          <w:tcPr>
            <w:tcW w:w="1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4"/>
              </w:rPr>
              <w:t>Coca-Cola FEMSA,</w:t>
            </w:r>
          </w:p>
        </w:tc>
        <w:tc>
          <w:tcPr>
            <w:tcW w:w="1660" w:type="dxa"/>
            <w:vAlign w:val="bottom"/>
          </w:tcPr>
          <w:p>
            <w:pPr>
              <w:ind w:left="140"/>
              <w:spacing w:after="0" w:line="201" w:lineRule="exact"/>
              <w:rPr>
                <w:sz w:val="20"/>
                <w:szCs w:val="20"/>
                <w:color w:val="auto"/>
              </w:rPr>
            </w:pPr>
            <w:r>
              <w:rPr>
                <w:rFonts w:ascii="Arial" w:cs="Arial" w:eastAsia="Arial" w:hAnsi="Arial"/>
                <w:sz w:val="18"/>
                <w:szCs w:val="18"/>
                <w:color w:val="auto"/>
                <w:w w:val="99"/>
              </w:rPr>
              <w:t>S.A.B. de C.V. and</w:t>
            </w: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53.7%</w:t>
            </w:r>
          </w:p>
        </w:tc>
        <w:tc>
          <w:tcPr>
            <w:tcW w:w="100" w:type="dxa"/>
            <w:vAlign w:val="bottom"/>
          </w:tcPr>
          <w:p>
            <w:pPr>
              <w:spacing w:after="0"/>
              <w:rPr>
                <w:sz w:val="17"/>
                <w:szCs w:val="17"/>
                <w:color w:val="auto"/>
              </w:rPr>
            </w:pPr>
          </w:p>
        </w:tc>
        <w:tc>
          <w:tcPr>
            <w:tcW w:w="7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Production, distribution and marketing of certain Coca-Cola trademark beverages in Mexico,</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Subsidiaries (“Coca-Cola FEMSA”)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(63.0% of the</w:t>
            </w: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0"/>
              </w:rPr>
              <w:t>Guatemala, Nicaragua, Costa Rica, Panama, Colombia, Venezuela, Brazil and Argentina. The Coca-</w:t>
            </w:r>
          </w:p>
        </w:tc>
      </w:tr>
      <w:tr>
        <w:trPr>
          <w:trHeight w:val="216"/>
        </w:trPr>
        <w:tc>
          <w:tcPr>
            <w:tcW w:w="1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7"/>
              </w:rPr>
              <w:t>Cola Company indirectly owns 31.6% of Coca-Cola FEMSA’s capital stock. In addition, shares</w:t>
            </w:r>
          </w:p>
        </w:tc>
      </w:tr>
      <w:tr>
        <w:trPr>
          <w:trHeight w:val="216"/>
        </w:trPr>
        <w:tc>
          <w:tcPr>
            <w:tcW w:w="1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0"/>
              </w:rPr>
              <w:t>representing 14.7% of Coca-Cola FEMSA’s capital stock are listed on the Bolsa Mexicana de Valores</w:t>
            </w:r>
          </w:p>
        </w:tc>
      </w:tr>
      <w:tr>
        <w:trPr>
          <w:trHeight w:val="222"/>
        </w:trPr>
        <w:tc>
          <w:tcPr>
            <w:tcW w:w="1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(“BMV”) and The New York Stock Exchange, Inc. (“NYSE”).</w:t>
            </w:r>
          </w:p>
        </w:tc>
      </w:tr>
      <w:tr>
        <w:trPr>
          <w:trHeight w:val="318"/>
        </w:trPr>
        <w:tc>
          <w:tcPr>
            <w:tcW w:w="3000" w:type="dxa"/>
            <w:vAlign w:val="bottom"/>
            <w:gridSpan w:val="2"/>
          </w:tcPr>
          <w:p>
            <w:pPr>
              <w:spacing w:after="0"/>
              <w:rPr>
                <w:sz w:val="20"/>
                <w:szCs w:val="20"/>
                <w:color w:val="auto"/>
              </w:rPr>
            </w:pPr>
            <w:r>
              <w:rPr>
                <w:rFonts w:ascii="Arial" w:cs="Arial" w:eastAsia="Arial" w:hAnsi="Arial"/>
                <w:sz w:val="18"/>
                <w:szCs w:val="18"/>
                <w:color w:val="auto"/>
              </w:rPr>
              <w:t>FEMSA Cerveza, S.A. de C.V. and</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2"/>
              </w:rPr>
              <w:t>Production, distribution and marketing of beer through its principal operating subsidiary, Cervecería</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Subsidiaries (“FEMSA Cerveza”)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89"/>
              </w:rPr>
              <w:t>Cuauhtémoc Moctezuma, S.A. de C.V., which operates six breweries throughout Mexico and produces</w:t>
            </w:r>
          </w:p>
        </w:tc>
      </w:tr>
      <w:tr>
        <w:trPr>
          <w:trHeight w:val="216"/>
        </w:trPr>
        <w:tc>
          <w:tcPr>
            <w:tcW w:w="1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3"/>
              </w:rPr>
              <w:t>and distributes 21 different brands of beer, of which the five most important are: Tecate, Sol, Carta</w:t>
            </w:r>
          </w:p>
        </w:tc>
      </w:tr>
      <w:tr>
        <w:trPr>
          <w:trHeight w:val="222"/>
        </w:trPr>
        <w:tc>
          <w:tcPr>
            <w:tcW w:w="1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Blanca, Superior and Indio.</w:t>
            </w:r>
          </w:p>
        </w:tc>
      </w:tr>
      <w:tr>
        <w:trPr>
          <w:trHeight w:val="291"/>
        </w:trPr>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6"/>
              </w:rPr>
              <w:t>Since January 2006, FEMSA Cerveza produces, distributes and markets beer in Brazil through</w:t>
            </w:r>
          </w:p>
        </w:tc>
      </w:tr>
      <w:tr>
        <w:trPr>
          <w:trHeight w:val="216"/>
        </w:trPr>
        <w:tc>
          <w:tcPr>
            <w:tcW w:w="1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6"/>
              </w:rPr>
              <w:t>Cervejarías Kaiser Brasil, S.A. (“Kaiser”) which operates eight breweries in this country. Kaiser</w:t>
            </w:r>
          </w:p>
        </w:tc>
      </w:tr>
      <w:tr>
        <w:trPr>
          <w:trHeight w:val="216"/>
        </w:trPr>
        <w:tc>
          <w:tcPr>
            <w:tcW w:w="1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88"/>
              </w:rPr>
              <w:t>produces 14 different brands of which the most important are Kaiser Pilsen, Bavaria Pilsen and Sol (see</w:t>
            </w:r>
          </w:p>
        </w:tc>
      </w:tr>
      <w:tr>
        <w:trPr>
          <w:trHeight w:val="222"/>
        </w:trPr>
        <w:tc>
          <w:tcPr>
            <w:tcW w:w="1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Note 5 c).</w:t>
            </w:r>
          </w:p>
        </w:tc>
      </w:tr>
      <w:tr>
        <w:trPr>
          <w:trHeight w:val="331"/>
        </w:trPr>
        <w:tc>
          <w:tcPr>
            <w:tcW w:w="3000" w:type="dxa"/>
            <w:vAlign w:val="bottom"/>
            <w:gridSpan w:val="2"/>
          </w:tcPr>
          <w:p>
            <w:pPr>
              <w:spacing w:after="0"/>
              <w:rPr>
                <w:sz w:val="20"/>
                <w:szCs w:val="20"/>
                <w:color w:val="auto"/>
              </w:rPr>
            </w:pPr>
            <w:r>
              <w:rPr>
                <w:rFonts w:ascii="Arial" w:cs="Arial" w:eastAsia="Arial" w:hAnsi="Arial"/>
                <w:sz w:val="18"/>
                <w:szCs w:val="18"/>
                <w:color w:val="auto"/>
              </w:rPr>
              <w:t>FEMSA Comercio, S.A. de C.V. and</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Operation of a chain of convenience stores in Mexico under the trade name “OXXO.”</w:t>
            </w: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Subsidiaries (“FEMSA Comercio”)</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00" w:type="dxa"/>
            <w:vAlign w:val="bottom"/>
          </w:tcPr>
          <w:p>
            <w:pPr>
              <w:spacing w:after="0"/>
              <w:rPr>
                <w:sz w:val="19"/>
                <w:szCs w:val="19"/>
                <w:color w:val="auto"/>
              </w:rPr>
            </w:pPr>
          </w:p>
        </w:tc>
      </w:tr>
      <w:tr>
        <w:trPr>
          <w:trHeight w:val="318"/>
        </w:trPr>
        <w:tc>
          <w:tcPr>
            <w:tcW w:w="3000" w:type="dxa"/>
            <w:vAlign w:val="bottom"/>
            <w:gridSpan w:val="2"/>
          </w:tcPr>
          <w:p>
            <w:pPr>
              <w:spacing w:after="0"/>
              <w:rPr>
                <w:sz w:val="20"/>
                <w:szCs w:val="20"/>
                <w:color w:val="auto"/>
              </w:rPr>
            </w:pPr>
            <w:r>
              <w:rPr>
                <w:rFonts w:ascii="Arial" w:cs="Arial" w:eastAsia="Arial" w:hAnsi="Arial"/>
                <w:sz w:val="18"/>
                <w:szCs w:val="18"/>
                <w:color w:val="auto"/>
              </w:rPr>
              <w:t>Other Companies</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89"/>
              </w:rPr>
              <w:t>Companies engaged in the production and distribution of labels, plastic cases, coolers and commercial</w:t>
            </w:r>
          </w:p>
        </w:tc>
      </w:tr>
      <w:tr>
        <w:trPr>
          <w:trHeight w:val="216"/>
        </w:trPr>
        <w:tc>
          <w:tcPr>
            <w:tcW w:w="1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4"/>
              </w:rPr>
              <w:t>refrigeration equipment; as well as, transportation logistic and maintenance services to FEMSA’s</w:t>
            </w:r>
          </w:p>
        </w:tc>
      </w:tr>
      <w:tr>
        <w:trPr>
          <w:trHeight w:val="222"/>
        </w:trPr>
        <w:tc>
          <w:tcPr>
            <w:tcW w:w="1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subsidiaries and to third parties.</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consolidated financial statements include the financial statements of FEMSA and those companies in which it directly or indirectly owns a majority of the outstanding voting capital stock and/or exercises control. All intercompany account balances and transactions have been eliminated in such consolidation.</w:t>
      </w:r>
    </w:p>
    <w:p>
      <w:pPr>
        <w:spacing w:after="0" w:line="8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consolidated financial statements of the Company are prepared in accordance with “Normas de Información Financiera” (Mexican Financial Reporting Standards or “Mexican FRS”), individually referred to as “NIFs,” which differ in certain significant respects from generally accepted accounting principles in the United States of America (“U.S. GAAP”), as further explained in Note 26. A reconciliation from Mexican FRS to U.S. GAAP is included in Note 27.</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consolidated financial statements are stated in millions of Mexican pesos (“Ps.”). The translation of Mexican pesos into U.S. dollars (“$”) is included solely for the convenience of the reader, using the noon buying exchange rate published by Federal Reserve Bank of New York of 10.9169 pesos per U.S. dollar as of December 31, 2007.</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January 1, 2007, NIF B-3 “Income Statement” went into effect. NIF B-3 establishes generic standards for presenting and structuring the statement of income, minimum content requirements and general disclosure standards. Additionally, statutory employee profit sharing (“PTU”) should be presented within other expenses pursuant to Mexican FRS Interpretation (“INIF”) No. 4. The PTU reclassified to other expenses amounted to Ps. 553, Ps. 530 and Ps. 588 for the years ended December 31, 2007, 2006 and 2005, respectively (see Note 18). The Company’s consolidated income statements for the years ended December 31, 2007, 2006 and 2005 are presented according to NIF B-3 and INIF No. 4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Company classifies its costs and expenses according to their function in the consolidated income statements in accordance with industry practices.</w:t>
      </w:r>
    </w:p>
    <w:p>
      <w:pPr>
        <w:spacing w:after="0" w:line="19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Income from operations is the result of subtracting cost of sales and operating expenses from total revenues. While NIF B-3 does not require inclusion of this line in the consolidated income statements, it has been included for better understanding of the Company’s economic and financial performance.</w:t>
      </w:r>
    </w:p>
    <w:p>
      <w:pPr>
        <w:spacing w:after="0" w:line="85"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The results of the businesses acquired by FEMSA are included in the consolidated financial statements since the date of acquisition. As a result of certain significant acquisitions (see Note 5), the consolidated financial statements are not comparable to the figures presented in prior years.</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February 18, 2008, the Board of Directors of FEMSA unanimously approved the consolidated financial statements and the accompanying notes, as of and for the year ended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Foreign Subsidiary Incorporation.</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accounting records of foreign subsidiaries are maintained in local currency and in accordance with local accounting principles of each country. For incorporation into the FEMSA consolidated financial statements, each foreign subsidiary’s individual financial statements are adjusted to Mexican FRS and restated to the purchasing power of the local currency applying inflation factors of the country of origin and are subsequently translated into Mexican pesos using the year-end exchange rate.</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variation in the net investment in foreign subsidiaries generated by exchange rate fluctuations is included in the cumulative translation adjustment and is recorded directly in stockholders’ equity as part of cumulative other comprehensive income.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monetary position result and exchange gain or loss generated by foreign subsidiaries associated with the financing of intercompany foreign currency denominated balances recorded in the cumulative translation adjustment in stockholders’ equity as part of cumulative other comprehensive income are considered to be long-term investments since settlement is not planned or anticipated in the foreseeable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Company’s accounting policies are in accordance with Mexican FRS, which require that the Company’s management make certain estimates and use certain assumptions to determine the valuation of various items included in the consolidated financial statements. The Company’s management believes that the estimates and assumptions used were appropriate as of the date of these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are as follows:</w:t>
      </w:r>
    </w:p>
    <w:p>
      <w:pPr>
        <w:spacing w:after="0" w:line="84"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of the Effects of Inflation: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recognition of the effects of inflation in the financial information consists of:</w:t>
      </w:r>
    </w:p>
    <w:p>
      <w:pPr>
        <w:spacing w:after="0" w:line="90" w:lineRule="exact"/>
        <w:rPr>
          <w:rFonts w:ascii="Arial" w:cs="Arial" w:eastAsia="Arial" w:hAnsi="Arial"/>
          <w:sz w:val="18"/>
          <w:szCs w:val="18"/>
          <w:b w:val="1"/>
          <w:bCs w:val="1"/>
          <w:color w:val="auto"/>
        </w:rPr>
      </w:pPr>
    </w:p>
    <w:p>
      <w:pPr>
        <w:ind w:left="900" w:right="720" w:hanging="446"/>
        <w:spacing w:after="0" w:line="268"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Restating non-monetary assets such as inventories and fixed assets, including related costs and expenses when such assets are consumed or depreciated;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446"/>
        <w:spacing w:after="0" w:line="33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Restating capital stock, additional paid-in capital and retained earnings by the amount necessary to maintain the purchasing power equivalent in Mexican pesos on the dates such capital was contributed or income generated, through the use of the appropriate inflation factors;</w:t>
      </w:r>
    </w:p>
    <w:p>
      <w:pPr>
        <w:spacing w:after="0" w:line="4" w:lineRule="exact"/>
        <w:rPr>
          <w:rFonts w:ascii="Arial" w:cs="Arial" w:eastAsia="Arial" w:hAnsi="Arial"/>
          <w:sz w:val="16"/>
          <w:szCs w:val="16"/>
          <w:color w:val="auto"/>
        </w:rPr>
      </w:pPr>
    </w:p>
    <w:p>
      <w:pPr>
        <w:ind w:left="900" w:right="70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Including in stockholders’ equity the cumulative effect of holding non-monetary assets, which is the net difference between changes in the replacement cost of non-monetary assets and adjustments based upon the inflation factors;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Including in the integral result of financing the purchasing power gain or loss from holding monetary items.</w:t>
      </w:r>
    </w:p>
    <w:p>
      <w:pPr>
        <w:spacing w:after="0" w:line="90"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Company restates its consolidated financial statements in currency of constant purchasing power by applying inflation factors of the country of origin and the exchange rate in effect at the date of the most recent balance sheet presented.</w:t>
      </w:r>
    </w:p>
    <w:p>
      <w:pPr>
        <w:spacing w:after="0" w:line="248"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Cash consists of non-interest bearing bank deposits. Cash equivalents consist principally of short-term bank deposits and fixed-rate investments with brokerage houses valued at the listed market prices with original maturities of three months or less. As of December 31, 2007 and 2006, cash equivalents amounted to Ps. 6,125 and Ps. 5,369, respectively.</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Cost of Sales:</w:t>
      </w:r>
    </w:p>
    <w:p>
      <w:pPr>
        <w:spacing w:after="0" w:line="96" w:lineRule="exact"/>
        <w:rPr>
          <w:rFonts w:ascii="Arial" w:cs="Arial" w:eastAsia="Arial" w:hAnsi="Arial"/>
          <w:sz w:val="18"/>
          <w:szCs w:val="18"/>
          <w:b w:val="1"/>
          <w:bCs w:val="1"/>
          <w:color w:val="auto"/>
        </w:rPr>
      </w:pP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value of inventories is adjusted to replacement cost, without exceeding net realizable value. Advances to suppliers to purchase raw materials are included in the inventory account and are restated by applying inflation factors, considering their average age.</w:t>
      </w:r>
    </w:p>
    <w:p>
      <w:pPr>
        <w:spacing w:after="0" w:line="50" w:lineRule="exact"/>
        <w:rPr>
          <w:rFonts w:ascii="Arial" w:cs="Arial" w:eastAsia="Arial" w:hAnsi="Arial"/>
          <w:sz w:val="18"/>
          <w:szCs w:val="18"/>
          <w:b w:val="1"/>
          <w:bCs w:val="1"/>
          <w:color w:val="auto"/>
        </w:rPr>
      </w:pPr>
    </w:p>
    <w:p>
      <w:pPr>
        <w:ind w:left="460"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Cost of sales is determined based on replacement cost at the time of sale. Cost of sales includes expenses related to raw materials used in the production process, labor (wages and other benefits), depreciation of production facilities and equipment and other costs including fuel, electricity, breakage of returnable bottles in the production process, equipment maintenance, inspection and inter and intra-plant transfer costs.</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96"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Other current assets are comprised of payments for services that will be received over the next 12 months and the fair market value of derivative financial instruments with maturity dates of less than one year (see Note 4 r).</w:t>
      </w:r>
    </w:p>
    <w:p>
      <w:pPr>
        <w:spacing w:after="0" w:line="50"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Prepaid expenses are recorded at historical cost and are recognized in the income statement when the services or benefits are received. Prepaid expenses principally consist of advertising, promotional, leasing and insurance expenses.</w:t>
      </w:r>
    </w:p>
    <w:p>
      <w:pPr>
        <w:spacing w:after="0" w:line="50"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Advertising costs consist of television and radio advertising airtime paid in advance, which are generally amortized over a 12-month period based on the transmission of the television and radio spots. The related production costs are recognized in income from operations the first time the advertising is transmitted.</w:t>
      </w:r>
    </w:p>
    <w:p>
      <w:pPr>
        <w:spacing w:after="0" w:line="59" w:lineRule="exact"/>
        <w:rPr>
          <w:rFonts w:ascii="Arial" w:cs="Arial" w:eastAsia="Arial" w:hAnsi="Arial"/>
          <w:sz w:val="18"/>
          <w:szCs w:val="18"/>
          <w:b w:val="1"/>
          <w:bCs w:val="1"/>
          <w:color w:val="auto"/>
        </w:rPr>
      </w:pPr>
    </w:p>
    <w:p>
      <w:pPr>
        <w:ind w:left="460" w:right="1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Promotional costs are expensed as incurred, except for those promotional costs related to the launching of new products or presentations. These costs are recorded as prepaid expenses and amortized over the period during which they are estimated to increase sales of the related products or container presentations to normal operating levels, which is generally no longer than one year.</w:t>
      </w:r>
    </w:p>
    <w:p>
      <w:pPr>
        <w:spacing w:after="0" w:line="2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Additionally, as of December 31, 2007 and 2006, the Company has restricted cash, classified as other current assets of Ps. 224 and Ps. 298 denominated in Venezuelan bolivars, and Ps. 14 and Ps. 8 denominated in Brazilian reais, respectively; both were pledged as collateral of accounts payable and are classified in other current assets due to their short-term nature.</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Bottles and Cases: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Returnable bottles and cases are recorded at acquisition cost and restated to their replacement cost. There are two types of returnable bottles and cases:</w:t>
      </w:r>
    </w:p>
    <w:p>
      <w:pPr>
        <w:spacing w:after="0" w:line="113" w:lineRule="exact"/>
        <w:rPr>
          <w:rFonts w:ascii="Arial" w:cs="Arial" w:eastAsia="Arial" w:hAnsi="Arial"/>
          <w:sz w:val="18"/>
          <w:szCs w:val="18"/>
          <w:b w:val="1"/>
          <w:bCs w:val="1"/>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Those that are in the Company’s control in its facilities, in plant and distribution centers;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Those that have been placed in the hands of customers.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20"/>
          </w:cols>
          <w:pgMar w:left="24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Breakage of returnable bottles and cases in plant and distribution centers is recorded as an expense as it is incurred. For the years ended December 31, 2007, 2006 and 2005, breakage expense amounted to Ps. 780, Ps. 737 and Ps. 822, respectively. The Company estimates that breakage expense of returnable bottles and cases in plant and distribution centers is similar to the depreciation calculated on an estimated useful life of approximately five years for beer returnable bottles, four years for soft drinks returnable glass bottles and plastic cases, and 18 months for soft drink returnable plastic bottles. Depreciation is computed for tax purposes using the straight-line method at the applicable country rate.</w:t>
      </w:r>
    </w:p>
    <w:p>
      <w:pPr>
        <w:spacing w:after="0" w:line="35" w:lineRule="exact"/>
        <w:rPr>
          <w:sz w:val="20"/>
          <w:szCs w:val="20"/>
          <w:color w:val="auto"/>
        </w:rPr>
      </w:pPr>
    </w:p>
    <w:p>
      <w:pPr>
        <w:jc w:val="both"/>
        <w:ind w:left="460" w:right="320"/>
        <w:spacing w:after="0" w:line="335" w:lineRule="auto"/>
        <w:rPr>
          <w:sz w:val="20"/>
          <w:szCs w:val="20"/>
          <w:color w:val="auto"/>
        </w:rPr>
      </w:pPr>
      <w:r>
        <w:rPr>
          <w:rFonts w:ascii="Arial" w:cs="Arial" w:eastAsia="Arial" w:hAnsi="Arial"/>
          <w:sz w:val="15"/>
          <w:szCs w:val="15"/>
          <w:color w:val="auto"/>
        </w:rPr>
        <w:t>FEMSA Cerveza’s returnable bottles and cases that have been placed in the hands of customers are subject to an agreement with a retailer pursuant to which FEMSA Cerveza retains ownership. These bottles and cases are monitored by sales personnel during their periodic visits, and if any breakage is identified, it is charged to the retailer. Bottles and cases that are not subject to such agreements are expensed when placed in the hands of retailers.</w:t>
      </w:r>
    </w:p>
    <w:p>
      <w:pPr>
        <w:spacing w:after="0" w:line="7"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Coca-Cola FEMSA’s returnable bottles and cases in the market and for which a deposit from customers has been received are presented net of such deposits, and the difference between the cost of these assets and the deposits received is amortized according to their useful lives. The bottles and cases for which no deposit has been received, which represent most of the bottles and cases placed in the market, are expensed when placed in the hands of customers.</w:t>
      </w:r>
    </w:p>
    <w:p>
      <w:pPr>
        <w:spacing w:after="0" w:line="259"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Shares:</w:t>
      </w:r>
    </w:p>
    <w:p>
      <w:pPr>
        <w:spacing w:after="0" w:line="96"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Investments in shares of associated companies where the Company exercises significant influence are initially recorded at their acquisition cost and subsequently accounted for using the equity method. Investments in affiliated companies in which the Company does not have significant influence are recorded at acquisition cost and are adjusted to market value if they have an observable market value or based upon the inflation factors of the country of origin, with such adjustments reflected in the income statement.</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Property, plant and equipment are initially recorded at their cost of acquisition and/or construction. Property, plant and equipment of domestic origin are restated by applying inflation factors. Imported equipment is restated by applying inflation factors of the country of origin and then translated at the year-end exchange rate. Routine maintenance and repair costs are expensed as incurred.</w:t>
      </w:r>
    </w:p>
    <w:p>
      <w:pPr>
        <w:spacing w:after="0" w:line="59"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Depreciation is computed using the straight-line method, based on the value of the restated assets reduced by their residual values. The Company estimates depreciation rates, considering the estimated remaining useful lives of the assets.</w:t>
      </w:r>
    </w:p>
    <w:p>
      <w:pPr>
        <w:spacing w:after="0" w:line="50"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January 1, 2007, NIF D-6 “Capitalization of the Integral Result of Financing” went into effect. This standard establishes that the integral result of financing generated by borrowings obtained to finance investment projects must be capitalized as part of the cost of long-term assets when certain conditions are met and amortized over the estimated useful life of the related asset. The adoption of this standard did not have an impact on the Company’s financial information.</w:t>
      </w:r>
    </w:p>
    <w:p>
      <w:pPr>
        <w:spacing w:after="0" w:line="62"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Through 2005, all of Company’s subsidiaries depreciated refrigeration equipment over a five-year estimated useful life. In 2006, the Company implemented a program to review the estimated useful lives of its refrigeration equipment. As of the end of December 31, 2007, the Company’s subsidiaries in Mexico, Argentina, Brazil, Colombia, Costa Rica and Guatemala changed their accounting estimate from five to seven years, considering the maintenance and replacement plans of the equipment. The impact of the change in estimate for the years ended December 31, 2007 and 2006 which was accounted for prospectively was a reduction in depreciation expense of Ps. 115 and Ps. 132, respectively. The useful life of refrigeration equipment in Venezuela, Panama and Nicaragua remains at five years.</w:t>
      </w:r>
    </w:p>
    <w:p>
      <w:pPr>
        <w:spacing w:after="0" w:line="3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estimated useful lives of the Company’s principal assets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vMerge w:val="restart"/>
          </w:tcPr>
          <w:p>
            <w:pPr>
              <w:spacing w:after="0"/>
              <w:rPr>
                <w:sz w:val="20"/>
                <w:szCs w:val="20"/>
                <w:color w:val="auto"/>
              </w:rPr>
            </w:pPr>
            <w:r>
              <w:rPr>
                <w:rFonts w:ascii="Arial" w:cs="Arial" w:eastAsia="Arial" w:hAnsi="Arial"/>
                <w:sz w:val="18"/>
                <w:szCs w:val="18"/>
                <w:color w:val="auto"/>
              </w:rPr>
              <w:t>Buildings and construction</w:t>
            </w:r>
          </w:p>
        </w:tc>
        <w:tc>
          <w:tcPr>
            <w:tcW w:w="55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1"/>
        </w:trPr>
        <w:tc>
          <w:tcPr>
            <w:tcW w:w="3540" w:type="dxa"/>
            <w:vAlign w:val="bottom"/>
            <w:vMerge w:val="continue"/>
          </w:tcPr>
          <w:p>
            <w:pPr>
              <w:spacing w:after="0"/>
              <w:rPr>
                <w:sz w:val="17"/>
                <w:szCs w:val="17"/>
                <w:color w:val="auto"/>
              </w:rPr>
            </w:pPr>
          </w:p>
        </w:tc>
        <w:tc>
          <w:tcPr>
            <w:tcW w:w="556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w w:val="91"/>
              </w:rPr>
              <w:t>40–50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12–20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Distribution equipment</w:t>
            </w:r>
          </w:p>
        </w:tc>
        <w:tc>
          <w:tcPr>
            <w:tcW w:w="5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10–12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5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Information technology equipment</w:t>
            </w:r>
          </w:p>
        </w:tc>
        <w:tc>
          <w:tcPr>
            <w:tcW w:w="5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6040" w:type="dxa"/>
            <w:vAlign w:val="bottom"/>
            <w:gridSpan w:val="2"/>
          </w:tcPr>
          <w:p>
            <w:pPr>
              <w:jc w:val="right"/>
              <w:ind w:right="4536"/>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assets represent payments whose benefits will be received in future years and mainly consist of the following:</w:t>
      </w:r>
    </w:p>
    <w:p>
      <w:pPr>
        <w:spacing w:after="0" w:line="90" w:lineRule="exact"/>
        <w:rPr>
          <w:rFonts w:ascii="Arial" w:cs="Arial" w:eastAsia="Arial" w:hAnsi="Arial"/>
          <w:sz w:val="18"/>
          <w:szCs w:val="18"/>
          <w:b w:val="1"/>
          <w:bCs w:val="1"/>
          <w:color w:val="auto"/>
        </w:rPr>
      </w:pPr>
    </w:p>
    <w:p>
      <w:pPr>
        <w:ind w:left="900" w:right="100" w:hanging="446"/>
        <w:spacing w:after="0" w:line="268"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Agreements with customers for the right to sell and promote the Company’s products during certain periods of time, which are considered monetary assets and amortized under two methods, in accordance with the terms of such agreements:</w:t>
      </w:r>
    </w:p>
    <w:p>
      <w:pPr>
        <w:spacing w:after="0" w:line="50" w:lineRule="exact"/>
        <w:rPr>
          <w:rFonts w:ascii="Arial" w:cs="Arial" w:eastAsia="Arial" w:hAnsi="Arial"/>
          <w:sz w:val="18"/>
          <w:szCs w:val="18"/>
          <w:color w:val="auto"/>
        </w:rPr>
      </w:pPr>
    </w:p>
    <w:p>
      <w:pPr>
        <w:ind w:left="1460" w:hanging="547"/>
        <w:spacing w:after="0" w:line="268" w:lineRule="auto"/>
        <w:tabs>
          <w:tab w:leader="none" w:pos="14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Actual volume method, which amortizes the proportion of the volume actually sold to the retailer over the volume target (approximately 85% of the agreements of FEMSA Cerveza are amortized on this basis); and</w:t>
      </w:r>
    </w:p>
    <w:p>
      <w:pPr>
        <w:spacing w:after="0" w:line="50" w:lineRule="exact"/>
        <w:rPr>
          <w:rFonts w:ascii="Arial" w:cs="Arial" w:eastAsia="Arial" w:hAnsi="Arial"/>
          <w:sz w:val="18"/>
          <w:szCs w:val="18"/>
          <w:color w:val="auto"/>
        </w:rPr>
      </w:pPr>
    </w:p>
    <w:p>
      <w:pPr>
        <w:ind w:left="1460" w:right="180" w:hanging="547"/>
        <w:spacing w:after="0" w:line="268" w:lineRule="auto"/>
        <w:tabs>
          <w:tab w:leader="none" w:pos="14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Straight-line method, which amortizes the asset over the life of the contract (the remaining 15% of the agreements of FEMSA Cerveza and 100% of the agreements of Coca-Cola FEMSA are amortized on this basis).</w:t>
      </w:r>
    </w:p>
    <w:p>
      <w:pPr>
        <w:spacing w:after="0" w:line="51" w:lineRule="exact"/>
        <w:rPr>
          <w:sz w:val="20"/>
          <w:szCs w:val="20"/>
          <w:color w:val="auto"/>
        </w:rPr>
      </w:pPr>
    </w:p>
    <w:p>
      <w:pPr>
        <w:ind w:left="920" w:right="60"/>
        <w:spacing w:after="0" w:line="298" w:lineRule="auto"/>
        <w:rPr>
          <w:sz w:val="20"/>
          <w:szCs w:val="20"/>
          <w:color w:val="auto"/>
        </w:rPr>
      </w:pPr>
      <w:r>
        <w:rPr>
          <w:rFonts w:ascii="Arial" w:cs="Arial" w:eastAsia="Arial" w:hAnsi="Arial"/>
          <w:sz w:val="16"/>
          <w:szCs w:val="16"/>
          <w:color w:val="auto"/>
        </w:rPr>
        <w:t>In addition, for agreements amortized based on the actual volume method, the Company periodically compares the amortization calculated based on the actual volume method against the amortization that would have resulted under the straight-line method and records a provision to the extent that the recorded amortization is less than what would have resulted under the straight-line method. The amortization is recorded reducing net sales, which during the years ended December 31, 2007, 2006 and 2005, amounted to Ps. 1,360, Ps. 1,439 and Ps. 1,323, respectively.</w:t>
      </w:r>
    </w:p>
    <w:p>
      <w:pPr>
        <w:spacing w:after="0" w:line="32" w:lineRule="exact"/>
        <w:rPr>
          <w:sz w:val="20"/>
          <w:szCs w:val="20"/>
          <w:color w:val="auto"/>
        </w:rPr>
      </w:pPr>
    </w:p>
    <w:p>
      <w:pPr>
        <w:ind w:left="900" w:right="20" w:hanging="446"/>
        <w:spacing w:after="0" w:line="268"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Leasehold improvements, which are restated by applying inflation factors, are amortized using the straight-line method, over the shorter of the useful life of the assets or a term equivalent to the lease period.</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right="4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These assets represent payments whose benefits will be received in future years. The Company separates intangible assets between those with a finite useful life and those with an indefinite useful life, in accordance with the period over which the Company expects to receive the benefits.</w:t>
      </w:r>
    </w:p>
    <w:p>
      <w:pPr>
        <w:spacing w:after="0" w:line="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with finite useful lives are amortized and mainly consist of:</w:t>
      </w:r>
    </w:p>
    <w:p>
      <w:pPr>
        <w:spacing w:after="0" w:line="90" w:lineRule="exact"/>
        <w:rPr>
          <w:rFonts w:ascii="Arial" w:cs="Arial" w:eastAsia="Arial" w:hAnsi="Arial"/>
          <w:sz w:val="18"/>
          <w:szCs w:val="18"/>
          <w:b w:val="1"/>
          <w:bCs w:val="1"/>
          <w:color w:val="auto"/>
        </w:rPr>
      </w:pPr>
    </w:p>
    <w:p>
      <w:pPr>
        <w:ind w:left="900" w:right="340" w:hanging="446"/>
        <w:spacing w:after="0" w:line="332" w:lineRule="auto"/>
        <w:tabs>
          <w:tab w:leader="none" w:pos="9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Start-up expenses, which represent costs incurred prior to the opening of an OXXO store, including rent, permits and licenses. Such amounts are restated applying inflation factors and are amortized on a straight-line basis in accordance with the terms of the lease contract; and</w:t>
      </w:r>
    </w:p>
    <w:p>
      <w:pPr>
        <w:spacing w:after="0" w:line="4" w:lineRule="exact"/>
        <w:rPr>
          <w:rFonts w:ascii="Arial" w:cs="Arial" w:eastAsia="Arial" w:hAnsi="Arial"/>
          <w:sz w:val="16"/>
          <w:szCs w:val="16"/>
          <w:color w:val="auto"/>
        </w:rPr>
      </w:pPr>
    </w:p>
    <w:p>
      <w:pPr>
        <w:ind w:left="900" w:right="120" w:hanging="446"/>
        <w:spacing w:after="0" w:line="259"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Information technology and management systems costs incurred during the development stage. Such amounts are restated applying inflation factors and are amortized using the straight-line method over four years. Expenses that do not fulfill the requirements for capitalization are expensed as incurred.</w:t>
      </w:r>
    </w:p>
    <w:p>
      <w:pPr>
        <w:spacing w:after="0" w:line="59"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Intangible assets with indefinite lives are not amortized and are subject to annual impairment tests. These assets are recorded in the functional currency of the subsidiary in which the investment was made and are restated by applying inflation factors of the country of origin at the year-end exchange rate. The Company’s intangible assets with indefinite lives mainly consist of:</w:t>
      </w:r>
    </w:p>
    <w:p>
      <w:pPr>
        <w:spacing w:after="0" w:line="59" w:lineRule="exact"/>
        <w:rPr>
          <w:sz w:val="20"/>
          <w:szCs w:val="20"/>
          <w:color w:val="auto"/>
        </w:rPr>
      </w:pPr>
    </w:p>
    <w:p>
      <w:pPr>
        <w:ind w:left="900" w:right="60" w:hanging="446"/>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Coca-Cola FEMSA’s rights to produce and distribute Coca-Cola trademark products in the territories acquired. These rights are contained in agreements that are the standard contracts that The Coca-Cola Company enters into with bottlers outside the United States of America for the sale of concentrates for certain Coca-Cola trademark beverages;</w:t>
      </w:r>
    </w:p>
    <w:p>
      <w:pPr>
        <w:spacing w:after="0" w:line="59"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Trademarks and distribution rights, recognized as a result of the acquisition of the 30% of FEMSA Cerveza and payments made by FEMSA Cerveza in the acquisition of the previously granted franchise;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Trademarks and goodwill recognized as a result of the acquisition of Kaiser (see Note 5 c).</w:t>
      </w:r>
    </w:p>
    <w:p>
      <w:pPr>
        <w:spacing w:after="0" w:line="90"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Goodwill represents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inflation factors of the country of origin and the year-end exchange rate. As of December 31, 2007, the Company’s recorded goodwill resulted from the Kaiser acquisition (see Note 5 c).</w:t>
      </w:r>
    </w:p>
    <w:p>
      <w:pPr>
        <w:spacing w:after="0" w:line="25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96" w:lineRule="exact"/>
        <w:rPr>
          <w:rFonts w:ascii="Arial" w:cs="Arial" w:eastAsia="Arial" w:hAnsi="Arial"/>
          <w:sz w:val="18"/>
          <w:szCs w:val="18"/>
          <w:b w:val="1"/>
          <w:bCs w:val="1"/>
          <w:color w:val="auto"/>
        </w:rPr>
      </w:pPr>
    </w:p>
    <w:p>
      <w:pPr>
        <w:ind w:left="460" w:right="5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reviews the carrying value of its long-lived assets for impairment and determines whether impairment exists, by comparing estimated discounted future cash flows to be generated by those assets with their carrying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900"/>
        <w:spacing w:after="0" w:line="357" w:lineRule="auto"/>
        <w:rPr>
          <w:sz w:val="20"/>
          <w:szCs w:val="20"/>
          <w:color w:val="auto"/>
        </w:rPr>
      </w:pPr>
      <w:r>
        <w:rPr>
          <w:rFonts w:ascii="Arial" w:cs="Arial" w:eastAsia="Arial" w:hAnsi="Arial"/>
          <w:sz w:val="15"/>
          <w:szCs w:val="15"/>
          <w:color w:val="auto"/>
        </w:rPr>
        <w:t>For long-lived assets, such as property, plant and equipment and other assets, the Company tests for impairment whenever events or changes in circumstances indicate that the carrying amount of an asset or group of assets may not be recoverable through their expected future cash flows.</w:t>
      </w:r>
    </w:p>
    <w:p>
      <w:pPr>
        <w:ind w:left="460" w:right="300"/>
        <w:spacing w:after="0" w:line="332" w:lineRule="auto"/>
        <w:rPr>
          <w:sz w:val="20"/>
          <w:szCs w:val="20"/>
          <w:color w:val="auto"/>
        </w:rPr>
      </w:pPr>
      <w:r>
        <w:rPr>
          <w:rFonts w:ascii="Arial" w:cs="Arial" w:eastAsia="Arial" w:hAnsi="Arial"/>
          <w:sz w:val="16"/>
          <w:szCs w:val="16"/>
          <w:color w:val="auto"/>
        </w:rPr>
        <w:t>For intangible assets, the Company tests for impairment on an annual basis and whenever certain circumstances indicate that the carrying amount of the reporting unit might exceed its implied fair value. Impairment charges regarding long-lived assets are recognized in other expenses.</w:t>
      </w:r>
    </w:p>
    <w:p>
      <w:pPr>
        <w:spacing w:after="0" w:line="201"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Payments from The Coca-Cola Company:</w:t>
      </w:r>
    </w:p>
    <w:p>
      <w:pPr>
        <w:spacing w:after="0" w:line="96" w:lineRule="exact"/>
        <w:rPr>
          <w:rFonts w:ascii="Arial" w:cs="Arial" w:eastAsia="Arial" w:hAnsi="Arial"/>
          <w:sz w:val="18"/>
          <w:szCs w:val="18"/>
          <w:b w:val="1"/>
          <w:bCs w:val="1"/>
          <w:color w:val="auto"/>
        </w:rPr>
      </w:pPr>
    </w:p>
    <w:p>
      <w:pPr>
        <w:ind w:left="460" w:right="2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Coca-Cola Company participates in certain advertising and promotional programs as well as in Coca-Cola FEMSA’s refrigeration equipment investment program. The contributions received for advertising and promotional incentives are included as a reduction of selling expenses. The contributions received for the refrigeration equipment investment program are recorded as a reduction of the investment in refrigeration equipment. The contributions received were Ps. 1,582, Ps. 1,261 and Ps. 1,098 during the years ended December 31, 2007, 2006 and 2005, respectively.</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Labor Liabilities:</w:t>
      </w:r>
    </w:p>
    <w:p>
      <w:pPr>
        <w:spacing w:after="0" w:line="96" w:lineRule="exact"/>
        <w:rPr>
          <w:rFonts w:ascii="Arial" w:cs="Arial" w:eastAsia="Arial" w:hAnsi="Arial"/>
          <w:sz w:val="18"/>
          <w:szCs w:val="18"/>
          <w:b w:val="1"/>
          <w:bCs w:val="1"/>
          <w:color w:val="auto"/>
        </w:rPr>
      </w:pPr>
    </w:p>
    <w:p>
      <w:pPr>
        <w:ind w:left="460" w:right="5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Labor liabilities include obligations for pension and retirement plans, seniority premiums, postretirement medical services and severance indemnity liabilities, all based on actuarial calculations by independent actuaries, using the projected unit credit method.</w:t>
      </w:r>
    </w:p>
    <w:p>
      <w:pPr>
        <w:spacing w:after="0" w:line="4" w:lineRule="exact"/>
        <w:rPr>
          <w:rFonts w:ascii="Arial" w:cs="Arial" w:eastAsia="Arial" w:hAnsi="Arial"/>
          <w:sz w:val="18"/>
          <w:szCs w:val="18"/>
          <w:b w:val="1"/>
          <w:bCs w:val="1"/>
          <w:color w:val="auto"/>
        </w:rPr>
      </w:pPr>
    </w:p>
    <w:p>
      <w:pPr>
        <w:jc w:val="both"/>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Labor liabilities are considered to be non-monetary and are determined using long-term assumptions. The cost for the year of labor liabilities is charged to income from operations and unamortized prior service costs are recorded as expenses over the period during which the employees will receive the benefits of the plan.</w:t>
      </w:r>
    </w:p>
    <w:p>
      <w:pPr>
        <w:spacing w:after="0" w:line="59"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subsidiaries of the Company have established funds for the payment of pension benefits and postretirement medical services through irrevocable trusts with the employees named as beneficiaries.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Revenue is recognized in accordance with stated shipping terms, as follows:</w:t>
      </w:r>
    </w:p>
    <w:p>
      <w:pPr>
        <w:spacing w:after="0" w:line="90" w:lineRule="exact"/>
        <w:rPr>
          <w:rFonts w:ascii="Arial" w:cs="Arial" w:eastAsia="Arial" w:hAnsi="Arial"/>
          <w:sz w:val="18"/>
          <w:szCs w:val="18"/>
          <w:b w:val="1"/>
          <w:bCs w:val="1"/>
          <w:color w:val="auto"/>
        </w:rPr>
      </w:pPr>
    </w:p>
    <w:p>
      <w:pPr>
        <w:ind w:left="900" w:right="20" w:hanging="446"/>
        <w:spacing w:after="0" w:line="306" w:lineRule="auto"/>
        <w:tabs>
          <w:tab w:leader="none" w:pos="9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For domestic sales, upon delivery to the customer and once the customer has taken ownership of the goods (FOB destination). Domestic revenues are defined as the sales generated by the Company for sales realized in the country where the subsidiaries operate. For the years ended December 31, 2007, 2006 and 2005, domestic revenues represented approximately 97% of total consolidated revenues; and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For export sales, upon shipment of goods to customers (FOB shipping point), and transfer of ownership and risk of loss.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Net sales reflect units delivered at list prices reduced by promotional allowances, discounts and the amortization of the agreements with customers to obtain the rights to sell and promote the products of the Company.</w:t>
      </w:r>
    </w:p>
    <w:p>
      <w:pPr>
        <w:spacing w:after="0" w:line="248"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w:t>
      </w:r>
    </w:p>
    <w:p>
      <w:pPr>
        <w:spacing w:after="0" w:line="96" w:lineRule="exact"/>
        <w:rPr>
          <w:rFonts w:ascii="Arial" w:cs="Arial" w:eastAsia="Arial" w:hAnsi="Arial"/>
          <w:sz w:val="18"/>
          <w:szCs w:val="18"/>
          <w:b w:val="1"/>
          <w:bCs w:val="1"/>
          <w:color w:val="auto"/>
        </w:rPr>
      </w:pPr>
    </w:p>
    <w:p>
      <w:pPr>
        <w:ind w:left="460" w:right="580"/>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Administrative expenses include labor costs (salaries and other benefits) for employees not directly involved in the sale of the Company’s products, professional service fees, depreciation of office facilities and amortization of capitalized information technology system implementation costs. Selling expenses include:</w:t>
      </w:r>
    </w:p>
    <w:p>
      <w:pPr>
        <w:spacing w:after="0" w:line="18" w:lineRule="exact"/>
        <w:rPr>
          <w:rFonts w:ascii="Arial" w:cs="Arial" w:eastAsia="Arial" w:hAnsi="Arial"/>
          <w:sz w:val="18"/>
          <w:szCs w:val="18"/>
          <w:b w:val="1"/>
          <w:bCs w:val="1"/>
          <w:color w:val="auto"/>
        </w:rPr>
      </w:pPr>
    </w:p>
    <w:p>
      <w:pPr>
        <w:jc w:val="both"/>
        <w:ind w:left="900" w:right="80" w:hanging="446"/>
        <w:spacing w:after="0" w:line="306" w:lineRule="auto"/>
        <w:tabs>
          <w:tab w:leader="none" w:pos="9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Distribution: labor costs (salaries and other benefits), outbound freight costs, warehousing costs of finished products, breakage for returnable bottles in the distribution process, depreciation and maintenance of trucks and other distribution facilities and equipment. For the years ended December 31, 2007, 2006 and 2005, these distribution costs amounted to Ps. 10,601, Ps. 9,921 and Ps. 9,273, respectively;</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Sales: labor costs (salaries and other benefits) and sales commissions paid to sales personnel;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Marketing: labor costs (salaries and other benefits), promotions and advertising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Other Expenses:</w:t>
      </w:r>
    </w:p>
    <w:p>
      <w:pPr>
        <w:spacing w:after="0" w:line="96" w:lineRule="exact"/>
        <w:rPr>
          <w:rFonts w:ascii="Arial" w:cs="Arial" w:eastAsia="Arial" w:hAnsi="Arial"/>
          <w:sz w:val="18"/>
          <w:szCs w:val="18"/>
          <w:b w:val="1"/>
          <w:bCs w:val="1"/>
          <w:color w:val="auto"/>
        </w:rPr>
      </w:pPr>
    </w:p>
    <w:p>
      <w:pPr>
        <w:ind w:left="460" w:right="1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Other expenses include PTU, participation in affiliated companies, gain or loss on sales of fixed assets, impairment of long-lived assets, contingencies, severance payments for restructuring programs associated with an ongoing benefit arrangement, and all other non-recurrent expenses related to activities different than the main activities of the Company and that are not part of the integral result of financing.</w:t>
      </w:r>
    </w:p>
    <w:p>
      <w:pPr>
        <w:spacing w:after="0" w:line="25"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PTU is applicable to Mexico and Venezuela. In Mexico, employee profit sharing is computed at the rate of 10% of the individual taxable income, except that depreciation of historical rather than restated values is used, foreign exchange gains and losses are not included until the asset is disposed of or the liability is due and other effects of inflation are also excluded. In Venezuela, employee profit sharing is computed at a rate equivalent to 15% of after tax earnings. There are no significant non-recurring temporary differences between the accounting income for the year and the bases used for Mexican employee profit sharing. As a result, the Company has not recorded a provision for deferred employee profit sharing.</w:t>
      </w:r>
    </w:p>
    <w:p>
      <w:pPr>
        <w:spacing w:after="0" w:line="34" w:lineRule="exact"/>
        <w:rPr>
          <w:rFonts w:ascii="Arial" w:cs="Arial" w:eastAsia="Arial" w:hAnsi="Arial"/>
          <w:sz w:val="18"/>
          <w:szCs w:val="18"/>
          <w:b w:val="1"/>
          <w:bCs w:val="1"/>
          <w:color w:val="auto"/>
        </w:rPr>
      </w:pPr>
    </w:p>
    <w:p>
      <w:pPr>
        <w:ind w:left="460" w:right="3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Severance indemnities resulting from a restructuring program and associated with an ongoing benefit arrangement are charged to expenses on the date when a decision to retire personnel under a formal program or for specific causes is taken. These severance payments are included in other expenses. During the years ended December 31, 2007, 2006 and 2005, these payments amounted to Ps. 255, Ps. 866 and Ps. 132, respectively.</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Income tax is charged to results as incurred as well as deferred income taxes. For purposes of recognizing the effects of deferred income taxes in the financial statements, the Company utilizes both prospective and retrospective projections over the medium-term when more than one tax regime exists per jurisdiction and recognizes the amount based on the tax regime it expects to be subject to in the future. Deferred income taxes assets and liabilities are recognized for temporary differences resulting from comparing the book and tax values of assets and liabilities plus any future benefits from tax loss carryforwards. Deferred income taxes assets are reduced by any benefits for which there is uncertainty as to their realizability.</w:t>
      </w:r>
    </w:p>
    <w:p>
      <w:pPr>
        <w:spacing w:after="0" w:line="34" w:lineRule="exact"/>
        <w:rPr>
          <w:rFonts w:ascii="Arial" w:cs="Arial" w:eastAsia="Arial" w:hAnsi="Arial"/>
          <w:sz w:val="18"/>
          <w:szCs w:val="18"/>
          <w:b w:val="1"/>
          <w:bCs w:val="1"/>
          <w:color w:val="auto"/>
        </w:rPr>
      </w:pPr>
    </w:p>
    <w:p>
      <w:pPr>
        <w:ind w:left="460" w:right="2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balance of deferred taxes is comprised of monetary and non-monetary items, based on the temporary differences from which it is derived. Deferred taxes are classified as a long-term asset or liability, regardless of when the temporary differences are expected to reverse.</w:t>
      </w:r>
    </w:p>
    <w:p>
      <w:pPr>
        <w:spacing w:after="0" w:line="4"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deferred tax provision to be included in the income statement is determined by comparing the deferred tax balance at the end of the year to the balance at the beginning of the year, restated in currency of the current year, excluding from both balances any temporary differences that are recorded directly in stockholders’ equity. The deferred taxes related to such temporary differences are recorded in the same stockholders’ equity account.</w:t>
      </w:r>
    </w:p>
    <w:p>
      <w:pPr>
        <w:spacing w:after="0" w:line="25"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Through 2007, FEMSA has authorization from the </w:t>
      </w:r>
      <w:r>
        <w:rPr>
          <w:rFonts w:ascii="Arial" w:cs="Arial" w:eastAsia="Arial" w:hAnsi="Arial"/>
          <w:sz w:val="18"/>
          <w:szCs w:val="18"/>
          <w:i w:val="1"/>
          <w:iCs w:val="1"/>
          <w:color w:val="auto"/>
        </w:rPr>
        <w:t>Secretaría de Hacienda y Crédito Público</w:t>
      </w:r>
      <w:r>
        <w:rPr>
          <w:rFonts w:ascii="Arial" w:cs="Arial" w:eastAsia="Arial" w:hAnsi="Arial"/>
          <w:sz w:val="18"/>
          <w:szCs w:val="18"/>
          <w:color w:val="auto"/>
        </w:rPr>
        <w:t xml:space="preserve"> (Secretary of Tax and Public Credit) in Mexico to prepare its Mexican income tax and tax on assets returns (up through 2007) on a consolidated basis, which includes the proportional taxable income or loss of its Mexican subsidiaries. The provisions for income taxes of the foreign countries have been determined on the basis of the taxable income of each individual company.</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Integral Result of Financing:</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integral result of financing includes:</w:t>
      </w:r>
    </w:p>
    <w:p>
      <w:pPr>
        <w:spacing w:after="0" w:line="90" w:lineRule="exact"/>
        <w:rPr>
          <w:rFonts w:ascii="Arial" w:cs="Arial" w:eastAsia="Arial" w:hAnsi="Arial"/>
          <w:sz w:val="18"/>
          <w:szCs w:val="18"/>
          <w:b w:val="1"/>
          <w:bCs w:val="1"/>
          <w:color w:val="auto"/>
        </w:rPr>
      </w:pPr>
    </w:p>
    <w:p>
      <w:pPr>
        <w:ind w:left="900" w:right="60" w:hanging="446"/>
        <w:spacing w:after="0" w:line="268"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Interest: Interest income and expenses are recorded when earned or incurred, respectively, except for interest expenses of the financing of long-term assets;</w:t>
      </w:r>
    </w:p>
    <w:p>
      <w:pPr>
        <w:spacing w:after="0" w:line="50" w:lineRule="exact"/>
        <w:rPr>
          <w:rFonts w:ascii="Arial" w:cs="Arial" w:eastAsia="Arial" w:hAnsi="Arial"/>
          <w:sz w:val="18"/>
          <w:szCs w:val="18"/>
          <w:color w:val="auto"/>
        </w:rPr>
      </w:pPr>
    </w:p>
    <w:p>
      <w:pPr>
        <w:ind w:left="900" w:right="20" w:hanging="446"/>
        <w:spacing w:after="0" w:line="255"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Foreign Exchange Gains and Losses: Transactions in foreign currencies are recorded in local currencies using the exchange rate applicable on the date they occur. Assets and liabilities in foreign currencies are adjusted to the year-end exchange rate, recording the resulting foreign exchange gain or loss directly in the income statement, except the foreign exchange gain or loss from the intercompany financing foreign currency denominated balances that are considered to be of a long-term investment nature and the foreign exchange gain or loss from the financing of long-term assets (see Note 3);</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94" w:lineRule="auto"/>
        <w:tabs>
          <w:tab w:leader="none" w:pos="9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Gain or Loss on Monetary Position: Represents the result of the effects of inflation on monetary items. The gain or loss on monetary position is computed by applying inflation factors of the country of origin to the net monetary position at the beginning of each month, excluding the intercompany financing foreign currency denominated balances that are considered to be of a long-term investment nature (see Note 3). The gain or loss on monetary position of foreign subsidiaries is translated into Mexican pesos using the year-end exchange rate. In addition, the gain or loss on monetary position from long-term liabilities to finance long-term assets is excluded from the integral result of financing; and</w:t>
      </w:r>
    </w:p>
    <w:p>
      <w:pPr>
        <w:spacing w:after="0" w:line="3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Market Value Gain or Loss on Ineffective Portion of Derivative Financial Instruments: Represents the net change in the fair value of the ineffective portion of derivative financial instruments and the net change in the fair value of embedded derivative financial instruments.</w:t>
      </w:r>
    </w:p>
    <w:p>
      <w:pPr>
        <w:spacing w:after="0" w:line="200" w:lineRule="exact"/>
        <w:rPr>
          <w:rFonts w:ascii="Arial" w:cs="Arial" w:eastAsia="Arial" w:hAnsi="Arial"/>
          <w:sz w:val="16"/>
          <w:szCs w:val="16"/>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values and records all derivative financial instruments and hedging activities, including certain derivative financial instruments embedded in other contracts, in the balance sheet as either an asset or liability measured at fair value, considering quoted prices in recognized markets. If such instruments are not traded, fair value is determined by applying techniques based upon technical models supported by sufficient, reliable and verifiable data, recognized in the financial sector. Changes in the fair value of derivative financial instruments are recorded each year in current earnings or as a component of cumulative other comprehensive income, based on the type of hedging instrument and the ineffectiveness of the hedge.</w:t>
      </w:r>
    </w:p>
    <w:p>
      <w:pPr>
        <w:spacing w:after="0" w:line="34" w:lineRule="exact"/>
        <w:rPr>
          <w:rFonts w:ascii="Arial" w:cs="Arial" w:eastAsia="Arial" w:hAnsi="Arial"/>
          <w:sz w:val="18"/>
          <w:szCs w:val="18"/>
          <w:b w:val="1"/>
          <w:bCs w:val="1"/>
          <w:color w:val="auto"/>
        </w:rPr>
      </w:pPr>
    </w:p>
    <w:p>
      <w:pPr>
        <w:ind w:left="460"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designates its financial instruments as cash flow hedge at the inception of the hedging relationship, when transactions meet all hedging accounting requirements. For cash flow hedges, the effective portion is recognized temporarily in cumulative other comprehensive income within stockholders’ equity, and subsequently reclassified to current earnings at the same time the hedged item is affected. When derivative financial instruments do not meet all of the accounting requirements for hedging purposes, the change in fair value is immediately recognized in net income. For fair value hedges, the changes in the fair value are recorded in the consolidated results in the period the change occurs.</w:t>
      </w:r>
    </w:p>
    <w:p>
      <w:pPr>
        <w:spacing w:after="0" w:line="34" w:lineRule="exact"/>
        <w:rPr>
          <w:rFonts w:ascii="Arial" w:cs="Arial" w:eastAsia="Arial" w:hAnsi="Arial"/>
          <w:sz w:val="18"/>
          <w:szCs w:val="18"/>
          <w:b w:val="1"/>
          <w:bCs w:val="1"/>
          <w:color w:val="auto"/>
        </w:rPr>
      </w:pPr>
    </w:p>
    <w:p>
      <w:pPr>
        <w:ind w:left="46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identifies embedded derivatives that should be segregated from the host contract for purposes of valuation and recognition. When an embedded derivative is identified and the host contract has not been stated at fair value and adequate elements for its valuation exist, the embedded derivative is segregated from the host contract, stated at fair value and classified as trading or designated as a financial instrument for hedging. Changes in the fair value of the embedded derivatives at the closing of each period are recognized in current earnings.</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Cumulative Other Comprehensive Income: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cumulative balances of the components of majority other comprehensive income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74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Cumulative result of holding non-monetary assets</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85"/>
              </w:rPr>
              <w:t>Ps.(6,071)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Ps.(6,460)</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(240)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(1,336)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8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85"/>
              </w:rPr>
              <w:t>Ps.(8,001)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Ps.(8,907)</w:t>
            </w:r>
          </w:p>
        </w:tc>
      </w:tr>
      <w:tr>
        <w:trPr>
          <w:trHeight w:val="20"/>
        </w:trPr>
        <w:tc>
          <w:tcPr>
            <w:tcW w:w="8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96"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Provisions are recognized for obligations that result from a past event that will likely result in the use of economic resources and that can be reasonably estimated. Such provisions are recorded at net present values when the effect of the discount is significant.</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Issuances of Subsidiary Stock:</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issuances of a subsidiary’s stock as a capital transaction, in which the difference between the book value of the shares issued and the amount contributed by the minority interest holder or a third party is recorded as additional paid-in capital.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9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FEMSA:</w:t>
      </w:r>
    </w:p>
    <w:p>
      <w:pPr>
        <w:spacing w:after="0" w:line="96"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On November 3, 2006, FEMSA indirectly acquired from The Coca-Cola Company 148,000,000 series “D” shares, which represent 8.02% of the total outstanding equity of Coca-Cola FEMSA for an aggregate amount of Ps. 4,801 paid in cash. This acquisition increased FEMSA’s ownership stake in Coca-Cola FEMSA from 45.7% to 53.7% and its voting control from 53.6% to 63.0%. In accordance with Mexican FRS, as this transaction occurred between shareholders and did not impact the net assets of the Company, the payment in excess of the book value of the shares acquired of Ps. 1,609 was recorded in stockholders’ equity as a reduction of additional paid-in capital.</w:t>
      </w:r>
    </w:p>
    <w:p>
      <w:pPr>
        <w:spacing w:after="0" w:line="231" w:lineRule="exact"/>
        <w:rPr>
          <w:rFonts w:ascii="Arial" w:cs="Arial" w:eastAsia="Arial" w:hAnsi="Arial"/>
          <w:sz w:val="18"/>
          <w:szCs w:val="18"/>
          <w:b w:val="1"/>
          <w:bCs w:val="1"/>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Coca-Cola FEMSA:</w:t>
      </w:r>
    </w:p>
    <w:p>
      <w:pPr>
        <w:spacing w:after="0" w:line="9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On November 8, 2007, Administración S.A.P.I. de C.V. (“Administración SAPI”), a Mexican company owned 50% by Coca-Cola FEMSA and 50% by The Coca-Cola Company, acquired 100% of Jugos del Valle, S.A.B. de C.V. (“Jugos del Valle”). Administración SAPI acquired 58,350,908 shares representing 100% of Jugos del Valle’s outstanding stock, for Ps. 4,020 paid in cash and assumed liabilities of Ps. 934. Administración SAPI is in the process of completing its purchase price allocation represented by the excess of the purchase price over the book value of Jugos del Valle.</w:t>
      </w:r>
    </w:p>
    <w:p>
      <w:pPr>
        <w:spacing w:after="0" w:line="31" w:lineRule="exact"/>
        <w:rPr>
          <w:rFonts w:ascii="Arial" w:cs="Arial" w:eastAsia="Arial" w:hAnsi="Arial"/>
          <w:sz w:val="18"/>
          <w:szCs w:val="18"/>
          <w:b w:val="1"/>
          <w:bCs w:val="1"/>
          <w:color w:val="auto"/>
        </w:rPr>
      </w:pPr>
    </w:p>
    <w:p>
      <w:pPr>
        <w:ind w:left="460" w:right="1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Subsequent to the initial acquisition of Jugos del Valle by Administración SAPI, Coca-Cola FEMSA offered to sell 30% of its interest in Administración SAPI to other Coca-Cola bottlers. As of December 31, 2007, a majority of the Coca-Cola bottlers had accepted the offer, which the Company expects will close in 2008. As of December 31, 2007, Coca-Cola FEMSA has recorded an investment equivalent to 20% of the capital stock of Administración SAPI. This represents its investments in shares after the expected sale of the Coca-Cola bottlers of 30% as the remaining 20% of the shares of Administración SAPI, whose fair value of Ps. 684 have been classified as investment in shares available for sale in the consolidated balance sheet.</w:t>
      </w:r>
    </w:p>
    <w:p>
      <w:pPr>
        <w:spacing w:after="0" w:line="231" w:lineRule="exact"/>
        <w:rPr>
          <w:rFonts w:ascii="Arial" w:cs="Arial" w:eastAsia="Arial" w:hAnsi="Arial"/>
          <w:sz w:val="18"/>
          <w:szCs w:val="18"/>
          <w:b w:val="1"/>
          <w:bCs w:val="1"/>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FEMSA Cerveza:</w:t>
      </w:r>
    </w:p>
    <w:p>
      <w:pPr>
        <w:spacing w:after="0" w:line="96" w:lineRule="exact"/>
        <w:rPr>
          <w:rFonts w:ascii="Arial" w:cs="Arial" w:eastAsia="Arial" w:hAnsi="Arial"/>
          <w:sz w:val="18"/>
          <w:szCs w:val="18"/>
          <w:b w:val="1"/>
          <w:bCs w:val="1"/>
          <w:color w:val="auto"/>
        </w:rPr>
      </w:pPr>
    </w:p>
    <w:p>
      <w:pPr>
        <w:ind w:left="460" w:right="2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During 2006, FEMSA Cerveza made certain business acquisitions that were accounted for under the purchase method. The results of the operations acquired by FEMSA Cerveza have been included in the consolidated financial statements since the date of acquisition. The 2006 statement of changes in financial position presents the effects of the acquisitions and incorporation of such operations as a single line item within investing activities.</w:t>
      </w:r>
    </w:p>
    <w:p>
      <w:pPr>
        <w:spacing w:after="0" w:line="1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companies acquired by FEMSA Cerveza are:</w:t>
      </w:r>
    </w:p>
    <w:p>
      <w:pPr>
        <w:spacing w:after="0" w:line="90" w:lineRule="exact"/>
        <w:rPr>
          <w:rFonts w:ascii="Arial" w:cs="Arial" w:eastAsia="Arial" w:hAnsi="Arial"/>
          <w:sz w:val="18"/>
          <w:szCs w:val="18"/>
          <w:b w:val="1"/>
          <w:bCs w:val="1"/>
          <w:color w:val="auto"/>
        </w:rPr>
      </w:pPr>
    </w:p>
    <w:p>
      <w:pPr>
        <w:ind w:left="900" w:right="140" w:hanging="446"/>
        <w:spacing w:after="0" w:line="291" w:lineRule="auto"/>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On January 13, 2006, FEMSA Cerveza indirectly acquired a controlling stake in Kaiser from Molson Coors, Brewing Co. (“Molson Coors”) for Ps. 770 paid in cash, which represented 68% of the equity of Kaiser. FEMSA Cerveza assumed Kaiser’s existing financial debt, which totaled approximately Ps. 679, and received certain indemnity provisions from Molson Coors for the potential payment of contingent liabilities and claims. Subsequent to the acquisition date, Kaiser paid Ps. 187 regarding such contingencies subject to the Molson Coors indemnifications and FEMSA Cerveza recorded a corresponding receivable for the amounts owed to them. As of December 31, 2007, FEMSA Cerveza’s receivable from Molson Coors was Ps. 228, which includes the effects of Brazilian inflation factors (see Note 6).</w:t>
      </w:r>
    </w:p>
    <w:p>
      <w:pPr>
        <w:spacing w:after="0" w:line="39" w:lineRule="exact"/>
        <w:rPr>
          <w:sz w:val="20"/>
          <w:szCs w:val="20"/>
          <w:color w:val="auto"/>
        </w:rPr>
      </w:pPr>
    </w:p>
    <w:p>
      <w:pPr>
        <w:ind w:left="920" w:right="380"/>
        <w:spacing w:after="0" w:line="357" w:lineRule="auto"/>
        <w:rPr>
          <w:sz w:val="20"/>
          <w:szCs w:val="20"/>
          <w:color w:val="auto"/>
        </w:rPr>
      </w:pPr>
      <w:r>
        <w:rPr>
          <w:rFonts w:ascii="Arial" w:cs="Arial" w:eastAsia="Arial" w:hAnsi="Arial"/>
          <w:sz w:val="15"/>
          <w:szCs w:val="15"/>
          <w:color w:val="auto"/>
        </w:rPr>
        <w:t>On December 18, 2006, FEMSA Cerveza indirectly acquired Molson Coors’ remaining 14.95% stake in Kaiser and paid Ps. 175 in cash. In accordance with Mexican FRS, this purchase was accounted for as an equity transaction as it took place between Kaiser’s existing shareholders.</w:t>
      </w:r>
    </w:p>
    <w:p>
      <w:pPr>
        <w:ind w:left="920" w:right="60"/>
        <w:spacing w:after="0" w:line="268" w:lineRule="auto"/>
        <w:rPr>
          <w:sz w:val="20"/>
          <w:szCs w:val="20"/>
          <w:color w:val="auto"/>
        </w:rPr>
      </w:pPr>
      <w:r>
        <w:rPr>
          <w:rFonts w:ascii="Arial" w:cs="Arial" w:eastAsia="Arial" w:hAnsi="Arial"/>
          <w:sz w:val="18"/>
          <w:szCs w:val="18"/>
          <w:color w:val="auto"/>
        </w:rPr>
        <w:t>Additionally, FEMSA made an equity contribution of Ps. 2,237 on December 22, 2006 to Kaiser. Heineken NV, the other Kaiser shareholder, did not participate in this equity contribution, and as a result its stake in Kaiser was diluted from 17.05% to 0.17%.</w:t>
      </w:r>
    </w:p>
    <w:p>
      <w:pPr>
        <w:spacing w:after="0" w:line="51"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On August 31, 2007, FEMSA Cerveza sold 5,308,799,804 common shares of Kaiser to Heineken NV, representing 16.88% of its outstanding shares for Ps. 399. FEMSA Cerveza recognized a gain on the sale of Ps. 55, which for purposes of Mexican FRS was recorded in stockholders’ equity as the transaction occurred between Kaiser’s existing shareholders.</w:t>
      </w:r>
    </w:p>
    <w:p>
      <w:pPr>
        <w:spacing w:after="0" w:line="59"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FEMSA Cerveza identified and recorded intangible assets with indefinite lives consisting of trademarks valued at Ps. 758 and goodwill of Ps. 4,044 based on the purchase price allocation.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2007, FEMSA Cerveza’s ownership interest in Kaiser’s represents 82.95% of its outstanding equity.</w:t>
      </w:r>
    </w:p>
    <w:p>
      <w:pPr>
        <w:spacing w:after="0" w:line="90" w:lineRule="exact"/>
        <w:rPr>
          <w:sz w:val="20"/>
          <w:szCs w:val="20"/>
          <w:color w:val="auto"/>
        </w:rPr>
      </w:pPr>
    </w:p>
    <w:p>
      <w:pPr>
        <w:jc w:val="both"/>
        <w:ind w:left="900" w:right="40" w:hanging="446"/>
        <w:spacing w:after="0" w:line="306"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June 2006, FEMSA Cerveza acquired a beer distribution operation from a third-party distributor for an aggregate amount of Ps. 900. As a result of the acquisition, FEMSA Cerveza identified and recorded intangible assets with indefinite lives consisting of beer distribution rights valued at Ps. 834 based on the purchase price allocation. No goodwill was recognized as of result of the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Accounts Receivable.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10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2"/>
              </w:rPr>
              <w:t>Ps. 6,841</w:t>
            </w:r>
          </w:p>
        </w:tc>
        <w:tc>
          <w:tcPr>
            <w:tcW w:w="102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87"/>
              </w:rPr>
              <w:t>Ps.6,783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(657)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(586)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The Coca-Cola Company</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Notes receivable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546</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Administración SAPI </w:t>
            </w:r>
            <w:r>
              <w:rPr>
                <w:rFonts w:ascii="Arial" w:cs="Arial" w:eastAsia="Arial" w:hAnsi="Arial"/>
                <w:sz w:val="22"/>
                <w:szCs w:val="22"/>
                <w:color w:val="auto"/>
                <w:vertAlign w:val="superscript"/>
              </w:rPr>
              <w:t>(1)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Molson Coors (see Note 5 c)</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228</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Loans to employees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Travel advances to employees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Guarantee deposits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r>
      <w:tr>
        <w:trPr>
          <w:trHeight w:val="223"/>
        </w:trPr>
        <w:tc>
          <w:tcPr>
            <w:tcW w:w="84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2"/>
              </w:rPr>
              <w:t>Ps. 9,329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center"/>
              <w:ind w:left="192"/>
              <w:spacing w:after="0"/>
              <w:rPr>
                <w:sz w:val="20"/>
                <w:szCs w:val="20"/>
                <w:color w:val="auto"/>
              </w:rPr>
            </w:pPr>
            <w:r>
              <w:rPr>
                <w:rFonts w:ascii="Arial" w:cs="Arial" w:eastAsia="Arial" w:hAnsi="Arial"/>
                <w:sz w:val="18"/>
                <w:szCs w:val="18"/>
                <w:color w:val="auto"/>
                <w:w w:val="87"/>
              </w:rPr>
              <w:t>Ps.7,747</w:t>
            </w:r>
          </w:p>
        </w:tc>
      </w:tr>
      <w:tr>
        <w:trPr>
          <w:trHeight w:val="20"/>
        </w:trPr>
        <w:tc>
          <w:tcPr>
            <w:tcW w:w="8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right="2300" w:firstLine="8"/>
        <w:spacing w:after="0" w:line="456" w:lineRule="auto"/>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accounts receivable due from Administración SAPI includes funds provided for the working capital of Jugos del Valle. The changes in the allowance for doubtful accounts are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7"/>
              </w:rPr>
              <w:t>Ps.586</w:t>
            </w:r>
          </w:p>
        </w:tc>
        <w:tc>
          <w:tcPr>
            <w:tcW w:w="4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Ps. 519</w:t>
            </w:r>
          </w:p>
        </w:tc>
        <w:tc>
          <w:tcPr>
            <w:tcW w:w="1000" w:type="dxa"/>
            <w:vAlign w:val="bottom"/>
            <w:gridSpan w:val="4"/>
            <w:shd w:val="clear" w:color="auto" w:fill="CCEEFF"/>
          </w:tcPr>
          <w:p>
            <w:pPr>
              <w:jc w:val="center"/>
              <w:ind w:left="254"/>
              <w:spacing w:after="0"/>
              <w:rPr>
                <w:sz w:val="20"/>
                <w:szCs w:val="20"/>
                <w:color w:val="auto"/>
              </w:rPr>
            </w:pPr>
            <w:r>
              <w:rPr>
                <w:rFonts w:ascii="Arial" w:cs="Arial" w:eastAsia="Arial" w:hAnsi="Arial"/>
                <w:sz w:val="18"/>
                <w:szCs w:val="18"/>
                <w:color w:val="auto"/>
                <w:w w:val="88"/>
              </w:rPr>
              <w:t>Ps. 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Provision for the year</w:t>
            </w:r>
          </w:p>
        </w:tc>
        <w:tc>
          <w:tcPr>
            <w:tcW w:w="4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195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uncollectible accounts</w:t>
            </w:r>
          </w:p>
        </w:tc>
        <w:tc>
          <w:tcPr>
            <w:tcW w:w="5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Restatement of the initial balance</w:t>
            </w:r>
          </w:p>
        </w:tc>
        <w:tc>
          <w:tcPr>
            <w:tcW w:w="446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7"/>
              </w:rPr>
              <w:t>Ps.657</w:t>
            </w:r>
          </w:p>
        </w:tc>
        <w:tc>
          <w:tcPr>
            <w:tcW w:w="4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Ps. 586</w:t>
            </w:r>
          </w:p>
        </w:tc>
        <w:tc>
          <w:tcPr>
            <w:tcW w:w="1000" w:type="dxa"/>
            <w:vAlign w:val="bottom"/>
            <w:gridSpan w:val="4"/>
            <w:shd w:val="clear" w:color="auto" w:fill="CCEEFF"/>
          </w:tcPr>
          <w:p>
            <w:pPr>
              <w:jc w:val="center"/>
              <w:ind w:left="254"/>
              <w:spacing w:after="0"/>
              <w:rPr>
                <w:sz w:val="20"/>
                <w:szCs w:val="20"/>
                <w:color w:val="auto"/>
              </w:rPr>
            </w:pPr>
            <w:r>
              <w:rPr>
                <w:rFonts w:ascii="Arial" w:cs="Arial" w:eastAsia="Arial" w:hAnsi="Arial"/>
                <w:sz w:val="18"/>
                <w:szCs w:val="18"/>
                <w:color w:val="auto"/>
                <w:w w:val="88"/>
              </w:rPr>
              <w:t>Ps. 519</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7. Inventories.</w:t>
            </w:r>
          </w:p>
        </w:tc>
        <w:tc>
          <w:tcPr>
            <w:tcW w:w="4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360" w:type="dxa"/>
            <w:vAlign w:val="bottom"/>
            <w:gridSpan w:val="3"/>
            <w:vMerge w:val="continue"/>
          </w:tcPr>
          <w:p>
            <w:pPr>
              <w:spacing w:after="0"/>
              <w:rPr>
                <w:sz w:val="24"/>
                <w:szCs w:val="24"/>
                <w:color w:val="auto"/>
              </w:rPr>
            </w:pPr>
          </w:p>
        </w:tc>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4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Ps. 4,585</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5"/>
              </w:rPr>
              <w:t>Ps.4,069</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Raw materials</w:t>
            </w: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4,305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3,692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4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Work in process</w:t>
            </w: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4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234</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Advertising and promotional materials</w:t>
            </w: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obsolescence</w:t>
            </w:r>
          </w:p>
        </w:tc>
        <w:tc>
          <w:tcPr>
            <w:tcW w:w="4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(120)</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2"/>
              </w:rPr>
              <w:t>Ps.10,037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5"/>
              </w:rPr>
              <w:t>Ps.8,704</w:t>
            </w:r>
          </w:p>
        </w:tc>
        <w:tc>
          <w:tcPr>
            <w:tcW w:w="4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40" w:type="dxa"/>
            <w:vAlign w:val="bottom"/>
            <w:gridSpan w:val="4"/>
          </w:tcPr>
          <w:p>
            <w:pPr>
              <w:jc w:val="right"/>
              <w:ind w:right="3520"/>
              <w:spacing w:after="0"/>
              <w:rPr>
                <w:sz w:val="20"/>
                <w:szCs w:val="20"/>
                <w:color w:val="auto"/>
              </w:rPr>
            </w:pPr>
            <w:r>
              <w:rPr>
                <w:rFonts w:ascii="Arial" w:cs="Arial" w:eastAsia="Arial" w:hAnsi="Arial"/>
                <w:sz w:val="18"/>
                <w:szCs w:val="18"/>
                <w:color w:val="auto"/>
              </w:rPr>
              <w:t>F-17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Current Assets.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deferred promotional expenses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Ps. 385</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Ps. 398</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Prepaid leases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Agreements with customers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Short-term licenses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Prepaid insurance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23"/>
        </w:trPr>
        <w:tc>
          <w:tcPr>
            <w:tcW w:w="89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4"/>
              </w:rPr>
              <w:t>Ps.1,280</w:t>
            </w: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Ps.1,271</w:t>
            </w:r>
          </w:p>
        </w:tc>
      </w:tr>
      <w:tr>
        <w:trPr>
          <w:trHeight w:val="20"/>
        </w:trPr>
        <w:tc>
          <w:tcPr>
            <w:tcW w:w="8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advertising and deferred promotional expenses recorded in the consolidated income statements for the years ended December 31, 2007, 2006 and 2005 amounted to Ps. 5,455, Ps. 5,123 and Ps. 3,613,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Investments in Shares.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Ownership</w:t>
            </w:r>
          </w:p>
        </w:tc>
        <w:tc>
          <w:tcPr>
            <w:tcW w:w="88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89"/>
              </w:rPr>
              <w:t>2007</w:t>
            </w:r>
          </w:p>
        </w:tc>
        <w:tc>
          <w:tcPr>
            <w:tcW w:w="52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Cerveza:</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Affiliated companies of FEMSA Cerveza </w:t>
            </w:r>
            <w:r>
              <w:rPr>
                <w:rFonts w:ascii="Arial" w:cs="Arial" w:eastAsia="Arial" w:hAnsi="Arial"/>
                <w:sz w:val="22"/>
                <w:szCs w:val="22"/>
                <w:color w:val="auto"/>
                <w:vertAlign w:val="superscript"/>
              </w:rPr>
              <w:t>(1)</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Various</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Ps.  220</w:t>
            </w:r>
          </w:p>
        </w:tc>
        <w:tc>
          <w:tcPr>
            <w:tcW w:w="480" w:type="dxa"/>
            <w:vAlign w:val="bottom"/>
          </w:tcPr>
          <w:p>
            <w:pPr>
              <w:jc w:val="right"/>
              <w:spacing w:after="0"/>
              <w:rPr>
                <w:sz w:val="20"/>
                <w:szCs w:val="20"/>
                <w:color w:val="auto"/>
              </w:rPr>
            </w:pPr>
            <w:r>
              <w:rPr>
                <w:rFonts w:ascii="Arial" w:cs="Arial" w:eastAsia="Arial" w:hAnsi="Arial"/>
                <w:sz w:val="18"/>
                <w:szCs w:val="18"/>
                <w:color w:val="auto"/>
                <w:w w:val="82"/>
              </w:rPr>
              <w:t>Ps.212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Río Blanco Trust (waste water treatment plant) </w:t>
            </w:r>
            <w:r>
              <w:rPr>
                <w:rFonts w:ascii="Arial" w:cs="Arial" w:eastAsia="Arial" w:hAnsi="Arial"/>
                <w:sz w:val="22"/>
                <w:szCs w:val="22"/>
                <w:color w:val="auto"/>
                <w:vertAlign w:val="superscript"/>
              </w:rPr>
              <w:t>(1)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19.14%</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Affiliated companies of Kaiser </w:t>
            </w:r>
            <w:r>
              <w:rPr>
                <w:rFonts w:ascii="Arial" w:cs="Arial" w:eastAsia="Arial" w:hAnsi="Arial"/>
                <w:sz w:val="22"/>
                <w:szCs w:val="22"/>
                <w:color w:val="auto"/>
                <w:vertAlign w:val="superscript"/>
              </w:rPr>
              <w:t>(2)</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Various</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20</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Various</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Coca-Cola FEMSA:</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Administración SAPI </w:t>
            </w:r>
            <w:r>
              <w:rPr>
                <w:rFonts w:ascii="Arial" w:cs="Arial" w:eastAsia="Arial" w:hAnsi="Arial"/>
                <w:sz w:val="22"/>
                <w:szCs w:val="22"/>
                <w:color w:val="auto"/>
                <w:vertAlign w:val="superscript"/>
              </w:rPr>
              <w:t>(1)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978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Industria Envasadora de Querétaro, S.A. de C.V. (“IEQSA”) </w:t>
            </w:r>
            <w:r>
              <w:rPr>
                <w:rFonts w:ascii="Arial" w:cs="Arial" w:eastAsia="Arial" w:hAnsi="Arial"/>
                <w:sz w:val="22"/>
                <w:szCs w:val="22"/>
                <w:color w:val="auto"/>
                <w:vertAlign w:val="superscript"/>
              </w:rPr>
              <w:t>(1)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23.11%</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115</w:t>
            </w: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Holdfab Partiçipações, LTDA </w:t>
            </w:r>
            <w:r>
              <w:rPr>
                <w:rFonts w:ascii="Arial" w:cs="Arial" w:eastAsia="Arial" w:hAnsi="Arial"/>
                <w:sz w:val="22"/>
                <w:szCs w:val="22"/>
                <w:color w:val="auto"/>
                <w:vertAlign w:val="superscript"/>
              </w:rPr>
              <w:t>(2)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11.05%</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Industria Mexicana de Reciclaje, S.A. de C.V. </w:t>
            </w:r>
            <w:r>
              <w:rPr>
                <w:rFonts w:ascii="Arial" w:cs="Arial" w:eastAsia="Arial" w:hAnsi="Arial"/>
                <w:sz w:val="22"/>
                <w:szCs w:val="22"/>
                <w:color w:val="auto"/>
                <w:vertAlign w:val="superscript"/>
              </w:rPr>
              <w:t>(1)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35.00%</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76</w:t>
            </w: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KSP Partiçipações, S.A. </w:t>
            </w:r>
            <w:r>
              <w:rPr>
                <w:rFonts w:ascii="Arial" w:cs="Arial" w:eastAsia="Arial" w:hAnsi="Arial"/>
                <w:sz w:val="22"/>
                <w:szCs w:val="22"/>
                <w:color w:val="auto"/>
                <w:vertAlign w:val="superscript"/>
              </w:rPr>
              <w:t>(1)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38.74%</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Beta San Miguel, S.A. de C.V. (“Beta San Miguel”) </w:t>
            </w:r>
            <w:r>
              <w:rPr>
                <w:rFonts w:ascii="Arial" w:cs="Arial" w:eastAsia="Arial" w:hAnsi="Arial"/>
                <w:sz w:val="22"/>
                <w:szCs w:val="22"/>
                <w:color w:val="auto"/>
                <w:vertAlign w:val="superscript"/>
              </w:rPr>
              <w:t>(2)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2.54%</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69</w:t>
            </w: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Compañía de Servicios de Bebidas Refrescantes S.A. de C.V. (“Salesko”) </w:t>
            </w:r>
            <w:r>
              <w:rPr>
                <w:rFonts w:ascii="Arial" w:cs="Arial" w:eastAsia="Arial" w:hAnsi="Arial"/>
                <w:sz w:val="22"/>
                <w:szCs w:val="22"/>
                <w:color w:val="auto"/>
                <w:vertAlign w:val="superscript"/>
              </w:rPr>
              <w:t>(1)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26.00%</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Complejo Industrial Can, S.A. (“CICAN”) </w:t>
            </w:r>
            <w:r>
              <w:rPr>
                <w:rFonts w:ascii="Arial" w:cs="Arial" w:eastAsia="Arial" w:hAnsi="Arial"/>
                <w:sz w:val="22"/>
                <w:szCs w:val="22"/>
                <w:color w:val="auto"/>
                <w:vertAlign w:val="superscript"/>
              </w:rPr>
              <w:t>(1) (3)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Various</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2"/>
                <w:szCs w:val="22"/>
                <w:color w:val="auto"/>
                <w:vertAlign w:val="superscript"/>
              </w:rPr>
              <w:t>(2)</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Various</w:t>
            </w:r>
          </w:p>
        </w:tc>
        <w:tc>
          <w:tcPr>
            <w:tcW w:w="2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62</w:t>
            </w: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82"/>
              </w:rPr>
              <w:t>Ps. 1,863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Ps.824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Accounting method:</w:t>
      </w:r>
    </w:p>
    <w:p>
      <w:pPr>
        <w:spacing w:after="0" w:line="90"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Equity method.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Restated acquisition cost (there is no readily determinable fair market value).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November 2007, Coca-Cola FEMSA acquired the remaining 52% of CICAN and subsequently began to consolidate this entity.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600" w:type="dxa"/>
            <w:vAlign w:val="bottom"/>
            <w:gridSpan w:val="3"/>
            <w:shd w:val="clear" w:color="auto" w:fill="CCEEFF"/>
          </w:tcPr>
          <w:p>
            <w:pPr>
              <w:jc w:val="center"/>
              <w:ind w:left="1972"/>
              <w:spacing w:after="0"/>
              <w:rPr>
                <w:sz w:val="20"/>
                <w:szCs w:val="20"/>
                <w:color w:val="auto"/>
              </w:rPr>
            </w:pPr>
            <w:r>
              <w:rPr>
                <w:rFonts w:ascii="Arial" w:cs="Arial" w:eastAsia="Arial" w:hAnsi="Arial"/>
                <w:sz w:val="18"/>
                <w:szCs w:val="18"/>
                <w:b w:val="1"/>
                <w:bCs w:val="1"/>
                <w:color w:val="auto"/>
                <w:w w:val="94"/>
              </w:rPr>
              <w:t>Ps.  7,137</w:t>
            </w:r>
          </w:p>
        </w:tc>
        <w:tc>
          <w:tcPr>
            <w:tcW w:w="11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6"/>
              </w:rPr>
              <w:t>Ps.  6,755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Buildings, machinery and equipment</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83,633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81,581</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3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(42,330)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(41,120)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9,343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9,497</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3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(6,847)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(7,246)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3,110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2,574</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stated at net realizable value</w:t>
            </w:r>
          </w:p>
        </w:tc>
        <w:tc>
          <w:tcPr>
            <w:tcW w:w="3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0" w:type="dxa"/>
            <w:vAlign w:val="bottom"/>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Other long-lived assets</w:t>
            </w:r>
          </w:p>
        </w:tc>
        <w:tc>
          <w:tcPr>
            <w:tcW w:w="24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center"/>
              <w:ind w:left="1972"/>
              <w:spacing w:after="0"/>
              <w:rPr>
                <w:sz w:val="20"/>
                <w:szCs w:val="20"/>
                <w:color w:val="auto"/>
              </w:rPr>
            </w:pPr>
            <w:r>
              <w:rPr>
                <w:rFonts w:ascii="Arial" w:cs="Arial" w:eastAsia="Arial" w:hAnsi="Arial"/>
                <w:sz w:val="18"/>
                <w:szCs w:val="18"/>
                <w:b w:val="1"/>
                <w:bCs w:val="1"/>
                <w:color w:val="auto"/>
                <w:w w:val="89"/>
              </w:rPr>
              <w:t>Ps. 54,707</w:t>
            </w:r>
          </w:p>
        </w:tc>
        <w:tc>
          <w:tcPr>
            <w:tcW w:w="11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0"/>
              </w:rPr>
              <w:t>Ps. 52,960</w:t>
            </w:r>
          </w:p>
        </w:tc>
      </w:tr>
      <w:tr>
        <w:trPr>
          <w:trHeight w:val="20"/>
        </w:trPr>
        <w:tc>
          <w:tcPr>
            <w:tcW w:w="5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has identified certain long-lived assets that are not strategic to the current and future operations of the business and are available for sale, comprised of land, buildings and equipment, in accordance with an approved program for the disposal of certain investments. Such long-lived assets, which are not in use, have been recorded at their estimated net realizable value without exceeding their restated acquisition cost,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1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others subsidiaries</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Ps.250</w:t>
            </w:r>
          </w:p>
        </w:tc>
        <w:tc>
          <w:tcPr>
            <w:tcW w:w="5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Ps.307</w:t>
            </w:r>
          </w:p>
        </w:tc>
        <w:tc>
          <w:tcPr>
            <w:tcW w:w="20" w:type="dxa"/>
            <w:vAlign w:val="bottom"/>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FEMSA Cerveza</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5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r>
      <w:tr>
        <w:trPr>
          <w:trHeight w:val="223"/>
        </w:trPr>
        <w:tc>
          <w:tcPr>
            <w:tcW w:w="894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7"/>
              </w:rPr>
              <w:t>Ps.562</w:t>
            </w:r>
          </w:p>
        </w:tc>
        <w:tc>
          <w:tcPr>
            <w:tcW w:w="5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Ps.796</w:t>
            </w:r>
          </w:p>
        </w:tc>
      </w:tr>
      <w:tr>
        <w:trPr>
          <w:trHeight w:val="20"/>
        </w:trPr>
        <w:tc>
          <w:tcPr>
            <w:tcW w:w="8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Ps.360</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Ps.535</w:t>
            </w:r>
          </w:p>
        </w:tc>
        <w:tc>
          <w:tcPr>
            <w:tcW w:w="20" w:type="dxa"/>
            <w:vAlign w:val="bottom"/>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Buildings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23"/>
        </w:trPr>
        <w:tc>
          <w:tcPr>
            <w:tcW w:w="894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7"/>
              </w:rPr>
              <w:t>Ps.562</w:t>
            </w:r>
          </w:p>
        </w:tc>
        <w:tc>
          <w:tcPr>
            <w:tcW w:w="5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Ps.796</w:t>
            </w:r>
          </w:p>
        </w:tc>
      </w:tr>
      <w:tr>
        <w:trPr>
          <w:trHeight w:val="20"/>
        </w:trPr>
        <w:tc>
          <w:tcPr>
            <w:tcW w:w="8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a result of selling certain long-lived assets, the Company recognized gains of Ps. 127 and Ps. 22 and a loss of Ps. 1 for the years ended December 31, 2007, 2006 and 2005,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13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Unamortized intangible assets:</w:t>
            </w:r>
          </w:p>
        </w:tc>
        <w:tc>
          <w:tcPr>
            <w:tcW w:w="35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Coca-Cola FEMSA:</w:t>
            </w:r>
          </w:p>
        </w:tc>
        <w:tc>
          <w:tcPr>
            <w:tcW w:w="3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Rights to produce and distribute Coca-Cola trademark products</w:t>
            </w:r>
          </w:p>
        </w:tc>
        <w:tc>
          <w:tcPr>
            <w:tcW w:w="3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Ps.42,225</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Ps.40,838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FEMSA Cerveza:</w:t>
            </w:r>
          </w:p>
        </w:tc>
        <w:tc>
          <w:tcPr>
            <w:tcW w:w="3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 and distribution rights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11,299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auto"/>
              </w:rPr>
              <w:t>4,044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Kaiser trademarks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Other</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unamortized intangible assets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Amortized intangible assets:</w:t>
            </w:r>
          </w:p>
        </w:tc>
        <w:tc>
          <w:tcPr>
            <w:tcW w:w="3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systems implementation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Start-up expenses</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5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6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Ps.60,234</w:t>
            </w: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Ps.57,906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220" w:type="dxa"/>
            <w:vAlign w:val="bottom"/>
            <w:gridSpan w:val="2"/>
          </w:tcPr>
          <w:p>
            <w:pPr>
              <w:jc w:val="right"/>
              <w:ind w:right="3692"/>
              <w:spacing w:after="0"/>
              <w:rPr>
                <w:sz w:val="20"/>
                <w:szCs w:val="20"/>
                <w:color w:val="auto"/>
              </w:rPr>
            </w:pPr>
            <w:r>
              <w:rPr>
                <w:rFonts w:ascii="Arial" w:cs="Arial" w:eastAsia="Arial" w:hAnsi="Arial"/>
                <w:sz w:val="18"/>
                <w:szCs w:val="18"/>
                <w:color w:val="auto"/>
              </w:rPr>
              <w:t>F-19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amortized intangible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ind w:left="320"/>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4"/>
                <w:szCs w:val="14"/>
                <w:color w:val="auto"/>
              </w:rPr>
            </w:pPr>
          </w:p>
        </w:tc>
        <w:tc>
          <w:tcPr>
            <w:tcW w:w="20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Amortization</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29"/>
        </w:trPr>
        <w:tc>
          <w:tcPr>
            <w:tcW w:w="5200" w:type="dxa"/>
            <w:vAlign w:val="bottom"/>
          </w:tcPr>
          <w:p>
            <w:pPr>
              <w:spacing w:after="0"/>
              <w:rPr>
                <w:sz w:val="11"/>
                <w:szCs w:val="11"/>
                <w:color w:val="auto"/>
              </w:rPr>
            </w:pP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9"/>
        </w:trPr>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at the</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at the</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r>
      <w:tr>
        <w:trPr>
          <w:trHeight w:val="149"/>
        </w:trPr>
        <w:tc>
          <w:tcPr>
            <w:tcW w:w="520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20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For the</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61"/>
        </w:trPr>
        <w:tc>
          <w:tcPr>
            <w:tcW w:w="520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the Year</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Additions</w:t>
            </w: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the Year</w:t>
            </w:r>
          </w:p>
        </w:tc>
        <w:tc>
          <w:tcPr>
            <w:tcW w:w="20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Per Year</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Cost of systems implementation</w:t>
            </w: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1,892</w:t>
            </w: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Ps. 201</w:t>
            </w: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(1,159)</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Ps.(345)</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4"/>
              </w:rPr>
              <w:t>Ps.589</w:t>
            </w:r>
          </w:p>
        </w:tc>
        <w:tc>
          <w:tcPr>
            <w:tcW w:w="800" w:type="dxa"/>
            <w:vAlign w:val="bottom"/>
            <w:gridSpan w:val="2"/>
          </w:tcPr>
          <w:p>
            <w:pPr>
              <w:ind w:left="440"/>
              <w:spacing w:after="0"/>
              <w:rPr>
                <w:sz w:val="20"/>
                <w:szCs w:val="20"/>
                <w:color w:val="auto"/>
              </w:rPr>
            </w:pPr>
            <w:r>
              <w:rPr>
                <w:rFonts w:ascii="Arial" w:cs="Arial" w:eastAsia="Arial" w:hAnsi="Arial"/>
                <w:sz w:val="18"/>
                <w:szCs w:val="18"/>
                <w:b w:val="1"/>
                <w:bCs w:val="1"/>
                <w:color w:val="auto"/>
              </w:rPr>
              <w:t>Ps.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Start-up expenses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364</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r>
      <w:tr>
        <w:trPr>
          <w:trHeight w:val="221"/>
        </w:trPr>
        <w:tc>
          <w:tcPr>
            <w:tcW w:w="5200" w:type="dxa"/>
            <w:vAlign w:val="bottom"/>
          </w:tcPr>
          <w:p>
            <w:pPr>
              <w:spacing w:after="0"/>
              <w:rPr>
                <w:sz w:val="20"/>
                <w:szCs w:val="20"/>
                <w:color w:val="auto"/>
              </w:rPr>
            </w:pPr>
            <w:r>
              <w:rPr>
                <w:rFonts w:ascii="Arial" w:cs="Arial" w:eastAsia="Arial" w:hAnsi="Arial"/>
                <w:sz w:val="18"/>
                <w:szCs w:val="18"/>
                <w:color w:val="auto"/>
              </w:rPr>
              <w:t>2006</w:t>
            </w: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systems implementation</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1,578</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Ps. 314</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(763)</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Ps.(396)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Ps.733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8"/>
        </w:trPr>
        <w:tc>
          <w:tcPr>
            <w:tcW w:w="5200" w:type="dxa"/>
            <w:vAlign w:val="bottom"/>
          </w:tcPr>
          <w:p>
            <w:pPr>
              <w:spacing w:after="0"/>
              <w:rPr>
                <w:sz w:val="20"/>
                <w:szCs w:val="20"/>
                <w:color w:val="auto"/>
              </w:rPr>
            </w:pPr>
            <w:r>
              <w:rPr>
                <w:rFonts w:ascii="Arial" w:cs="Arial" w:eastAsia="Arial" w:hAnsi="Arial"/>
                <w:sz w:val="18"/>
                <w:szCs w:val="18"/>
                <w:color w:val="auto"/>
              </w:rPr>
              <w:t>Start-up expenses</w:t>
            </w:r>
          </w:p>
        </w:tc>
        <w:tc>
          <w:tcPr>
            <w:tcW w:w="2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330</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34</w:t>
            </w: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(29)</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 Assets.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improvements-net</w:t>
            </w:r>
          </w:p>
        </w:tc>
        <w:tc>
          <w:tcPr>
            <w:tcW w:w="1300" w:type="dxa"/>
            <w:vAlign w:val="bottom"/>
            <w:gridSpan w:val="4"/>
            <w:shd w:val="clear" w:color="auto" w:fill="CCEEFF"/>
          </w:tcPr>
          <w:p>
            <w:pPr>
              <w:jc w:val="center"/>
              <w:ind w:right="600"/>
              <w:spacing w:after="0"/>
              <w:rPr>
                <w:sz w:val="20"/>
                <w:szCs w:val="20"/>
                <w:color w:val="auto"/>
              </w:rPr>
            </w:pPr>
            <w:r>
              <w:rPr>
                <w:rFonts w:ascii="Arial" w:cs="Arial" w:eastAsia="Arial" w:hAnsi="Arial"/>
                <w:sz w:val="18"/>
                <w:szCs w:val="18"/>
                <w:b w:val="1"/>
                <w:bCs w:val="1"/>
                <w:color w:val="auto"/>
                <w:w w:val="90"/>
              </w:rPr>
              <w:t>Ps. 4,352</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Ps.3,642</w:t>
            </w:r>
          </w:p>
        </w:tc>
        <w:tc>
          <w:tcPr>
            <w:tcW w:w="2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Agreements with customers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3,786</w:t>
            </w:r>
          </w:p>
        </w:tc>
        <w:tc>
          <w:tcPr>
            <w:tcW w:w="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3,392</w:t>
            </w:r>
          </w:p>
        </w:tc>
        <w:tc>
          <w:tcPr>
            <w:tcW w:w="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Additional labor liabilities (see Note 15)</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948</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Long-term licenses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411</w:t>
            </w:r>
          </w:p>
        </w:tc>
        <w:tc>
          <w:tcPr>
            <w:tcW w:w="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accounts receivable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383</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Advertising and promotional expenses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212</w:t>
            </w:r>
          </w:p>
        </w:tc>
        <w:tc>
          <w:tcPr>
            <w:tcW w:w="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18"/>
                <w:szCs w:val="18"/>
                <w:color w:val="auto"/>
              </w:rPr>
            </w:pPr>
          </w:p>
        </w:tc>
      </w:tr>
      <w:tr>
        <w:trPr>
          <w:trHeight w:val="223"/>
        </w:trPr>
        <w:tc>
          <w:tcPr>
            <w:tcW w:w="8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2"/>
              </w:rPr>
              <w:t>Ps.11,117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Ps.9,878</w:t>
            </w:r>
          </w:p>
        </w:tc>
      </w:tr>
      <w:tr>
        <w:trPr>
          <w:trHeight w:val="20"/>
        </w:trPr>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Balances and Transactions with Related Parties and Affiliated Companies.</w:t>
      </w:r>
    </w:p>
    <w:p>
      <w:pPr>
        <w:spacing w:after="0" w:line="9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On January 1, 2007, NIF C-13, “Related Parties,” went into effect. This standard broadens the concept of “related parties” to include: a) the overall business in which the reporting entity participates; b) close family members of key officers; and c) any fund created in connection with a labor related compensation plan. Additionally, NIF C-13 requires that entities provide comparative disclosures in the notes to the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balance sheets and income statements include the following balances and transactions with related parties and affiliated companies: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Balances</w:t>
            </w:r>
          </w:p>
        </w:tc>
        <w:tc>
          <w:tcPr>
            <w:tcW w:w="51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13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The Coca-Cola Company</w:t>
            </w:r>
          </w:p>
        </w:tc>
        <w:tc>
          <w:tcPr>
            <w:tcW w:w="4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Ps.  719</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Ps.  197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5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BBVA Bancomer, S.A. de C.V.</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Due to The Coca-Cola Company</w:t>
            </w:r>
          </w:p>
        </w:tc>
        <w:tc>
          <w:tcPr>
            <w:tcW w:w="5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3,401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British American Tobacco México</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 payables</w:t>
            </w:r>
          </w:p>
        </w:tc>
        <w:tc>
          <w:tcPr>
            <w:tcW w:w="5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80" w:type="dxa"/>
            <w:vAlign w:val="bottom"/>
            <w:gridSpan w:val="2"/>
          </w:tcPr>
          <w:p>
            <w:pPr>
              <w:jc w:val="right"/>
              <w:ind w:right="3692"/>
              <w:spacing w:after="0"/>
              <w:rPr>
                <w:sz w:val="20"/>
                <w:szCs w:val="20"/>
                <w:color w:val="auto"/>
              </w:rPr>
            </w:pPr>
            <w:r>
              <w:rPr>
                <w:rFonts w:ascii="Arial" w:cs="Arial" w:eastAsia="Arial" w:hAnsi="Arial"/>
                <w:sz w:val="18"/>
                <w:szCs w:val="18"/>
                <w:color w:val="auto"/>
              </w:rPr>
              <w:t>F-20</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10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2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Sales of cans and aluminum lids to Promotora Mexicana de Embotelladores, S.A. de C.V. </w:t>
            </w:r>
            <w:r>
              <w:rPr>
                <w:rFonts w:ascii="Arial" w:cs="Arial" w:eastAsia="Arial" w:hAnsi="Arial"/>
                <w:sz w:val="22"/>
                <w:szCs w:val="22"/>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Ps. 1,121</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Ps. 1,105</w:t>
            </w:r>
          </w:p>
        </w:tc>
        <w:tc>
          <w:tcPr>
            <w:tcW w:w="620" w:type="dxa"/>
            <w:vAlign w:val="bottom"/>
          </w:tcPr>
          <w:p>
            <w:pPr>
              <w:jc w:val="right"/>
              <w:spacing w:after="0"/>
              <w:rPr>
                <w:sz w:val="20"/>
                <w:szCs w:val="20"/>
                <w:color w:val="auto"/>
              </w:rPr>
            </w:pPr>
            <w:r>
              <w:rPr>
                <w:rFonts w:ascii="Arial" w:cs="Arial" w:eastAsia="Arial" w:hAnsi="Arial"/>
                <w:sz w:val="18"/>
                <w:szCs w:val="18"/>
                <w:color w:val="auto"/>
                <w:w w:val="84"/>
              </w:rPr>
              <w:t>Ps.1,003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Logistic services to Grupo Industrial Saltillo, S.A. de C.V. </w:t>
            </w:r>
            <w:r>
              <w:rPr>
                <w:rFonts w:ascii="Arial" w:cs="Arial" w:eastAsia="Arial" w:hAnsi="Arial"/>
                <w:sz w:val="22"/>
                <w:szCs w:val="22"/>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tcPr>
          <w:p>
            <w:pPr>
              <w:ind w:left="420"/>
              <w:spacing w:after="0"/>
              <w:rPr>
                <w:sz w:val="20"/>
                <w:szCs w:val="20"/>
                <w:color w:val="auto"/>
              </w:rPr>
            </w:pPr>
            <w:r>
              <w:rPr>
                <w:rFonts w:ascii="Arial" w:cs="Arial" w:eastAsia="Arial" w:hAnsi="Arial"/>
                <w:sz w:val="18"/>
                <w:szCs w:val="18"/>
                <w:color w:val="auto"/>
                <w:w w:val="96"/>
              </w:rPr>
              <w:t>Sale of Grupo Inmobiliario San Agustín, S.A. de C.V. shares to Instituto Tecnológico y de Estudios</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37</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gridSpan w:val="2"/>
          </w:tcPr>
          <w:p>
            <w:pPr>
              <w:ind w:left="640"/>
              <w:spacing w:after="0" w:line="224" w:lineRule="exact"/>
              <w:rPr>
                <w:sz w:val="20"/>
                <w:szCs w:val="20"/>
                <w:color w:val="auto"/>
              </w:rPr>
            </w:pPr>
            <w:r>
              <w:rPr>
                <w:rFonts w:ascii="Arial" w:cs="Arial" w:eastAsia="Arial" w:hAnsi="Arial"/>
                <w:sz w:val="18"/>
                <w:szCs w:val="18"/>
                <w:color w:val="auto"/>
              </w:rPr>
              <w:t xml:space="preserve">Superiores de Monterrey, A.C. </w:t>
            </w:r>
            <w:r>
              <w:rPr>
                <w:rFonts w:ascii="Arial" w:cs="Arial" w:eastAsia="Arial" w:hAnsi="Arial"/>
                <w:sz w:val="22"/>
                <w:szCs w:val="22"/>
                <w:color w:val="auto"/>
                <w:vertAlign w:val="superscript"/>
              </w:rPr>
              <w:t>(1)</w:t>
            </w:r>
          </w:p>
        </w:tc>
        <w:tc>
          <w:tcPr>
            <w:tcW w:w="10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income from BBVA Bancomer, S.A. de C.V. </w:t>
            </w:r>
            <w:r>
              <w:rPr>
                <w:rFonts w:ascii="Arial" w:cs="Arial" w:eastAsia="Arial" w:hAnsi="Arial"/>
                <w:sz w:val="22"/>
                <w:szCs w:val="22"/>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Sales of non-carbonated soft-drinks to Salesko </w:t>
            </w:r>
            <w:r>
              <w:rPr>
                <w:rFonts w:ascii="Arial" w:cs="Arial" w:eastAsia="Arial" w:hAnsi="Arial"/>
                <w:sz w:val="22"/>
                <w:szCs w:val="22"/>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27</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revenues from affiliated companies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1"/>
        </w:trPr>
        <w:tc>
          <w:tcPr>
            <w:tcW w:w="8000" w:type="dxa"/>
            <w:vAlign w:val="bottom"/>
            <w:gridSpan w:val="3"/>
          </w:tcPr>
          <w:p>
            <w:pPr>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concentrate from The Coca-Cola Company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12,239</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10,322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Purchase of baked goods and snacks from Grupo Bimbo, S.A.B. de C.V. </w:t>
            </w:r>
            <w:r>
              <w:rPr>
                <w:rFonts w:ascii="Arial" w:cs="Arial" w:eastAsia="Arial" w:hAnsi="Arial"/>
                <w:sz w:val="22"/>
                <w:szCs w:val="22"/>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1,324</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1,034</w:t>
            </w:r>
          </w:p>
        </w:tc>
        <w:tc>
          <w:tcPr>
            <w:tcW w:w="62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Purchase of cigarettes from British American Tobacco México </w:t>
            </w:r>
            <w:r>
              <w:rPr>
                <w:rFonts w:ascii="Arial" w:cs="Arial" w:eastAsia="Arial" w:hAnsi="Arial"/>
                <w:sz w:val="22"/>
                <w:szCs w:val="22"/>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1,064</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rPr>
                <w:sz w:val="20"/>
                <w:szCs w:val="20"/>
                <w:color w:val="auto"/>
              </w:rPr>
            </w:pPr>
            <w:r>
              <w:rPr>
                <w:rFonts w:ascii="Arial" w:cs="Arial" w:eastAsia="Arial" w:hAnsi="Arial"/>
                <w:sz w:val="18"/>
                <w:szCs w:val="18"/>
                <w:color w:val="auto"/>
              </w:rPr>
              <w:t>Advertisement expense paid to The Coca-Cola Company</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940</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933</w:t>
            </w:r>
          </w:p>
        </w:tc>
        <w:tc>
          <w:tcPr>
            <w:tcW w:w="62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sugar from Beta San Miguel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845</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536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rPr>
                <w:sz w:val="20"/>
                <w:szCs w:val="20"/>
                <w:color w:val="auto"/>
              </w:rPr>
            </w:pPr>
            <w:r>
              <w:rPr>
                <w:rFonts w:ascii="Arial" w:cs="Arial" w:eastAsia="Arial" w:hAnsi="Arial"/>
                <w:sz w:val="18"/>
                <w:szCs w:val="18"/>
                <w:color w:val="auto"/>
                <w:w w:val="91"/>
              </w:rPr>
              <w:t>Purchase of sugar, cans and aluminum lids from Promotora Mexicana de Embotelladores, S.A. de C.V.</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723</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865</w:t>
            </w:r>
          </w:p>
        </w:tc>
        <w:tc>
          <w:tcPr>
            <w:tcW w:w="62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Purchase of canned products from IEQSA and CICAN </w:t>
            </w:r>
            <w:r>
              <w:rPr>
                <w:rFonts w:ascii="Arial" w:cs="Arial" w:eastAsia="Arial" w:hAnsi="Arial"/>
                <w:sz w:val="22"/>
                <w:szCs w:val="22"/>
                <w:color w:val="auto"/>
                <w:vertAlign w:val="superscript"/>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Interest expense paid to BBVA Bancomer S.A. de C.V. </w:t>
            </w:r>
            <w:r>
              <w:rPr>
                <w:rFonts w:ascii="Arial" w:cs="Arial" w:eastAsia="Arial" w:hAnsi="Arial"/>
                <w:sz w:val="22"/>
                <w:szCs w:val="22"/>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305</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257</w:t>
            </w:r>
          </w:p>
        </w:tc>
        <w:tc>
          <w:tcPr>
            <w:tcW w:w="6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Advertising services from Grupo Televisa, S.A.B. </w:t>
            </w:r>
            <w:r>
              <w:rPr>
                <w:rFonts w:ascii="Arial" w:cs="Arial" w:eastAsia="Arial" w:hAnsi="Arial"/>
                <w:sz w:val="22"/>
                <w:szCs w:val="22"/>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Donations to Instituto Tecnológico y de Estudios Superiores de Monterrey, A.C. </w:t>
            </w:r>
            <w:r>
              <w:rPr>
                <w:rFonts w:ascii="Arial" w:cs="Arial" w:eastAsia="Arial" w:hAnsi="Arial"/>
                <w:sz w:val="22"/>
                <w:szCs w:val="22"/>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92</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Purchase of plastic bottles from Embotelladora del Atlántico, S.A. (formerly Complejo Industrial Pet,</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gridSpan w:val="2"/>
            <w:shd w:val="clear" w:color="auto" w:fill="CCEEFF"/>
          </w:tcPr>
          <w:p>
            <w:pPr>
              <w:ind w:left="640"/>
              <w:spacing w:after="0" w:line="224" w:lineRule="exact"/>
              <w:rPr>
                <w:sz w:val="20"/>
                <w:szCs w:val="20"/>
                <w:color w:val="auto"/>
              </w:rPr>
            </w:pPr>
            <w:r>
              <w:rPr>
                <w:rFonts w:ascii="Arial" w:cs="Arial" w:eastAsia="Arial" w:hAnsi="Arial"/>
                <w:sz w:val="18"/>
                <w:szCs w:val="18"/>
                <w:color w:val="auto"/>
              </w:rPr>
              <w:t xml:space="preserve">S.A.) </w:t>
            </w:r>
            <w:r>
              <w:rPr>
                <w:rFonts w:ascii="Arial" w:cs="Arial" w:eastAsia="Arial" w:hAnsi="Arial"/>
                <w:sz w:val="22"/>
                <w:szCs w:val="22"/>
                <w:color w:val="auto"/>
                <w:vertAlign w:val="superscript"/>
              </w:rPr>
              <w:t>(1)</w:t>
            </w:r>
          </w:p>
        </w:tc>
        <w:tc>
          <w:tcPr>
            <w:tcW w:w="1080" w:type="dxa"/>
            <w:vAlign w:val="bottom"/>
            <w:gridSpan w:val="2"/>
            <w:vMerge w:val="continue"/>
            <w:shd w:val="clear" w:color="auto" w:fill="CCEEFF"/>
          </w:tcPr>
          <w:p>
            <w:pPr>
              <w:spacing w:after="0"/>
              <w:rPr>
                <w:sz w:val="19"/>
                <w:szCs w:val="19"/>
                <w:color w:val="auto"/>
              </w:rPr>
            </w:pP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Donations to Difusión y Fomento Cultural, A.C. </w:t>
            </w:r>
            <w:r>
              <w:rPr>
                <w:rFonts w:ascii="Arial" w:cs="Arial" w:eastAsia="Arial" w:hAnsi="Arial"/>
                <w:sz w:val="22"/>
                <w:szCs w:val="22"/>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19</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Insurance premiums for policies with Grupo Nacional Provincial, S.A.B. </w:t>
            </w:r>
            <w:r>
              <w:rPr>
                <w:rFonts w:ascii="Arial" w:cs="Arial" w:eastAsia="Arial" w:hAnsi="Arial"/>
                <w:sz w:val="22"/>
                <w:szCs w:val="22"/>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rPr>
                <w:sz w:val="20"/>
                <w:szCs w:val="20"/>
                <w:color w:val="auto"/>
              </w:rPr>
            </w:pPr>
            <w:r>
              <w:rPr>
                <w:rFonts w:ascii="Arial" w:cs="Arial" w:eastAsia="Arial" w:hAnsi="Arial"/>
                <w:sz w:val="18"/>
                <w:szCs w:val="18"/>
                <w:color w:val="auto"/>
              </w:rPr>
              <w:t>Interest expense paid to The Coca-Cola Company</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65</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expense paid to Grupo Financiero Banamex, S.A. de C.V. </w:t>
            </w:r>
            <w:r>
              <w:rPr>
                <w:rFonts w:ascii="Arial" w:cs="Arial" w:eastAsia="Arial" w:hAnsi="Arial"/>
                <w:sz w:val="22"/>
                <w:szCs w:val="22"/>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980" w:type="dxa"/>
            <w:vAlign w:val="bottom"/>
            <w:gridSpan w:val="2"/>
          </w:tcPr>
          <w:p>
            <w:pPr>
              <w:ind w:left="420"/>
              <w:spacing w:after="0"/>
              <w:rPr>
                <w:sz w:val="20"/>
                <w:szCs w:val="20"/>
                <w:color w:val="auto"/>
              </w:rPr>
            </w:pPr>
            <w:r>
              <w:rPr>
                <w:rFonts w:ascii="Arial" w:cs="Arial" w:eastAsia="Arial" w:hAnsi="Arial"/>
                <w:sz w:val="18"/>
                <w:szCs w:val="18"/>
                <w:color w:val="auto"/>
              </w:rPr>
              <w:t xml:space="preserve">Purchase of crown caps from Tapón Corona, S.A. </w:t>
            </w:r>
            <w:r>
              <w:rPr>
                <w:rFonts w:ascii="Arial" w:cs="Arial" w:eastAsia="Arial" w:hAnsi="Arial"/>
                <w:sz w:val="22"/>
                <w:szCs w:val="22"/>
                <w:color w:val="auto"/>
                <w:vertAlign w:val="superscript"/>
              </w:rPr>
              <w:t>(3)</w:t>
            </w:r>
          </w:p>
        </w:tc>
        <w:tc>
          <w:tcPr>
            <w:tcW w:w="36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ind w:left="460" w:right="80" w:hanging="452"/>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One or more members of the board of directors or senior management are members of the board of directors or senior management of the counterparties to these transactions.</w:t>
      </w:r>
    </w:p>
    <w:p>
      <w:pPr>
        <w:spacing w:after="0" w:line="53"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2007, CICAN is not considered to be related party.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Since 2006, Tapón Corona is not considered to be related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benefits and aggregate compensation paid to executive officers and senior management of FEMSA and its subsidiaries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Short- and long-term benefits paid</w:t>
            </w:r>
          </w:p>
        </w:tc>
        <w:tc>
          <w:tcPr>
            <w:tcW w:w="5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1,290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1,098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1,037</w:t>
            </w:r>
          </w:p>
        </w:tc>
        <w:tc>
          <w:tcPr>
            <w:tcW w:w="2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Severance indemnities</w:t>
            </w:r>
          </w:p>
        </w:tc>
        <w:tc>
          <w:tcPr>
            <w:tcW w:w="55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17</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(service cost)</w:t>
            </w:r>
          </w:p>
        </w:tc>
        <w:tc>
          <w:tcPr>
            <w:tcW w:w="5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363"/>
        </w:trPr>
        <w:tc>
          <w:tcPr>
            <w:tcW w:w="4080" w:type="dxa"/>
            <w:vAlign w:val="bottom"/>
          </w:tcPr>
          <w:p>
            <w:pPr>
              <w:spacing w:after="0"/>
              <w:rPr>
                <w:sz w:val="24"/>
                <w:szCs w:val="24"/>
                <w:color w:val="auto"/>
              </w:rPr>
            </w:pPr>
          </w:p>
        </w:tc>
        <w:tc>
          <w:tcPr>
            <w:tcW w:w="5580" w:type="dxa"/>
            <w:vAlign w:val="bottom"/>
            <w:gridSpan w:val="3"/>
          </w:tcPr>
          <w:p>
            <w:pPr>
              <w:ind w:left="1460"/>
              <w:spacing w:after="0"/>
              <w:rPr>
                <w:sz w:val="20"/>
                <w:szCs w:val="20"/>
                <w:color w:val="auto"/>
              </w:rPr>
            </w:pPr>
            <w:r>
              <w:rPr>
                <w:rFonts w:ascii="Arial" w:cs="Arial" w:eastAsia="Arial" w:hAnsi="Arial"/>
                <w:sz w:val="18"/>
                <w:szCs w:val="18"/>
                <w:color w:val="auto"/>
              </w:rPr>
              <w:t>F-21</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Balances and Transactions in Foreign Currencies.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Assets, liabilities and transactions denominated in foreign currencies, other than the functional currencies of the reporting unit, translated into U.S. dollars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40" w:type="dxa"/>
            <w:vAlign w:val="bottom"/>
          </w:tcPr>
          <w:p>
            <w:pPr>
              <w:jc w:val="right"/>
              <w:ind w:right="122"/>
              <w:spacing w:after="0"/>
              <w:rPr>
                <w:sz w:val="20"/>
                <w:szCs w:val="20"/>
                <w:color w:val="auto"/>
              </w:rPr>
            </w:pPr>
            <w:r>
              <w:rPr>
                <w:rFonts w:ascii="Arial" w:cs="Arial" w:eastAsia="Arial" w:hAnsi="Arial"/>
                <w:sz w:val="14"/>
                <w:szCs w:val="14"/>
                <w:b w:val="1"/>
                <w:bCs w:val="1"/>
                <w:color w:val="auto"/>
              </w:rPr>
              <w:t>Applicable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4"/>
              </w:rPr>
              <w:t>Balances</w:t>
            </w:r>
          </w:p>
        </w:tc>
        <w:tc>
          <w:tcPr>
            <w:tcW w:w="666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Arial" w:cs="Arial" w:eastAsia="Arial" w:hAnsi="Arial"/>
                <w:sz w:val="14"/>
                <w:szCs w:val="14"/>
                <w:b w:val="1"/>
                <w:bCs w:val="1"/>
                <w:color w:val="auto"/>
                <w:w w:val="83"/>
              </w:rPr>
              <w:t xml:space="preserve">Exchange Rate </w:t>
            </w:r>
            <w:r>
              <w:rPr>
                <w:rFonts w:ascii="Arial" w:cs="Arial" w:eastAsia="Arial" w:hAnsi="Arial"/>
                <w:sz w:val="22"/>
                <w:szCs w:val="22"/>
                <w:b w:val="1"/>
                <w:bCs w:val="1"/>
                <w:color w:val="auto"/>
                <w:w w:val="83"/>
                <w:vertAlign w:val="superscript"/>
              </w:rPr>
              <w:t>(1)</w:t>
            </w:r>
          </w:p>
        </w:tc>
        <w:tc>
          <w:tcPr>
            <w:tcW w:w="500" w:type="dxa"/>
            <w:vAlign w:val="bottom"/>
          </w:tcPr>
          <w:p>
            <w:pPr>
              <w:spacing w:after="0"/>
              <w:rPr>
                <w:sz w:val="16"/>
                <w:szCs w:val="16"/>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Short-Term</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Long-Term</w:t>
            </w: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6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7"/>
              </w:rPr>
              <w:t>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10.8662</w:t>
            </w: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196</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60" w:type="dxa"/>
            <w:vAlign w:val="bottom"/>
          </w:tcPr>
          <w:p>
            <w:pPr>
              <w:jc w:val="center"/>
              <w:spacing w:after="0"/>
              <w:rPr>
                <w:sz w:val="20"/>
                <w:szCs w:val="20"/>
                <w:color w:val="auto"/>
              </w:rPr>
            </w:pPr>
            <w:r>
              <w:rPr>
                <w:rFonts w:ascii="Arial" w:cs="Arial" w:eastAsia="Arial" w:hAnsi="Arial"/>
                <w:sz w:val="18"/>
                <w:szCs w:val="18"/>
                <w:b w:val="1"/>
                <w:bCs w:val="1"/>
                <w:color w:val="auto"/>
                <w:w w:val="89"/>
              </w:rPr>
              <w:t>Liabilities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rPr>
              <w:t>420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b w:val="1"/>
                <w:bCs w:val="1"/>
                <w:color w:val="auto"/>
              </w:rPr>
              <w:t>549</w:t>
            </w:r>
          </w:p>
        </w:tc>
        <w:tc>
          <w:tcPr>
            <w:tcW w:w="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10.8755</w:t>
            </w: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4"/>
              </w:rPr>
              <w:t>Liabilities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585</w:t>
            </w:r>
          </w:p>
        </w:tc>
        <w:tc>
          <w:tcPr>
            <w:tcW w:w="36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Mexican pesos per one U.S. dollar.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3"/>
              </w:rPr>
              <w:t>Revenues</w:t>
            </w:r>
          </w:p>
        </w:tc>
        <w:tc>
          <w:tcPr>
            <w:tcW w:w="524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390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40" w:type="dxa"/>
            <w:vAlign w:val="bottom"/>
            <w:gridSpan w:val="3"/>
          </w:tcPr>
          <w:p>
            <w:pPr>
              <w:spacing w:after="0"/>
              <w:rPr>
                <w:sz w:val="20"/>
                <w:szCs w:val="20"/>
                <w:color w:val="auto"/>
              </w:rPr>
            </w:pPr>
            <w:r>
              <w:rPr>
                <w:rFonts w:ascii="Arial" w:cs="Arial" w:eastAsia="Arial" w:hAnsi="Arial"/>
                <w:sz w:val="18"/>
                <w:szCs w:val="18"/>
                <w:color w:val="auto"/>
              </w:rPr>
              <w:t>Expenses:</w:t>
            </w:r>
          </w:p>
        </w:tc>
        <w:tc>
          <w:tcPr>
            <w:tcW w:w="3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raw materials</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w:t>
            </w:r>
          </w:p>
        </w:tc>
        <w:tc>
          <w:tcPr>
            <w:tcW w:w="360" w:type="dxa"/>
            <w:vAlign w:val="bottom"/>
          </w:tcPr>
          <w:p>
            <w:pPr>
              <w:jc w:val="right"/>
              <w:spacing w:after="0"/>
              <w:rPr>
                <w:sz w:val="20"/>
                <w:szCs w:val="20"/>
                <w:color w:val="auto"/>
              </w:rPr>
            </w:pPr>
            <w:r>
              <w:rPr>
                <w:rFonts w:ascii="Arial" w:cs="Arial" w:eastAsia="Arial" w:hAnsi="Arial"/>
                <w:sz w:val="18"/>
                <w:szCs w:val="18"/>
                <w:color w:val="auto"/>
              </w:rPr>
              <w:t>159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Export expenses</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Technical assistance fees</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Suppliers</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3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1,125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February 18, 2008, the issuance date of these consolidated financial statements, the exchange rate published by “Banco de México” was 10.7413 Mexican pesos per one U.S. dollar, and the Company’s foreign currency position was similar to that as of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Labor Liabilities.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2007, FEMSA Cerveza approved a plan to allow certain qualifying personnel to early retire beginning in 2008. This plan consisted in the following: (i) allowed personnel with more than 55 years of age and 20 years of seniority to take advantage of the early retirement in order to obtain the same pension benefits as if they had retired at their regular retirement age, and (ii) to pay severance indemnities to some employees that do not meet certain characteristics defined by the Company. This plan is intended to improve the efficiency of FEMSA Cerveza’s operating structure. The financial impact of this plan was Ps. 125 and was accounted for as an amendment and recorded in the consolidated results of the Company as part of other expenses (see Note 18).</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December 2006, the Company approved a modification of its pension and retirement plans effective in 2007. Through December 2006, the Company’s pension and retirement plans provided for lifetime monthly payment as a complement to the pension payment received from the Mexican Social Security Institute (Instituto Mexicano del Seguro Social or “IMSS”). The modified pension and retirement plans, provide for one a lump-sum benefit payment, in addition to the pension benefits received from the IMSS, which will supplement the beneficiary’s earnings.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Additionally, FEMSA modified the long-term assumptions used in the actuarial calculations for its Mexican subsidiaries in 2006. The discount rate was reduced from 6.0% to 4.5% based on changes in the Company’s revised estimate of current prices for settling its related obligations as a result of recent stability reflected by the Mexican economy. The expected salary increase was reduced from 2.0% to 1.5% based on changes in the estimated future compensation of its Mexican employees. The expected return on plan assets was reduced from 6.0% to 4.5% based on returns currently being earned by plan assets and the rates of return expected to be available for reinvestment in the future.</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net effect in 2006 of the changes mentioned above was an increase in pension and retirement plan, seniority premium and severance indemnity liabilities of Ps. 797, Ps. 19 and Ps. 23, respectively. These changes were accounted as an unrecognized prior service costs and unrecognized actuarial net losses, which will be amortized over the expected service period of the Company’s personnel.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96"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Actuarial calculations for pension and retirement plans, seniority premiums, postretirement medical services and severance indemnity liabilities, as well as the cost for the year, were determined in 2007 using the following long-term assumptions: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Real</w:t>
            </w:r>
          </w:p>
        </w:tc>
      </w:tr>
      <w:tr>
        <w:trPr>
          <w:trHeight w:val="161"/>
        </w:trPr>
        <w:tc>
          <w:tcPr>
            <w:tcW w:w="910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Rates</w:t>
            </w:r>
          </w:p>
        </w:tc>
        <w:tc>
          <w:tcPr>
            <w:tcW w:w="140" w:type="dxa"/>
            <w:vAlign w:val="bottom"/>
          </w:tcPr>
          <w:p>
            <w:pPr>
              <w:spacing w:after="0"/>
              <w:rPr>
                <w:sz w:val="14"/>
                <w:szCs w:val="14"/>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Annual discount rate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Salary increase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Return on assets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9100" w:type="dxa"/>
            <w:vAlign w:val="bottom"/>
          </w:tcPr>
          <w:p>
            <w:pPr>
              <w:spacing w:after="0"/>
              <w:rPr>
                <w:sz w:val="20"/>
                <w:szCs w:val="20"/>
                <w:color w:val="auto"/>
              </w:rPr>
            </w:pPr>
            <w:r>
              <w:rPr>
                <w:rFonts w:ascii="Arial" w:cs="Arial" w:eastAsia="Arial" w:hAnsi="Arial"/>
                <w:sz w:val="18"/>
                <w:szCs w:val="18"/>
                <w:color w:val="auto"/>
              </w:rPr>
              <w:t>Measurement date: December 2007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7" w:lineRule="exact"/>
        <w:rPr>
          <w:sz w:val="20"/>
          <w:szCs w:val="20"/>
          <w:color w:val="auto"/>
        </w:rPr>
      </w:pPr>
    </w:p>
    <w:p>
      <w:pPr>
        <w:jc w:val="both"/>
        <w:ind w:left="460" w:right="160"/>
        <w:spacing w:after="0" w:line="306" w:lineRule="auto"/>
        <w:rPr>
          <w:sz w:val="20"/>
          <w:szCs w:val="20"/>
          <w:color w:val="auto"/>
        </w:rPr>
      </w:pPr>
      <w:r>
        <w:rPr>
          <w:rFonts w:ascii="Arial" w:cs="Arial" w:eastAsia="Arial" w:hAnsi="Arial"/>
          <w:sz w:val="16"/>
          <w:szCs w:val="16"/>
          <w:color w:val="auto"/>
        </w:rPr>
        <w:t>The basis for the determination of the long-term rate of return is supported by a historical analysis of average returns in real terms for the last 30 years of the Certificados de Tesorería del Gobierno Federal (Mexican Federal Government Treasury Certificates) for Mexican investments, treasury bonds of each country for other investments and the expected rates of return of long-term returns of the actual investments of the Company.</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annual growth rate for health care expenses is 1.5% in real terms, consistent with the historical average health care expense rate for the past 30 years.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rate is expected to remain consistent for the foreseeable future.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these assumptions, the expected benefits to be paid in the following years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Pension and</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Postretirement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Retirement</w:t>
            </w:r>
          </w:p>
        </w:tc>
        <w:tc>
          <w:tcPr>
            <w:tcW w:w="12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Seniority</w:t>
            </w:r>
          </w:p>
        </w:tc>
        <w:tc>
          <w:tcPr>
            <w:tcW w:w="68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89"/>
              </w:rPr>
              <w:t>Medical</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Severance</w:t>
            </w:r>
          </w:p>
        </w:tc>
      </w:tr>
      <w:tr>
        <w:trPr>
          <w:trHeight w:val="161"/>
        </w:trPr>
        <w:tc>
          <w:tcPr>
            <w:tcW w:w="3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6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Premiums</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auto"/>
                <w:w w:val="83"/>
              </w:rPr>
              <w:t>Services</w:t>
            </w:r>
          </w:p>
        </w:tc>
        <w:tc>
          <w:tcPr>
            <w:tcW w:w="1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Indemnities</w:t>
            </w:r>
          </w:p>
        </w:tc>
        <w:tc>
          <w:tcPr>
            <w:tcW w:w="20" w:type="dxa"/>
            <w:vAlign w:val="bottom"/>
          </w:tcPr>
          <w:p>
            <w:pPr>
              <w:spacing w:after="0"/>
              <w:rPr>
                <w:sz w:val="14"/>
                <w:szCs w:val="14"/>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8"/>
              </w:rPr>
              <w:t>Ps.   467</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Ps.   17</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39</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Ps.   116</w:t>
            </w:r>
          </w:p>
        </w:tc>
        <w:tc>
          <w:tcPr>
            <w:tcW w:w="2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2009</w:t>
            </w:r>
          </w:p>
        </w:tc>
        <w:tc>
          <w:tcPr>
            <w:tcW w:w="4760" w:type="dxa"/>
            <w:vAlign w:val="bottom"/>
            <w:gridSpan w:val="3"/>
          </w:tcPr>
          <w:p>
            <w:pPr>
              <w:jc w:val="right"/>
              <w:ind w:right="640"/>
              <w:spacing w:after="0"/>
              <w:rPr>
                <w:sz w:val="20"/>
                <w:szCs w:val="20"/>
                <w:color w:val="auto"/>
              </w:rPr>
            </w:pPr>
            <w:r>
              <w:rPr>
                <w:rFonts w:ascii="Arial" w:cs="Arial" w:eastAsia="Arial" w:hAnsi="Arial"/>
                <w:sz w:val="18"/>
                <w:szCs w:val="18"/>
                <w:color w:val="auto"/>
              </w:rPr>
              <w:t>334</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7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263</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2011</w:t>
            </w:r>
          </w:p>
        </w:tc>
        <w:tc>
          <w:tcPr>
            <w:tcW w:w="4760" w:type="dxa"/>
            <w:vAlign w:val="bottom"/>
            <w:gridSpan w:val="3"/>
          </w:tcPr>
          <w:p>
            <w:pPr>
              <w:jc w:val="right"/>
              <w:ind w:right="640"/>
              <w:spacing w:after="0"/>
              <w:rPr>
                <w:sz w:val="20"/>
                <w:szCs w:val="20"/>
                <w:color w:val="auto"/>
              </w:rPr>
            </w:pPr>
            <w:r>
              <w:rPr>
                <w:rFonts w:ascii="Arial" w:cs="Arial" w:eastAsia="Arial" w:hAnsi="Arial"/>
                <w:sz w:val="18"/>
                <w:szCs w:val="18"/>
                <w:color w:val="auto"/>
              </w:rPr>
              <w:t>387</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7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326</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2013 to 2017</w:t>
            </w:r>
          </w:p>
        </w:tc>
        <w:tc>
          <w:tcPr>
            <w:tcW w:w="4760" w:type="dxa"/>
            <w:vAlign w:val="bottom"/>
            <w:gridSpan w:val="3"/>
          </w:tcPr>
          <w:p>
            <w:pPr>
              <w:jc w:val="right"/>
              <w:ind w:right="640"/>
              <w:spacing w:after="0"/>
              <w:rPr>
                <w:sz w:val="20"/>
                <w:szCs w:val="20"/>
                <w:color w:val="auto"/>
              </w:rPr>
            </w:pPr>
            <w:r>
              <w:rPr>
                <w:rFonts w:ascii="Arial" w:cs="Arial" w:eastAsia="Arial" w:hAnsi="Arial"/>
                <w:sz w:val="18"/>
                <w:szCs w:val="18"/>
                <w:color w:val="auto"/>
              </w:rPr>
              <w:t>1,554</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r>
      <w:tr>
        <w:trPr>
          <w:trHeight w:val="356"/>
        </w:trPr>
        <w:tc>
          <w:tcPr>
            <w:tcW w:w="3240" w:type="dxa"/>
            <w:vAlign w:val="bottom"/>
          </w:tcPr>
          <w:p>
            <w:pPr>
              <w:spacing w:after="0"/>
              <w:rPr>
                <w:sz w:val="24"/>
                <w:szCs w:val="24"/>
                <w:color w:val="auto"/>
              </w:rPr>
            </w:pPr>
          </w:p>
        </w:tc>
        <w:tc>
          <w:tcPr>
            <w:tcW w:w="4760" w:type="dxa"/>
            <w:vAlign w:val="bottom"/>
            <w:gridSpan w:val="3"/>
          </w:tcPr>
          <w:p>
            <w:pPr>
              <w:jc w:val="right"/>
              <w:ind w:right="2120"/>
              <w:spacing w:after="0"/>
              <w:rPr>
                <w:sz w:val="20"/>
                <w:szCs w:val="20"/>
                <w:color w:val="auto"/>
              </w:rPr>
            </w:pPr>
            <w:r>
              <w:rPr>
                <w:rFonts w:ascii="Arial" w:cs="Arial" w:eastAsia="Arial" w:hAnsi="Arial"/>
                <w:sz w:val="18"/>
                <w:szCs w:val="18"/>
                <w:color w:val="auto"/>
              </w:rPr>
              <w:t>F-23</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9100" w:type="dxa"/>
            <w:vAlign w:val="bottom"/>
          </w:tcPr>
          <w:p>
            <w:pPr>
              <w:ind w:left="160"/>
              <w:spacing w:after="0"/>
              <w:rPr>
                <w:sz w:val="20"/>
                <w:szCs w:val="20"/>
                <w:color w:val="auto"/>
              </w:rPr>
            </w:pPr>
            <w:r>
              <w:rPr>
                <w:rFonts w:ascii="Arial" w:cs="Arial" w:eastAsia="Arial" w:hAnsi="Arial"/>
                <w:sz w:val="18"/>
                <w:szCs w:val="18"/>
                <w:b w:val="1"/>
                <w:bCs w:val="1"/>
                <w:color w:val="auto"/>
              </w:rPr>
              <w:t>Balances of the Liabilities:</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Vested benefit obligation</w:t>
            </w:r>
          </w:p>
        </w:tc>
        <w:tc>
          <w:tcPr>
            <w:tcW w:w="12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Ps. 2,373</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Ps. 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Non-vested benefit obligation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Accumulated benefit obligation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5,170</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Projected benefit obligation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5,592</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plan funds at fair value</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(2,806)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Unfunded projected benefit obligation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2,786</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Unrecognized net transition obligation</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Unrecognized prior service costs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Unrecognized actuarial net gain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1,647</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labor liability</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915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2,562</w:t>
            </w:r>
          </w:p>
        </w:tc>
        <w:tc>
          <w:tcPr>
            <w:tcW w:w="6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Seniority premiums:</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Vested benefit obligation</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91</w:t>
            </w: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Non-vested benefit obligation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Accumulated benefit obligation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Unfunded projected benefit obligation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Unrecognized net transition obligation</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Unrecognized actuarial net loss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Additional labor liability</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60</w:t>
            </w: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Postretirement medical services:</w:t>
            </w: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benefit obligation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Non-vested benefit obligation</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447</w:t>
            </w:r>
          </w:p>
        </w:tc>
        <w:tc>
          <w:tcPr>
            <w:tcW w:w="680" w:type="dxa"/>
            <w:vAlign w:val="bottom"/>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benefit obligation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Medical services funds at fair value</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(96)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Unfunded accumulated benefit obligation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Unrecognized net transition obligation</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Unrecognized actuarial net loss</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6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Severance indemnities:</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Accumulated benefit obligation</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609</w:t>
            </w:r>
          </w:p>
        </w:tc>
        <w:tc>
          <w:tcPr>
            <w:tcW w:w="680" w:type="dxa"/>
            <w:vAlign w:val="bottom"/>
          </w:tcPr>
          <w:p>
            <w:pPr>
              <w:jc w:val="right"/>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Projected benefit obligation</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Unrecognized net transition obligation</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Unrecognized actuarial net loss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Additional labor liability</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535</w:t>
            </w:r>
          </w:p>
        </w:tc>
        <w:tc>
          <w:tcPr>
            <w:tcW w:w="680" w:type="dxa"/>
            <w:vAlign w:val="bottom"/>
          </w:tcPr>
          <w:p>
            <w:pPr>
              <w:jc w:val="right"/>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3"/>
          </w:tcPr>
          <w:p>
            <w:pPr>
              <w:spacing w:after="0"/>
              <w:rPr>
                <w:sz w:val="20"/>
                <w:szCs w:val="20"/>
                <w:color w:val="auto"/>
              </w:rPr>
            </w:pPr>
            <w:r>
              <w:rPr>
                <w:rFonts w:ascii="Arial" w:cs="Arial" w:eastAsia="Arial" w:hAnsi="Arial"/>
                <w:sz w:val="18"/>
                <w:szCs w:val="18"/>
                <w:color w:val="auto"/>
              </w:rPr>
              <w:t>Total labor liabilities</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Ps. 3,718</w:t>
            </w:r>
          </w:p>
        </w:tc>
        <w:tc>
          <w:tcPr>
            <w:tcW w:w="6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Ps. 3,269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100" w:type="dxa"/>
            <w:vAlign w:val="bottom"/>
            <w:vMerge w:val="restart"/>
          </w:tcPr>
          <w:p>
            <w:pPr>
              <w:ind w:left="5240"/>
              <w:spacing w:after="0"/>
              <w:rPr>
                <w:sz w:val="20"/>
                <w:szCs w:val="20"/>
                <w:color w:val="auto"/>
              </w:rPr>
            </w:pPr>
            <w:r>
              <w:rPr>
                <w:rFonts w:ascii="Arial" w:cs="Arial" w:eastAsia="Arial" w:hAnsi="Arial"/>
                <w:sz w:val="18"/>
                <w:szCs w:val="18"/>
                <w:color w:val="auto"/>
              </w:rPr>
              <w:t>F-24</w:t>
            </w: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accumulated actuarial gains and losses were generated by the differences in the assumptions used for the actuarial calculations at the beginning of the year versus the actual behavior of those variables at the end of the current year.</w:t>
      </w:r>
    </w:p>
    <w:p>
      <w:pPr>
        <w:spacing w:after="0" w:line="51"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The projected benefit obligation in some of the Company’s subsidiaries was less than the accumulated benefit obligation reduced by the amount of the plan assets at fair value, resulting in an additional liability, which was recorded in other assets up to an amount of the unrecognized net transition obligation and prior service costs (see Note 12) and the difference was recorded in cumulative other comprehensive income.</w:t>
      </w:r>
    </w:p>
    <w:p>
      <w:pPr>
        <w:spacing w:after="0" w:line="222"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Trust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Trust assets consist of fixed and variable return financial instruments, at market value. The trust assets are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84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Return:</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Traded securities</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instruments</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Federal government instruments</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Variable Return:</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Publicly traded</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40"/>
        <w:spacing w:after="0" w:line="335" w:lineRule="auto"/>
        <w:rPr>
          <w:sz w:val="20"/>
          <w:szCs w:val="20"/>
          <w:color w:val="auto"/>
        </w:rPr>
      </w:pPr>
      <w:r>
        <w:rPr>
          <w:rFonts w:ascii="Arial" w:cs="Arial" w:eastAsia="Arial" w:hAnsi="Arial"/>
          <w:sz w:val="15"/>
          <w:szCs w:val="15"/>
          <w:color w:val="auto"/>
        </w:rPr>
        <w:t>The Company has a policy of maintaining at least 30% of the trust assets in Mexican Federal Government instruments. Objective portfolio guidelines have been established for the remaining percentage, and investment decisions are made to comply with those guidelines to the extent that market conditions and available funds allow. The composition of the portfolio is consistent with those of other large multi-national companies that manage long-term funds.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and types of securities of the Company and related parties included in trust assets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2006</w:t>
            </w: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line="217" w:lineRule="exact"/>
              <w:rPr>
                <w:sz w:val="20"/>
                <w:szCs w:val="20"/>
                <w:color w:val="auto"/>
              </w:rPr>
            </w:pPr>
            <w:r>
              <w:rPr>
                <w:rFonts w:ascii="Arial" w:cs="Arial" w:eastAsia="Arial" w:hAnsi="Arial"/>
                <w:sz w:val="18"/>
                <w:szCs w:val="18"/>
                <w:color w:val="auto"/>
              </w:rPr>
              <w:t xml:space="preserve">CEMEX, S.A.B. de C.V. </w:t>
            </w:r>
            <w:r>
              <w:rPr>
                <w:rFonts w:ascii="Arial" w:cs="Arial" w:eastAsia="Arial" w:hAnsi="Arial"/>
                <w:sz w:val="22"/>
                <w:szCs w:val="22"/>
                <w:color w:val="auto"/>
                <w:vertAlign w:val="superscript"/>
              </w:rPr>
              <w:t>(1)</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1"/>
              </w:rPr>
              <w:t>Ps.  51</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Ps.  55</w:t>
            </w:r>
          </w:p>
        </w:tc>
      </w:tr>
      <w:tr>
        <w:trPr>
          <w:trHeight w:val="216"/>
        </w:trPr>
        <w:tc>
          <w:tcPr>
            <w:tcW w:w="87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BBVA Bancomer, S.A. de C.V. </w:t>
            </w:r>
            <w:r>
              <w:rPr>
                <w:rFonts w:ascii="Arial" w:cs="Arial" w:eastAsia="Arial" w:hAnsi="Arial"/>
                <w:sz w:val="22"/>
                <w:szCs w:val="22"/>
                <w:color w:val="auto"/>
                <w:vertAlign w:val="superscript"/>
              </w:rPr>
              <w:t>(1)</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spacing w:after="0" w:line="217" w:lineRule="exact"/>
              <w:rPr>
                <w:sz w:val="20"/>
                <w:szCs w:val="20"/>
                <w:color w:val="auto"/>
              </w:rPr>
            </w:pPr>
            <w:r>
              <w:rPr>
                <w:rFonts w:ascii="Arial" w:cs="Arial" w:eastAsia="Arial" w:hAnsi="Arial"/>
                <w:sz w:val="18"/>
                <w:szCs w:val="18"/>
                <w:color w:val="auto"/>
              </w:rPr>
              <w:t xml:space="preserve">Deutsche Bank (Mexico) </w:t>
            </w:r>
            <w:r>
              <w:rPr>
                <w:rFonts w:ascii="Arial" w:cs="Arial" w:eastAsia="Arial" w:hAnsi="Arial"/>
                <w:sz w:val="22"/>
                <w:szCs w:val="22"/>
                <w:color w:val="auto"/>
                <w:vertAlign w:val="superscript"/>
              </w:rPr>
              <w:t>(1)</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British American Tobacco Mexico </w:t>
            </w:r>
            <w:r>
              <w:rPr>
                <w:rFonts w:ascii="Arial" w:cs="Arial" w:eastAsia="Arial" w:hAnsi="Arial"/>
                <w:sz w:val="22"/>
                <w:szCs w:val="22"/>
                <w:color w:val="auto"/>
                <w:vertAlign w:val="superscript"/>
              </w:rPr>
              <w:t>(1)</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740" w:type="dxa"/>
            <w:vAlign w:val="bottom"/>
          </w:tcPr>
          <w:p>
            <w:pPr>
              <w:spacing w:after="0" w:line="217" w:lineRule="exact"/>
              <w:rPr>
                <w:sz w:val="20"/>
                <w:szCs w:val="20"/>
                <w:color w:val="auto"/>
              </w:rPr>
            </w:pPr>
            <w:r>
              <w:rPr>
                <w:rFonts w:ascii="Arial" w:cs="Arial" w:eastAsia="Arial" w:hAnsi="Arial"/>
                <w:sz w:val="18"/>
                <w:szCs w:val="18"/>
                <w:color w:val="auto"/>
              </w:rPr>
              <w:t xml:space="preserve">Valores Mexicanos Casa de Bolsa, S.A. de C.V. </w:t>
            </w:r>
            <w:r>
              <w:rPr>
                <w:rFonts w:ascii="Arial" w:cs="Arial" w:eastAsia="Arial" w:hAnsi="Arial"/>
                <w:sz w:val="22"/>
                <w:szCs w:val="22"/>
                <w:color w:val="auto"/>
                <w:vertAlign w:val="superscript"/>
              </w:rPr>
              <w:t>(1)</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tcPr>
          <w:p>
            <w:pPr>
              <w:spacing w:after="0" w:line="217" w:lineRule="exact"/>
              <w:rPr>
                <w:sz w:val="20"/>
                <w:szCs w:val="20"/>
                <w:color w:val="auto"/>
              </w:rPr>
            </w:pPr>
            <w:r>
              <w:rPr>
                <w:rFonts w:ascii="Arial" w:cs="Arial" w:eastAsia="Arial" w:hAnsi="Arial"/>
                <w:sz w:val="18"/>
                <w:szCs w:val="18"/>
                <w:color w:val="auto"/>
              </w:rPr>
              <w:t xml:space="preserve">Grupo Bimbo, S.A.B. de C.V. </w:t>
            </w:r>
            <w:r>
              <w:rPr>
                <w:rFonts w:ascii="Arial" w:cs="Arial" w:eastAsia="Arial" w:hAnsi="Arial"/>
                <w:sz w:val="22"/>
                <w:szCs w:val="22"/>
                <w:color w:val="auto"/>
                <w:vertAlign w:val="superscript"/>
              </w:rPr>
              <w:t>(1)</w:t>
            </w:r>
          </w:p>
        </w:tc>
        <w:tc>
          <w:tcPr>
            <w:tcW w:w="12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7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Grupo Televisa, S.A.B. </w:t>
            </w:r>
            <w:r>
              <w:rPr>
                <w:rFonts w:ascii="Arial" w:cs="Arial" w:eastAsia="Arial" w:hAnsi="Arial"/>
                <w:sz w:val="22"/>
                <w:szCs w:val="22"/>
                <w:color w:val="auto"/>
                <w:vertAlign w:val="superscript"/>
              </w:rPr>
              <w:t>(1)</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Capital:</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177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8740" w:type="dxa"/>
            <w:vAlign w:val="bottom"/>
          </w:tcPr>
          <w:p>
            <w:pPr>
              <w:ind w:left="440"/>
              <w:spacing w:after="0" w:line="217" w:lineRule="exact"/>
              <w:rPr>
                <w:sz w:val="20"/>
                <w:szCs w:val="20"/>
                <w:color w:val="auto"/>
              </w:rPr>
            </w:pPr>
            <w:r>
              <w:rPr>
                <w:rFonts w:ascii="Arial" w:cs="Arial" w:eastAsia="Arial" w:hAnsi="Arial"/>
                <w:sz w:val="18"/>
                <w:szCs w:val="18"/>
                <w:color w:val="auto"/>
              </w:rPr>
              <w:t xml:space="preserve">CEMEX, S.A.B. de C.V. </w:t>
            </w:r>
            <w:r>
              <w:rPr>
                <w:rFonts w:ascii="Arial" w:cs="Arial" w:eastAsia="Arial" w:hAnsi="Arial"/>
                <w:sz w:val="22"/>
                <w:szCs w:val="22"/>
                <w:color w:val="auto"/>
                <w:vertAlign w:val="superscript"/>
              </w:rPr>
              <w:t>(1)</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135</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74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Grupo Televisa, S.A.B. </w:t>
            </w:r>
            <w:r>
              <w:rPr>
                <w:rFonts w:ascii="Arial" w:cs="Arial" w:eastAsia="Arial" w:hAnsi="Arial"/>
                <w:sz w:val="22"/>
                <w:szCs w:val="22"/>
                <w:color w:val="auto"/>
                <w:vertAlign w:val="superscript"/>
              </w:rPr>
              <w:t>(1)</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73" w:lineRule="exact"/>
        <w:rPr>
          <w:sz w:val="20"/>
          <w:szCs w:val="20"/>
          <w:color w:val="auto"/>
        </w:rPr>
      </w:pPr>
    </w:p>
    <w:p>
      <w:pPr>
        <w:ind w:left="460" w:right="40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One or more members of the board of directors or senior management of FEMSA are members of the board of directors or senior management of this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d)</w:t>
            </w:r>
          </w:p>
        </w:tc>
        <w:tc>
          <w:tcPr>
            <w:tcW w:w="4480" w:type="dxa"/>
            <w:vAlign w:val="bottom"/>
          </w:tcPr>
          <w:p>
            <w:pPr>
              <w:ind w:left="160"/>
              <w:spacing w:after="0"/>
              <w:rPr>
                <w:sz w:val="20"/>
                <w:szCs w:val="20"/>
                <w:color w:val="auto"/>
              </w:rPr>
            </w:pPr>
            <w:r>
              <w:rPr>
                <w:rFonts w:ascii="Arial" w:cs="Arial" w:eastAsia="Arial" w:hAnsi="Arial"/>
                <w:sz w:val="18"/>
                <w:szCs w:val="18"/>
                <w:b w:val="1"/>
                <w:bCs w:val="1"/>
                <w:color w:val="auto"/>
              </w:rPr>
              <w:t>Cost for the Year:</w:t>
            </w:r>
          </w:p>
        </w:tc>
        <w:tc>
          <w:tcPr>
            <w:tcW w:w="4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540" w:type="dxa"/>
            <w:vAlign w:val="bottom"/>
            <w:gridSpan w:val="2"/>
          </w:tcPr>
          <w:p>
            <w:pPr>
              <w:jc w:val="center"/>
              <w:ind w:left="3913"/>
              <w:spacing w:after="0"/>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24"/>
                <w:szCs w:val="24"/>
                <w:color w:val="auto"/>
              </w:rPr>
            </w:pPr>
          </w:p>
        </w:tc>
        <w:tc>
          <w:tcPr>
            <w:tcW w:w="76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40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4000" w:type="dxa"/>
            <w:vAlign w:val="bottom"/>
          </w:tcPr>
          <w:p>
            <w:pPr>
              <w:spacing w:after="0"/>
              <w:rPr>
                <w:sz w:val="18"/>
                <w:szCs w:val="18"/>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Ps. 210</w:t>
            </w: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Ps. 139</w:t>
            </w:r>
          </w:p>
        </w:tc>
        <w:tc>
          <w:tcPr>
            <w:tcW w:w="820" w:type="dxa"/>
            <w:vAlign w:val="bottom"/>
            <w:gridSpan w:val="3"/>
          </w:tcPr>
          <w:p>
            <w:pPr>
              <w:jc w:val="center"/>
              <w:ind w:left="73"/>
              <w:spacing w:after="0"/>
              <w:rPr>
                <w:sz w:val="20"/>
                <w:szCs w:val="20"/>
                <w:color w:val="auto"/>
              </w:rPr>
            </w:pPr>
            <w:r>
              <w:rPr>
                <w:rFonts w:ascii="Arial" w:cs="Arial" w:eastAsia="Arial" w:hAnsi="Arial"/>
                <w:sz w:val="18"/>
                <w:szCs w:val="18"/>
                <w:color w:val="auto"/>
                <w:w w:val="88"/>
              </w:rPr>
              <w:t>Ps. 123</w:t>
            </w: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Expected return on trust assets</w:t>
            </w:r>
          </w:p>
        </w:tc>
        <w:tc>
          <w:tcPr>
            <w:tcW w:w="50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(129)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unrecognized transition obligation</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Amortization of net actuarial loss</w:t>
            </w:r>
          </w:p>
        </w:tc>
        <w:tc>
          <w:tcPr>
            <w:tcW w:w="40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419</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r>
      <w:tr>
        <w:trPr>
          <w:trHeight w:val="222"/>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Seniority premiums:</w:t>
            </w:r>
          </w:p>
        </w:tc>
        <w:tc>
          <w:tcPr>
            <w:tcW w:w="40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4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4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unrecognized transition obligation</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Amortization of net actuarial loss</w:t>
            </w:r>
          </w:p>
        </w:tc>
        <w:tc>
          <w:tcPr>
            <w:tcW w:w="40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r>
      <w:tr>
        <w:trPr>
          <w:trHeight w:val="222"/>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Postretirement medical services:</w:t>
            </w:r>
          </w:p>
        </w:tc>
        <w:tc>
          <w:tcPr>
            <w:tcW w:w="40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4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4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trust assets</w:t>
            </w:r>
          </w:p>
        </w:tc>
        <w:tc>
          <w:tcPr>
            <w:tcW w:w="5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Amortization of unrecognized transition obligation</w:t>
            </w:r>
          </w:p>
        </w:tc>
        <w:tc>
          <w:tcPr>
            <w:tcW w:w="454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4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loss</w:t>
            </w:r>
          </w:p>
        </w:tc>
        <w:tc>
          <w:tcPr>
            <w:tcW w:w="40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48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Severance indemnities:</w:t>
            </w:r>
          </w:p>
        </w:tc>
        <w:tc>
          <w:tcPr>
            <w:tcW w:w="40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454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4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Amortization of unrecognized transition obligation</w:t>
            </w:r>
          </w:p>
        </w:tc>
        <w:tc>
          <w:tcPr>
            <w:tcW w:w="40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4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6"/>
              </w:rPr>
              <w:t>Ps. 664</w:t>
            </w:r>
          </w:p>
        </w:tc>
        <w:tc>
          <w:tcPr>
            <w:tcW w:w="4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Ps. 551</w:t>
            </w:r>
          </w:p>
        </w:tc>
        <w:tc>
          <w:tcPr>
            <w:tcW w:w="260" w:type="dxa"/>
            <w:vAlign w:val="bottom"/>
          </w:tcPr>
          <w:p>
            <w:pPr>
              <w:spacing w:after="0"/>
              <w:rPr>
                <w:sz w:val="19"/>
                <w:szCs w:val="19"/>
                <w:color w:val="auto"/>
              </w:rPr>
            </w:pPr>
          </w:p>
        </w:tc>
        <w:tc>
          <w:tcPr>
            <w:tcW w:w="820" w:type="dxa"/>
            <w:vAlign w:val="bottom"/>
            <w:gridSpan w:val="3"/>
          </w:tcPr>
          <w:p>
            <w:pPr>
              <w:jc w:val="center"/>
              <w:ind w:left="73"/>
              <w:spacing w:after="0"/>
              <w:rPr>
                <w:sz w:val="20"/>
                <w:szCs w:val="20"/>
                <w:color w:val="auto"/>
              </w:rPr>
            </w:pPr>
            <w:r>
              <w:rPr>
                <w:rFonts w:ascii="Arial" w:cs="Arial" w:eastAsia="Arial" w:hAnsi="Arial"/>
                <w:sz w:val="18"/>
                <w:szCs w:val="18"/>
                <w:color w:val="auto"/>
                <w:w w:val="88"/>
              </w:rPr>
              <w:t>Ps. 495</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020" w:type="dxa"/>
            <w:vAlign w:val="bottom"/>
            <w:gridSpan w:val="3"/>
          </w:tcPr>
          <w:p>
            <w:pPr>
              <w:jc w:val="right"/>
              <w:ind w:right="3920"/>
              <w:spacing w:after="0"/>
              <w:rPr>
                <w:sz w:val="20"/>
                <w:szCs w:val="20"/>
                <w:color w:val="auto"/>
              </w:rPr>
            </w:pPr>
            <w:r>
              <w:rPr>
                <w:rFonts w:ascii="Arial" w:cs="Arial" w:eastAsia="Arial" w:hAnsi="Arial"/>
                <w:sz w:val="18"/>
                <w:szCs w:val="18"/>
                <w:color w:val="auto"/>
              </w:rPr>
              <w:t>F-26</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the Obligations: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1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35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4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Ps. 5,343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Ps.4,139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4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4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235</w:t>
            </w:r>
          </w:p>
        </w:tc>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Curtailment</w:t>
            </w:r>
          </w:p>
        </w:tc>
        <w:tc>
          <w:tcPr>
            <w:tcW w:w="3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Amendments</w:t>
            </w:r>
          </w:p>
        </w:tc>
        <w:tc>
          <w:tcPr>
            <w:tcW w:w="4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125</w:t>
            </w:r>
          </w:p>
        </w:tc>
        <w:tc>
          <w:tcPr>
            <w:tcW w:w="620" w:type="dxa"/>
            <w:vAlign w:val="bottom"/>
          </w:tcPr>
          <w:p>
            <w:pPr>
              <w:jc w:val="right"/>
              <w:spacing w:after="0"/>
              <w:rPr>
                <w:sz w:val="20"/>
                <w:szCs w:val="20"/>
                <w:color w:val="auto"/>
              </w:rPr>
            </w:pPr>
            <w:r>
              <w:rPr>
                <w:rFonts w:ascii="Arial" w:cs="Arial" w:eastAsia="Arial" w:hAnsi="Arial"/>
                <w:sz w:val="18"/>
                <w:szCs w:val="18"/>
                <w:color w:val="auto"/>
              </w:rPr>
              <w:t>1,036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(gain) loss</w:t>
            </w:r>
          </w:p>
        </w:tc>
        <w:tc>
          <w:tcPr>
            <w:tcW w:w="4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35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35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5,592</w:t>
            </w:r>
          </w:p>
        </w:tc>
        <w:tc>
          <w:tcPr>
            <w:tcW w:w="6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60" w:type="dxa"/>
            <w:vAlign w:val="bottom"/>
            <w:shd w:val="clear" w:color="auto" w:fill="CCEEFF"/>
          </w:tcPr>
          <w:p>
            <w:pPr>
              <w:spacing w:after="0"/>
              <w:rPr>
                <w:sz w:val="18"/>
                <w:szCs w:val="18"/>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Seniority premiums:</w:t>
            </w:r>
          </w:p>
        </w:tc>
        <w:tc>
          <w:tcPr>
            <w:tcW w:w="3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balance</w:t>
            </w:r>
          </w:p>
        </w:tc>
        <w:tc>
          <w:tcPr>
            <w:tcW w:w="4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245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4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30</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4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Actuarial loss</w:t>
            </w:r>
          </w:p>
        </w:tc>
        <w:tc>
          <w:tcPr>
            <w:tcW w:w="4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4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20"/>
                <w:szCs w:val="20"/>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35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c>
          <w:tcPr>
            <w:tcW w:w="6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3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4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731</w:t>
            </w:r>
          </w:p>
        </w:tc>
        <w:tc>
          <w:tcPr>
            <w:tcW w:w="62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4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4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32</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4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35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(60)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35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6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0" w:type="dxa"/>
            <w:vAlign w:val="bottom"/>
            <w:shd w:val="clear" w:color="auto" w:fill="CCEEFF"/>
          </w:tcPr>
          <w:p>
            <w:pPr>
              <w:spacing w:after="0"/>
              <w:rPr>
                <w:sz w:val="18"/>
                <w:szCs w:val="18"/>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Severance indemnities:</w:t>
            </w:r>
          </w:p>
        </w:tc>
        <w:tc>
          <w:tcPr>
            <w:tcW w:w="3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balance</w:t>
            </w:r>
          </w:p>
        </w:tc>
        <w:tc>
          <w:tcPr>
            <w:tcW w:w="4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Kaiser acquisition</w:t>
            </w:r>
          </w:p>
        </w:tc>
        <w:tc>
          <w:tcPr>
            <w:tcW w:w="35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4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4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26</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4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35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(121)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35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6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the Trust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7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50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6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Ps. 2,779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Ps.2,391</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Actual return on trust assets in real terms</w:t>
            </w:r>
          </w:p>
        </w:tc>
        <w:tc>
          <w:tcPr>
            <w:tcW w:w="6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6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78</w:t>
            </w: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6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20" w:type="dxa"/>
            <w:vAlign w:val="bottom"/>
          </w:tcPr>
          <w:p>
            <w:pPr>
              <w:spacing w:after="0"/>
              <w:rPr>
                <w:sz w:val="20"/>
                <w:szCs w:val="20"/>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50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2,806</w:t>
            </w:r>
          </w:p>
        </w:tc>
        <w:tc>
          <w:tcPr>
            <w:tcW w:w="6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5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6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105</w:t>
            </w: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Actual return on trust assets in real terms</w:t>
            </w:r>
          </w:p>
        </w:tc>
        <w:tc>
          <w:tcPr>
            <w:tcW w:w="6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50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6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8"/>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6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96</w:t>
            </w: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300" w:type="dxa"/>
            <w:vAlign w:val="bottom"/>
            <w:gridSpan w:val="3"/>
          </w:tcPr>
          <w:p>
            <w:pPr>
              <w:jc w:val="right"/>
              <w:ind w:right="4860"/>
              <w:spacing w:after="0"/>
              <w:rPr>
                <w:sz w:val="20"/>
                <w:szCs w:val="20"/>
                <w:color w:val="auto"/>
              </w:rPr>
            </w:pPr>
            <w:r>
              <w:rPr>
                <w:rFonts w:ascii="Arial" w:cs="Arial" w:eastAsia="Arial" w:hAnsi="Arial"/>
                <w:sz w:val="18"/>
                <w:szCs w:val="18"/>
                <w:color w:val="auto"/>
              </w:rPr>
              <w:t>F-27</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in Health Care Assumptions:</w:t>
      </w:r>
    </w:p>
    <w:p>
      <w:pPr>
        <w:spacing w:after="0" w:line="96" w:lineRule="exact"/>
        <w:rPr>
          <w:rFonts w:ascii="Arial" w:cs="Arial" w:eastAsia="Arial" w:hAnsi="Arial"/>
          <w:sz w:val="18"/>
          <w:szCs w:val="18"/>
          <w:b w:val="1"/>
          <w:bCs w:val="1"/>
          <w:color w:val="auto"/>
        </w:rPr>
      </w:pPr>
    </w:p>
    <w:p>
      <w:pPr>
        <w:ind w:left="460" w:right="6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impact to the postretirement medical service obligations and the expenses recorded in the income statement with a variation of 1% in the assumed health care cost trend rates.</w:t>
      </w:r>
    </w:p>
    <w:p>
      <w:pPr>
        <w:spacing w:after="0" w:line="168"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Impact of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0</wp:posOffset>
            </wp:positionV>
            <wp:extent cx="10293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ind w:left="9380"/>
        <w:spacing w:after="0"/>
        <w:tabs>
          <w:tab w:leader="none" w:pos="1048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5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Postretirement medical services obligation</w:t>
            </w:r>
          </w:p>
        </w:tc>
        <w:tc>
          <w:tcPr>
            <w:tcW w:w="3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Ps.120</w:t>
            </w:r>
          </w:p>
        </w:tc>
        <w:tc>
          <w:tcPr>
            <w:tcW w:w="11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Ps.(106)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Cost for the year</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Bonus Program.</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bonus program for executives is based on complying with certain goals established annually by management, which include quantitative and qualitative objectives and special projects.</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quantitative objectives represent approximately 50% of the bonus and are based on the Economic Value Added (“EVA”) methodology. The objective established for the executives at each entity is based on a combination of the EVA per entity and the EVA generated by the Company, calculated at approximately 70% and 30%, respectively. The qualitative objectives and special projects represent the remaining 50% of the annual bonus and are based on the critical success factors established at the beginning of the year for each executive.</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the Company provides a share compensation plan to certain key executives, consisting of an annual cash bonus to purchase FEMSA shares or options, based on the executive’s responsibility in the organization, their business’ EVA result achieved, and their individual performance. The acquired shares or options are deposited in a trust, and the executives may access them one year after they are vested at 20% per year. The 50% of Coca-Cola FEMSA’s annual executive bonus is to be used to purchase FEMSA shares or options and the remaining 50% to purchase Coca-Cola FEMSA shares or options. As of December 31, 2007, no options have been granted to employees.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incentive plan target is expressed in months of salary, and the final amount payable is computed based on a percentage of compliance with the goals established every year. The bonuses are recorded in income from operations and are paid in cash the following year. During the years ended December 31, 2007, 2006 and 2005, the bonus expense recorded amounted to Ps. 1,179, Ps. 927 and Ps. 707, respectively.</w:t>
      </w:r>
    </w:p>
    <w:p>
      <w:pPr>
        <w:spacing w:after="0" w:line="14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All shares held by the trusts are considered outstanding for earnings per share purposes and dividends on shares held by the trusts are charged to retained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Bank Loans and Notes Payable.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short-term debt consisted principally of revolving bank loans as well as their weighted average rates: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 Interest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 Interest</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7700" w:type="dxa"/>
            <w:vAlign w:val="bottom"/>
          </w:tcPr>
          <w:p>
            <w:pPr>
              <w:spacing w:after="0"/>
              <w:rPr>
                <w:sz w:val="16"/>
                <w:szCs w:val="16"/>
                <w:color w:val="auto"/>
              </w:rPr>
            </w:pPr>
          </w:p>
        </w:tc>
        <w:tc>
          <w:tcPr>
            <w:tcW w:w="620" w:type="dxa"/>
            <w:vAlign w:val="bottom"/>
            <w:tcBorders>
              <w:bottom w:val="single" w:sz="8" w:color="auto"/>
            </w:tcBorders>
          </w:tcPr>
          <w:p>
            <w:pPr>
              <w:jc w:val="right"/>
              <w:ind w:right="17"/>
              <w:spacing w:after="0" w:line="193" w:lineRule="exact"/>
              <w:rPr>
                <w:sz w:val="20"/>
                <w:szCs w:val="20"/>
                <w:color w:val="auto"/>
              </w:rPr>
            </w:pPr>
            <w:r>
              <w:rPr>
                <w:rFonts w:ascii="Arial" w:cs="Arial" w:eastAsia="Arial" w:hAnsi="Arial"/>
                <w:sz w:val="14"/>
                <w:szCs w:val="14"/>
                <w:b w:val="1"/>
                <w:bCs w:val="1"/>
                <w:color w:val="auto"/>
                <w:w w:val="95"/>
              </w:rPr>
              <w:t xml:space="preserve">Rate </w:t>
            </w:r>
            <w:r>
              <w:rPr>
                <w:rFonts w:ascii="Arial" w:cs="Arial" w:eastAsia="Arial" w:hAnsi="Arial"/>
                <w:sz w:val="22"/>
                <w:szCs w:val="22"/>
                <w:b w:val="1"/>
                <w:bCs w:val="1"/>
                <w:color w:val="auto"/>
                <w:w w:val="95"/>
                <w:vertAlign w:val="superscript"/>
              </w:rPr>
              <w:t>(1)</w:t>
            </w:r>
          </w:p>
        </w:tc>
        <w:tc>
          <w:tcPr>
            <w:tcW w:w="480" w:type="dxa"/>
            <w:vAlign w:val="bottom"/>
          </w:tcPr>
          <w:p>
            <w:pPr>
              <w:spacing w:after="0"/>
              <w:rPr>
                <w:sz w:val="16"/>
                <w:szCs w:val="16"/>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6"/>
                <w:szCs w:val="16"/>
                <w:color w:val="auto"/>
              </w:rPr>
            </w:pPr>
          </w:p>
        </w:tc>
        <w:tc>
          <w:tcPr>
            <w:tcW w:w="62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84"/>
              </w:rPr>
              <w:t xml:space="preserve">Rate </w:t>
            </w:r>
            <w:r>
              <w:rPr>
                <w:rFonts w:ascii="Arial" w:cs="Arial" w:eastAsia="Arial" w:hAnsi="Arial"/>
                <w:sz w:val="22"/>
                <w:szCs w:val="22"/>
                <w:b w:val="1"/>
                <w:bCs w:val="1"/>
                <w:color w:val="auto"/>
                <w:w w:val="84"/>
                <w:vertAlign w:val="superscript"/>
              </w:rPr>
              <w:t>(1)</w:t>
            </w:r>
          </w:p>
        </w:tc>
        <w:tc>
          <w:tcPr>
            <w:tcW w:w="460" w:type="dxa"/>
            <w:vAlign w:val="bottom"/>
          </w:tcPr>
          <w:p>
            <w:pPr>
              <w:spacing w:after="0"/>
              <w:rPr>
                <w:sz w:val="16"/>
                <w:szCs w:val="16"/>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6"/>
                <w:szCs w:val="16"/>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6"/>
              </w:rPr>
              <w:t>Ps. 150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Ps. 421</w:t>
            </w:r>
          </w:p>
        </w:tc>
        <w:tc>
          <w:tcPr>
            <w:tcW w:w="2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U.S. dollars</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6.7%</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2,372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600" w:type="dxa"/>
            <w:vAlign w:val="bottom"/>
          </w:tcPr>
          <w:p>
            <w:pPr>
              <w:jc w:val="right"/>
              <w:spacing w:after="0"/>
              <w:rPr>
                <w:sz w:val="20"/>
                <w:szCs w:val="20"/>
                <w:color w:val="auto"/>
              </w:rPr>
            </w:pPr>
            <w:r>
              <w:rPr>
                <w:rFonts w:ascii="Arial" w:cs="Arial" w:eastAsia="Arial" w:hAnsi="Arial"/>
                <w:sz w:val="18"/>
                <w:szCs w:val="18"/>
                <w:color w:val="auto"/>
              </w:rPr>
              <w:t>2,253</w:t>
            </w: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Argentine pesos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Venezuelan bolivars</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15.7%</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600" w:type="dxa"/>
            <w:vAlign w:val="bottom"/>
          </w:tcPr>
          <w:p>
            <w:pPr>
              <w:jc w:val="right"/>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Brazilian reais</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Japanese yen</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3"/>
              </w:rPr>
              <w:t>Ps.3,447</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Ps.4,183</w:t>
            </w:r>
          </w:p>
        </w:tc>
        <w:tc>
          <w:tcPr>
            <w:tcW w:w="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Weighted average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presents long-term bank loans and notes payable, as well as their weighted average rates and derivative financial instruments contracted by the Company: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 Interest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 Interest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60" w:type="dxa"/>
            <w:vAlign w:val="bottom"/>
            <w:gridSpan w:val="2"/>
          </w:tcPr>
          <w:p>
            <w:pPr>
              <w:jc w:val="center"/>
              <w:ind w:right="440"/>
              <w:spacing w:after="0" w:line="193" w:lineRule="exact"/>
              <w:rPr>
                <w:sz w:val="20"/>
                <w:szCs w:val="20"/>
                <w:color w:val="auto"/>
              </w:rPr>
            </w:pPr>
            <w:r>
              <w:rPr>
                <w:rFonts w:ascii="Arial" w:cs="Arial" w:eastAsia="Arial" w:hAnsi="Arial"/>
                <w:sz w:val="14"/>
                <w:szCs w:val="14"/>
                <w:b w:val="1"/>
                <w:bCs w:val="1"/>
                <w:color w:val="auto"/>
                <w:w w:val="80"/>
              </w:rPr>
              <w:t xml:space="preserve">Rate </w:t>
            </w:r>
            <w:r>
              <w:rPr>
                <w:rFonts w:ascii="Arial" w:cs="Arial" w:eastAsia="Arial" w:hAnsi="Arial"/>
                <w:sz w:val="22"/>
                <w:szCs w:val="22"/>
                <w:b w:val="1"/>
                <w:bCs w:val="1"/>
                <w:color w:val="auto"/>
                <w:w w:val="80"/>
                <w:vertAlign w:val="superscript"/>
              </w:rPr>
              <w:t>(1)</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6"/>
                <w:szCs w:val="16"/>
                <w:color w:val="auto"/>
              </w:rPr>
            </w:pPr>
          </w:p>
        </w:tc>
        <w:tc>
          <w:tcPr>
            <w:tcW w:w="1300" w:type="dxa"/>
            <w:vAlign w:val="bottom"/>
            <w:gridSpan w:val="2"/>
          </w:tcPr>
          <w:p>
            <w:pPr>
              <w:jc w:val="center"/>
              <w:ind w:right="660"/>
              <w:spacing w:after="0" w:line="193" w:lineRule="exact"/>
              <w:rPr>
                <w:sz w:val="20"/>
                <w:szCs w:val="20"/>
                <w:color w:val="auto"/>
              </w:rPr>
            </w:pPr>
            <w:r>
              <w:rPr>
                <w:rFonts w:ascii="Arial" w:cs="Arial" w:eastAsia="Arial" w:hAnsi="Arial"/>
                <w:sz w:val="14"/>
                <w:szCs w:val="14"/>
                <w:b w:val="1"/>
                <w:bCs w:val="1"/>
                <w:color w:val="auto"/>
                <w:w w:val="84"/>
              </w:rPr>
              <w:t xml:space="preserve">Rate </w:t>
            </w:r>
            <w:r>
              <w:rPr>
                <w:rFonts w:ascii="Arial" w:cs="Arial" w:eastAsia="Arial" w:hAnsi="Arial"/>
                <w:sz w:val="22"/>
                <w:szCs w:val="22"/>
                <w:b w:val="1"/>
                <w:bCs w:val="1"/>
                <w:color w:val="auto"/>
                <w:w w:val="84"/>
                <w:vertAlign w:val="superscript"/>
              </w:rPr>
              <w:t>(1)</w:t>
            </w:r>
          </w:p>
        </w:tc>
        <w:tc>
          <w:tcPr>
            <w:tcW w:w="200" w:type="dxa"/>
            <w:vAlign w:val="bottom"/>
          </w:tcPr>
          <w:p>
            <w:pPr>
              <w:spacing w:after="0"/>
              <w:rPr>
                <w:sz w:val="16"/>
                <w:szCs w:val="16"/>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interest rate:</w:t>
            </w: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U.S. dollars: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Yankee bonds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7.3%</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Ps . 3,199</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Bank loans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6.0%</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747</w:t>
            </w: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Bank loans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9.7%</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3,586</w:t>
            </w: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Units of investment (UDIs)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2,508</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Notes payable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10.2%</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1,500</w:t>
            </w: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Japanese yen:</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Bank loans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4.8%</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w:t>
            </w: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Variable interest rate:</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U.S. dollars: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Capital leases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8.5%</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Bank loans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8.1%</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10,010</w:t>
            </w: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12,750</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Brazilian reais: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Colombian pesos: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36,582</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(5,917)</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(2,563)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Ps.30,665</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Ps.35,673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 Interest</w:t>
            </w: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2"/>
              </w:rPr>
              <w:t>% Interest</w:t>
            </w: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Hedging Derivative Financial Instruments</w:t>
            </w:r>
          </w:p>
        </w:tc>
        <w:tc>
          <w:tcPr>
            <w:tcW w:w="1060" w:type="dxa"/>
            <w:vAlign w:val="bottom"/>
            <w:gridSpan w:val="2"/>
          </w:tcPr>
          <w:p>
            <w:pPr>
              <w:jc w:val="center"/>
              <w:ind w:right="440"/>
              <w:spacing w:after="0" w:line="193" w:lineRule="exact"/>
              <w:rPr>
                <w:sz w:val="20"/>
                <w:szCs w:val="20"/>
                <w:color w:val="auto"/>
              </w:rPr>
            </w:pPr>
            <w:r>
              <w:rPr>
                <w:rFonts w:ascii="Arial" w:cs="Arial" w:eastAsia="Arial" w:hAnsi="Arial"/>
                <w:sz w:val="14"/>
                <w:szCs w:val="14"/>
                <w:b w:val="1"/>
                <w:bCs w:val="1"/>
                <w:color w:val="auto"/>
                <w:w w:val="80"/>
              </w:rPr>
              <w:t xml:space="preserve">Rate </w:t>
            </w:r>
            <w:r>
              <w:rPr>
                <w:rFonts w:ascii="Arial" w:cs="Arial" w:eastAsia="Arial" w:hAnsi="Arial"/>
                <w:sz w:val="22"/>
                <w:szCs w:val="22"/>
                <w:b w:val="1"/>
                <w:bCs w:val="1"/>
                <w:color w:val="auto"/>
                <w:w w:val="80"/>
                <w:vertAlign w:val="superscript"/>
              </w:rPr>
              <w:t>(1)</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6"/>
                <w:szCs w:val="16"/>
                <w:color w:val="auto"/>
              </w:rPr>
            </w:pPr>
          </w:p>
        </w:tc>
        <w:tc>
          <w:tcPr>
            <w:tcW w:w="1300" w:type="dxa"/>
            <w:vAlign w:val="bottom"/>
            <w:gridSpan w:val="2"/>
          </w:tcPr>
          <w:p>
            <w:pPr>
              <w:jc w:val="center"/>
              <w:ind w:right="660"/>
              <w:spacing w:after="0" w:line="193" w:lineRule="exact"/>
              <w:rPr>
                <w:sz w:val="20"/>
                <w:szCs w:val="20"/>
                <w:color w:val="auto"/>
              </w:rPr>
            </w:pPr>
            <w:r>
              <w:rPr>
                <w:rFonts w:ascii="Arial" w:cs="Arial" w:eastAsia="Arial" w:hAnsi="Arial"/>
                <w:sz w:val="14"/>
                <w:szCs w:val="14"/>
                <w:b w:val="1"/>
                <w:bCs w:val="1"/>
                <w:color w:val="auto"/>
                <w:w w:val="84"/>
              </w:rPr>
              <w:t xml:space="preserve">Rate </w:t>
            </w:r>
            <w:r>
              <w:rPr>
                <w:rFonts w:ascii="Arial" w:cs="Arial" w:eastAsia="Arial" w:hAnsi="Arial"/>
                <w:sz w:val="22"/>
                <w:szCs w:val="22"/>
                <w:b w:val="1"/>
                <w:bCs w:val="1"/>
                <w:color w:val="auto"/>
                <w:w w:val="84"/>
                <w:vertAlign w:val="superscript"/>
              </w:rPr>
              <w:t>(1)</w:t>
            </w:r>
          </w:p>
        </w:tc>
        <w:tc>
          <w:tcPr>
            <w:tcW w:w="200" w:type="dxa"/>
            <w:vAlign w:val="bottom"/>
          </w:tcPr>
          <w:p>
            <w:pPr>
              <w:spacing w:after="0"/>
              <w:rPr>
                <w:sz w:val="16"/>
                <w:szCs w:val="16"/>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swaps variable to fixed:</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Notes: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Ps.14,085</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860"/>
              <w:spacing w:after="0"/>
              <w:rPr>
                <w:sz w:val="20"/>
                <w:szCs w:val="20"/>
                <w:color w:val="auto"/>
              </w:rPr>
            </w:pPr>
            <w:r>
              <w:rPr>
                <w:rFonts w:ascii="Arial" w:cs="Arial" w:eastAsia="Arial" w:hAnsi="Arial"/>
                <w:sz w:val="18"/>
                <w:szCs w:val="18"/>
                <w:color w:val="auto"/>
              </w:rPr>
              <w:t>Interest pay rate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9.5%</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receive rate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860"/>
              <w:spacing w:after="0"/>
              <w:rPr>
                <w:sz w:val="20"/>
                <w:szCs w:val="20"/>
                <w:color w:val="auto"/>
              </w:rPr>
            </w:pPr>
            <w:r>
              <w:rPr>
                <w:rFonts w:ascii="Arial" w:cs="Arial" w:eastAsia="Arial" w:hAnsi="Arial"/>
                <w:sz w:val="18"/>
                <w:szCs w:val="18"/>
                <w:b w:val="1"/>
                <w:bCs w:val="1"/>
                <w:color w:val="auto"/>
              </w:rPr>
              <w:t>Bank loans: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4,465</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pay rate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860"/>
              <w:spacing w:after="0"/>
              <w:rPr>
                <w:sz w:val="20"/>
                <w:szCs w:val="20"/>
                <w:color w:val="auto"/>
              </w:rPr>
            </w:pPr>
            <w:r>
              <w:rPr>
                <w:rFonts w:ascii="Arial" w:cs="Arial" w:eastAsia="Arial" w:hAnsi="Arial"/>
                <w:sz w:val="18"/>
                <w:szCs w:val="18"/>
                <w:color w:val="auto"/>
              </w:rPr>
              <w:t>Interest receive rate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Cross currency swaps: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Bank loans from Japanese yen to Brazilian reais: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pay rate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860"/>
              <w:spacing w:after="0"/>
              <w:rPr>
                <w:sz w:val="20"/>
                <w:szCs w:val="20"/>
                <w:color w:val="auto"/>
              </w:rPr>
            </w:pPr>
            <w:r>
              <w:rPr>
                <w:rFonts w:ascii="Arial" w:cs="Arial" w:eastAsia="Arial" w:hAnsi="Arial"/>
                <w:sz w:val="18"/>
                <w:szCs w:val="18"/>
                <w:color w:val="auto"/>
              </w:rPr>
              <w:t>Interest receive rate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4.8%</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Weighted average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800" w:type="dxa"/>
            <w:vAlign w:val="bottom"/>
            <w:gridSpan w:val="2"/>
          </w:tcPr>
          <w:p>
            <w:pPr>
              <w:spacing w:after="0"/>
              <w:rPr>
                <w:sz w:val="20"/>
                <w:szCs w:val="20"/>
                <w:color w:val="auto"/>
              </w:rPr>
            </w:pPr>
            <w:r>
              <w:rPr>
                <w:rFonts w:ascii="Arial" w:cs="Arial" w:eastAsia="Arial" w:hAnsi="Arial"/>
                <w:sz w:val="18"/>
                <w:szCs w:val="18"/>
                <w:color w:val="auto"/>
              </w:rPr>
              <w:t>Maturities of long-term debt as of December 31, 2007 are as follows:</w:t>
            </w:r>
          </w:p>
        </w:tc>
        <w:tc>
          <w:tcPr>
            <w:tcW w:w="700" w:type="dxa"/>
            <w:vAlign w:val="bottom"/>
          </w:tcPr>
          <w:p>
            <w:pPr>
              <w:spacing w:after="0"/>
              <w:rPr>
                <w:sz w:val="19"/>
                <w:szCs w:val="19"/>
                <w:color w:val="auto"/>
              </w:rPr>
            </w:pPr>
          </w:p>
        </w:tc>
      </w:tr>
      <w:tr>
        <w:trPr>
          <w:trHeight w:val="205"/>
        </w:trPr>
        <w:tc>
          <w:tcPr>
            <w:tcW w:w="920" w:type="dxa"/>
            <w:vAlign w:val="bottom"/>
          </w:tcPr>
          <w:p>
            <w:pPr>
              <w:spacing w:after="0"/>
              <w:rPr>
                <w:sz w:val="17"/>
                <w:szCs w:val="17"/>
                <w:color w:val="auto"/>
              </w:rPr>
            </w:pPr>
          </w:p>
        </w:tc>
        <w:tc>
          <w:tcPr>
            <w:tcW w:w="88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Ps. 5,917</w:t>
            </w:r>
          </w:p>
        </w:tc>
      </w:tr>
      <w:tr>
        <w:trPr>
          <w:trHeight w:val="216"/>
        </w:trPr>
        <w:tc>
          <w:tcPr>
            <w:tcW w:w="9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2009</w:t>
            </w:r>
          </w:p>
        </w:tc>
        <w:tc>
          <w:tcPr>
            <w:tcW w:w="700" w:type="dxa"/>
            <w:vAlign w:val="bottom"/>
          </w:tcPr>
          <w:p>
            <w:pPr>
              <w:jc w:val="right"/>
              <w:spacing w:after="0"/>
              <w:rPr>
                <w:sz w:val="20"/>
                <w:szCs w:val="20"/>
                <w:color w:val="auto"/>
              </w:rPr>
            </w:pPr>
            <w:r>
              <w:rPr>
                <w:rFonts w:ascii="Arial" w:cs="Arial" w:eastAsia="Arial" w:hAnsi="Arial"/>
                <w:sz w:val="18"/>
                <w:szCs w:val="18"/>
                <w:color w:val="auto"/>
              </w:rPr>
              <w:t>5,346</w:t>
            </w:r>
          </w:p>
        </w:tc>
      </w:tr>
      <w:tr>
        <w:trPr>
          <w:trHeight w:val="216"/>
        </w:trPr>
        <w:tc>
          <w:tcPr>
            <w:tcW w:w="9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r>
      <w:tr>
        <w:trPr>
          <w:trHeight w:val="216"/>
        </w:trPr>
        <w:tc>
          <w:tcPr>
            <w:tcW w:w="9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2011</w:t>
            </w:r>
          </w:p>
        </w:tc>
        <w:tc>
          <w:tcPr>
            <w:tcW w:w="700" w:type="dxa"/>
            <w:vAlign w:val="bottom"/>
          </w:tcPr>
          <w:p>
            <w:pPr>
              <w:jc w:val="right"/>
              <w:spacing w:after="0"/>
              <w:rPr>
                <w:sz w:val="20"/>
                <w:szCs w:val="20"/>
                <w:color w:val="auto"/>
              </w:rPr>
            </w:pPr>
            <w:r>
              <w:rPr>
                <w:rFonts w:ascii="Arial" w:cs="Arial" w:eastAsia="Arial" w:hAnsi="Arial"/>
                <w:sz w:val="18"/>
                <w:szCs w:val="18"/>
                <w:color w:val="auto"/>
              </w:rPr>
              <w:t>2,075</w:t>
            </w:r>
          </w:p>
        </w:tc>
      </w:tr>
      <w:tr>
        <w:trPr>
          <w:trHeight w:val="216"/>
        </w:trPr>
        <w:tc>
          <w:tcPr>
            <w:tcW w:w="9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r>
      <w:tr>
        <w:trPr>
          <w:trHeight w:val="223"/>
        </w:trPr>
        <w:tc>
          <w:tcPr>
            <w:tcW w:w="9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2013 and thereafter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13,089</w:t>
            </w:r>
          </w:p>
        </w:tc>
      </w:tr>
      <w:tr>
        <w:trPr>
          <w:trHeight w:val="216"/>
        </w:trPr>
        <w:tc>
          <w:tcPr>
            <w:tcW w:w="9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Ps.36,582</w:t>
            </w:r>
          </w:p>
        </w:tc>
      </w:tr>
      <w:tr>
        <w:trPr>
          <w:trHeight w:val="20"/>
        </w:trPr>
        <w:tc>
          <w:tcPr>
            <w:tcW w:w="9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The Company has financing from different institutions with different restrictions and covenants, which mainly consist of maximum levels of leverage and capitalization as well as minimum consolidated net worth and debt and interest coverage ratios. As of the date of these consolidated financial statements, the Company was in compliance with all restrictions and covenants contained in its financing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Other Expenses.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2007, FEMSA Cerveza approved a plan to allow certain qualifying personnel to early retire beginning in 2008 (see Note 15). The financial impact of this plan was Ps. 125 and was recorded in other expenses as a pension plan amendment.</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2006, Coca-Cola FEMSA implemented strategic restructuring programs in its commercial operations and recognized costs of Ps. 689, which were recorded in other expenses in the December 2006 consolidated income statement. Such costs consisted of Ps. 556 of severance payments associated with an ongoing benefit arrangement and Ps. 133 of other costs related to the restructuring programs. As of December 31, 2007, Coca-Cola FEMSA has paid Ps. 485 related to such costs and the remaining balance is expected to be paid during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5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Employee profit sharing (see Note 2)</w:t>
            </w:r>
          </w:p>
        </w:tc>
        <w:tc>
          <w:tcPr>
            <w:tcW w:w="120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95"/>
              </w:rPr>
              <w:t>Ps.  553</w:t>
            </w:r>
          </w:p>
        </w:tc>
        <w:tc>
          <w:tcPr>
            <w:tcW w:w="12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3"/>
              </w:rPr>
              <w:t>Ps.  530</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Ps.  588</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Loss on sales of fixed assets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101</w:t>
            </w:r>
          </w:p>
        </w:tc>
        <w:tc>
          <w:tcPr>
            <w:tcW w:w="5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59</w:t>
            </w: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Contingencies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Severance payments associated with an ongoing benefit and amendment to pension plan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255</w:t>
            </w:r>
          </w:p>
        </w:tc>
        <w:tc>
          <w:tcPr>
            <w:tcW w:w="5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866</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93</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Participation in affiliated companies</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(154)</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40" w:type="dxa"/>
            <w:vAlign w:val="bottom"/>
            <w:vMerge w:val="continue"/>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2"/>
              </w:rPr>
              <w:t>Ps. 1,297</w:t>
            </w:r>
          </w:p>
        </w:tc>
        <w:tc>
          <w:tcPr>
            <w:tcW w:w="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Ps.1,650</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Ps.1,108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of Financial Instruments.</w:t>
      </w:r>
    </w:p>
    <w:p>
      <w:pPr>
        <w:spacing w:after="0" w:line="90"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of long-term bank loans and syndicated loans is based on the discounted value of contractual cash flows, in which the discount rate is estimated using rates currently offered for debt of similar amounts and maturities. The fair value of long-term notes is based on quoted market prices. The fair value is estimated as of the date of the most recent balance sheet presented.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720" w:type="dxa"/>
            <w:vAlign w:val="bottom"/>
          </w:tcPr>
          <w:p>
            <w:pPr>
              <w:jc w:val="right"/>
              <w:ind w:right="139"/>
              <w:spacing w:after="0"/>
              <w:rPr>
                <w:sz w:val="20"/>
                <w:szCs w:val="20"/>
                <w:color w:val="auto"/>
              </w:rPr>
            </w:pPr>
            <w:r>
              <w:rPr>
                <w:rFonts w:ascii="Arial" w:cs="Arial" w:eastAsia="Arial" w:hAnsi="Arial"/>
                <w:sz w:val="14"/>
                <w:szCs w:val="14"/>
                <w:b w:val="1"/>
                <w:bCs w:val="1"/>
                <w:color w:val="auto"/>
              </w:rPr>
              <w:t>2007</w:t>
            </w:r>
          </w:p>
        </w:tc>
        <w:tc>
          <w:tcPr>
            <w:tcW w:w="13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Ps.36,582</w:t>
            </w:r>
          </w:p>
        </w:tc>
        <w:tc>
          <w:tcPr>
            <w:tcW w:w="6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Ps.38,235</w:t>
            </w:r>
          </w:p>
        </w:tc>
        <w:tc>
          <w:tcPr>
            <w:tcW w:w="20" w:type="dxa"/>
            <w:vAlign w:val="bottom"/>
          </w:tcPr>
          <w:p>
            <w:pPr>
              <w:spacing w:after="0"/>
              <w:rPr>
                <w:sz w:val="18"/>
                <w:szCs w:val="18"/>
                <w:color w:val="auto"/>
              </w:rPr>
            </w:pPr>
          </w:p>
        </w:tc>
      </w:tr>
      <w:tr>
        <w:trPr>
          <w:trHeight w:val="228"/>
        </w:trPr>
        <w:tc>
          <w:tcPr>
            <w:tcW w:w="8480" w:type="dxa"/>
            <w:vAlign w:val="bottom"/>
          </w:tcPr>
          <w:p>
            <w:pPr>
              <w:spacing w:after="0"/>
              <w:rPr>
                <w:sz w:val="20"/>
                <w:szCs w:val="20"/>
                <w:color w:val="auto"/>
              </w:rPr>
            </w:pPr>
            <w:r>
              <w:rPr>
                <w:rFonts w:ascii="Arial" w:cs="Arial" w:eastAsia="Arial" w:hAnsi="Arial"/>
                <w:sz w:val="18"/>
                <w:szCs w:val="18"/>
                <w:color w:val="auto"/>
              </w:rPr>
              <w:t>Fair value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36,960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38,607</w:t>
            </w:r>
          </w:p>
        </w:tc>
        <w:tc>
          <w:tcPr>
            <w:tcW w:w="20" w:type="dxa"/>
            <w:vAlign w:val="bottom"/>
          </w:tcPr>
          <w:p>
            <w:pPr>
              <w:spacing w:after="0"/>
              <w:rPr>
                <w:sz w:val="19"/>
                <w:szCs w:val="19"/>
                <w:color w:val="auto"/>
              </w:rPr>
            </w:pPr>
          </w:p>
        </w:tc>
      </w:tr>
    </w:tbl>
    <w:p>
      <w:pPr>
        <w:spacing w:after="0" w:line="257"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96"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uses interest rate swaps to manage the interest rate risk associated with its borrowings, pursuant to which it pays amounts based on a fixed rate and receives amounts based on a floating rate. These instruments are recognized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consolidated balance sheet at their estimated fair value and designated as a cash flow hedge. The estimated fair value is based on formal technical models.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fair value were recorded in cumulative other comprehensive income.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2007, the Company has the following outstanding interest rate swap agreements: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640" w:type="dxa"/>
            <w:vAlign w:val="bottom"/>
          </w:tcPr>
          <w:p>
            <w:pPr>
              <w:jc w:val="right"/>
              <w:ind w:right="6"/>
              <w:spacing w:after="0" w:line="149" w:lineRule="exact"/>
              <w:rPr>
                <w:sz w:val="20"/>
                <w:szCs w:val="20"/>
                <w:color w:val="auto"/>
              </w:rPr>
            </w:pPr>
            <w:r>
              <w:rPr>
                <w:rFonts w:ascii="Arial" w:cs="Arial" w:eastAsia="Arial" w:hAnsi="Arial"/>
                <w:sz w:val="14"/>
                <w:szCs w:val="14"/>
                <w:b w:val="1"/>
                <w:bCs w:val="1"/>
                <w:color w:val="auto"/>
                <w:w w:val="96"/>
              </w:rPr>
              <w:t>Notional</w:t>
            </w:r>
          </w:p>
        </w:tc>
        <w:tc>
          <w:tcPr>
            <w:tcW w:w="66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6"/>
              </w:rPr>
              <w:t>Maturity Date</w:t>
            </w:r>
          </w:p>
        </w:tc>
        <w:tc>
          <w:tcPr>
            <w:tcW w:w="764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Ps.6,076</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Ps.  (33)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2009</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2,570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2011</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2,412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2013</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The net effect of expired derivative contracts is included in current earnings as an interest expense and amounted to Ps. 357, Ps. 334 and Ps. 28 for the years ended December 31, 2007, 2006 and 2005, respectively.</w:t>
      </w:r>
    </w:p>
    <w:p>
      <w:pPr>
        <w:spacing w:after="0" w:line="51" w:lineRule="exact"/>
        <w:rPr>
          <w:sz w:val="20"/>
          <w:szCs w:val="20"/>
          <w:color w:val="auto"/>
        </w:rPr>
      </w:pPr>
    </w:p>
    <w:p>
      <w:pPr>
        <w:ind w:left="460" w:right="200"/>
        <w:spacing w:after="0" w:line="335" w:lineRule="auto"/>
        <w:rPr>
          <w:sz w:val="20"/>
          <w:szCs w:val="20"/>
          <w:color w:val="auto"/>
        </w:rPr>
      </w:pPr>
      <w:r>
        <w:rPr>
          <w:rFonts w:ascii="Arial" w:cs="Arial" w:eastAsia="Arial" w:hAnsi="Arial"/>
          <w:sz w:val="15"/>
          <w:szCs w:val="15"/>
          <w:color w:val="auto"/>
        </w:rPr>
        <w:t>A portion of certain interest rate swaps do not meet the hedging criteria for accounting purposes; consequently changes in the estimated fair value of ineffective portion were recorded in the consolidated results as part of the integral result of financing. For the years ended December 31, 2007, 2006 and 2005, the net effect of these instruments as of the date of the financial statements was a gain of Ps. 35, a loss of Ps. 39 and gain of Ps. 10, respectively.</w:t>
      </w:r>
    </w:p>
    <w:p>
      <w:pPr>
        <w:spacing w:after="0" w:line="204"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Forward Agreements to Purchase Foreign Currency:</w:t>
      </w:r>
    </w:p>
    <w:p>
      <w:pPr>
        <w:spacing w:after="0" w:line="96"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forward agreements to reduce its exposure to the risk of exchange rate fluctuations between the Mexican pesos and other currencies. These instruments are recognized in the consolidated balance sheet at their estimated fair value which is based on formal technical models. The changes in the fair value are recorded in cumulative other comprehensive income. As of December 31, 2007, the Company’s had forward contracts to buy U.S. dollars and other currencies that meet the hedging criteria for accounting purposes with a notional amount of Ps. 1,783, and a fair value assets of Ps.10. These contracts expired in 2008.</w:t>
      </w:r>
    </w:p>
    <w:p>
      <w:pPr>
        <w:spacing w:after="0" w:line="61" w:lineRule="exact"/>
        <w:rPr>
          <w:rFonts w:ascii="Arial" w:cs="Arial" w:eastAsia="Arial" w:hAnsi="Arial"/>
          <w:sz w:val="18"/>
          <w:szCs w:val="18"/>
          <w:b w:val="1"/>
          <w:bCs w:val="1"/>
          <w:color w:val="auto"/>
        </w:rPr>
      </w:pPr>
    </w:p>
    <w:p>
      <w:pPr>
        <w:jc w:val="both"/>
        <w:ind w:left="460" w:right="1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 of the December 2007, 2006 and 2005 the Company registered effects of expired forward contract foreign exchange losses of Ps. 13, Ps. 2 and Ps. 9, respectively. Additionally, the Company recorded a foreign exchange loss of Ps. 168 in its consolidated income statement of 2005 in connection with the forward contract to buy U.S. dollars in connection with the bridge loans incurred regarding the acquisition of FEMSA Cerveza’s minority interest. These forward contracts were terminated in 2005 in conjunction with the payment of the bridge loans.</w:t>
      </w:r>
    </w:p>
    <w:p>
      <w:pPr>
        <w:spacing w:after="0" w:line="31"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of December 31, 2007, certain of the Company’s forward contracts to buy U.S. dollars and other currencies do not meet the hedging criteria for accounting purposes; consequently changes in the fair value were recorded in the consolidated results as part of the integral result of financing. The notional amount of those forward agreements to purchase foreign currency maturing in 2008 is Ps. 1,087 with a corresponding fair value gain of Ps. 9. For the years ended December 31, 2007 and 2006, the net effect of expired contracts that did not meet the hedging criteria for accounting purposes was a gain of Ps. 13 and a loss of Ps. 23, respectively, included as a market value gain (loss) on ineffective portion of derivative financial instruments. In 2005 there are no effects of forwards agreements that did not meet hedging criteria.</w:t>
      </w:r>
    </w:p>
    <w:p>
      <w:pPr>
        <w:spacing w:after="0" w:line="235" w:lineRule="exact"/>
        <w:rPr>
          <w:rFonts w:ascii="Arial" w:cs="Arial" w:eastAsia="Arial" w:hAnsi="Arial"/>
          <w:sz w:val="18"/>
          <w:szCs w:val="18"/>
          <w:b w:val="1"/>
          <w:bCs w:val="1"/>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Cross Currency Swaps:</w:t>
      </w:r>
    </w:p>
    <w:p>
      <w:pPr>
        <w:spacing w:after="0" w:line="96" w:lineRule="exact"/>
        <w:rPr>
          <w:rFonts w:ascii="Arial" w:cs="Arial" w:eastAsia="Arial" w:hAnsi="Arial"/>
          <w:sz w:val="18"/>
          <w:szCs w:val="18"/>
          <w:b w:val="1"/>
          <w:bCs w:val="1"/>
          <w:color w:val="auto"/>
        </w:rPr>
      </w:pPr>
    </w:p>
    <w:p>
      <w:pPr>
        <w:ind w:left="46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The Company enters into cross currency swaps to reduce its exposure to the risk of exchange rate and interest fluctuations associated with its borrowings denominated in U.S. dollars and other foreign currencies. These instruments are recognized in the consolidated balance sheet at their estimated fair value which is estimated based on formal technical models. Changes in the fair value were recorded in other comprehensive income. As of December 31, 2007, the Company has cross currency swap agreements outstanding with a notional amount of Ps. 230 and a fair value liability of Ps. 39. Those contracts mature in 2009. The net effect of expired contracts included in interest expense as part of the integral result of financing amounted to Ps. 37 and Ps. 72, for the years ended December 31, 2007 and 2006, respectively. As of the end of December 31, 2005, the net effect of expired contracts, was a gain of Ps. 138.</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Certain cross currency swaps instruments did not meet the hedging criteria for accounting purposes; consequently changes in the estimated fair value are recorded as a gain or loss in the market value on ineffective portion of derivative financial instruments in the consolidated results as part of the integral result of financing. Those contracts with a notional amount of Ps. 5,302 expire in December 2017 and the net effect changes in the fair value for the year ended December 31, 2007 amounted to Ps. 59 of a gain recorded in the market value on ineffective portion of derivative financial instruments. The net effect of expired contracts that did not meet the hedging criteria for accounting purposes is recorded as a market value gain of Ps. 5 and losses of Ps. 3 and Ps. 233 for the years ended December 31, 2007, 2006 and 2005, respectively. All effects were recorded as part of ineffective portion of derivative financial instruments.</w:t>
      </w:r>
    </w:p>
    <w:p>
      <w:pPr>
        <w:spacing w:after="0" w:line="234"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Commodity Price Contracts:</w:t>
      </w:r>
    </w:p>
    <w:p>
      <w:pPr>
        <w:spacing w:after="0" w:line="96" w:lineRule="exact"/>
        <w:rPr>
          <w:rFonts w:ascii="Arial" w:cs="Arial" w:eastAsia="Arial" w:hAnsi="Arial"/>
          <w:sz w:val="18"/>
          <w:szCs w:val="18"/>
          <w:b w:val="1"/>
          <w:bCs w:val="1"/>
          <w:color w:val="auto"/>
        </w:rPr>
      </w:pPr>
    </w:p>
    <w:p>
      <w:pPr>
        <w:ind w:left="46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enters into various commodity price contracts to reduce its exposure to the risk of certain raw material costs. The fair value is estimated based on technical formal models. Changes in the fair value were recorded in other comprehensive income. As of December 31, 2007, the Company has commodity price contracts with maturity dates ending in 2010, with a notional amount of Ps. 2,419 and had recorded a fair value liability of Ps. 96. For the years ended December 31, 2007, 2006 and 2005, the net effect of expired commodity price contracts were losses of Ps. 82, Ps. 106 and Ps. 2, respectively, and were recorded as part of operating income offsetting the related raw material cost.</w:t>
      </w:r>
    </w:p>
    <w:p>
      <w:pPr>
        <w:spacing w:after="0" w:line="34"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of the end of December 31, 2007, certain commodity price contracts to reduce its exposure to the risk of certain raw material costs, did not meet the hedging criteria for accounting purposes; consequently changes in the estimated fair value are recorded as part of the market value gain (loss) on ineffective portion of derivative financial instruments within the consolidated income statement. As of the end of December 31, 2007, the net effect of those contracts was a loss of Ps. 43.</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Embedded Derivative Financial Instruments:</w:t>
      </w:r>
    </w:p>
    <w:p>
      <w:pPr>
        <w:spacing w:after="0" w:line="96"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its leasing contracts denominated in U.S. dollars host embedded derivative financial instruments. The fair value is estimated based on technical formal models. The changes in the fair value were recorded in current earnings in the integral result of financing as market value on derivative financial instruments. As of December 31, 2007, 2006 and 2005, the net effect of embedded derivative financial instruments was losses of Ps. 9 and Ps. 49 and a gain of Ps. 57,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Minority Interest in Consolidated Subsidiaries.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13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Ps.24,380</w:t>
            </w:r>
          </w:p>
        </w:tc>
        <w:tc>
          <w:tcPr>
            <w:tcW w:w="6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Ps.21,363</w:t>
            </w:r>
          </w:p>
        </w:tc>
        <w:tc>
          <w:tcPr>
            <w:tcW w:w="20" w:type="dxa"/>
            <w:vAlign w:val="bottom"/>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FEMSA Cerveza</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6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8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5"/>
              </w:rPr>
              <w:t>Ps.25,075</w:t>
            </w:r>
          </w:p>
        </w:tc>
        <w:tc>
          <w:tcPr>
            <w:tcW w:w="6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Ps.21,554</w:t>
            </w:r>
          </w:p>
        </w:tc>
      </w:tr>
      <w:tr>
        <w:trPr>
          <w:trHeight w:val="20"/>
        </w:trPr>
        <w:tc>
          <w:tcPr>
            <w:tcW w:w="8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Stockholders’ Equity.</w:t>
      </w:r>
    </w:p>
    <w:p>
      <w:pPr>
        <w:spacing w:after="0" w:line="96" w:lineRule="exact"/>
        <w:rPr>
          <w:sz w:val="20"/>
          <w:szCs w:val="20"/>
          <w:color w:val="auto"/>
        </w:rPr>
      </w:pPr>
    </w:p>
    <w:p>
      <w:pPr>
        <w:jc w:val="both"/>
        <w:ind w:right="300"/>
        <w:spacing w:after="0" w:line="332" w:lineRule="auto"/>
        <w:rPr>
          <w:sz w:val="20"/>
          <w:szCs w:val="20"/>
          <w:color w:val="auto"/>
        </w:rPr>
      </w:pPr>
      <w:r>
        <w:rPr>
          <w:rFonts w:ascii="Arial" w:cs="Arial" w:eastAsia="Arial" w:hAnsi="Arial"/>
          <w:sz w:val="16"/>
          <w:szCs w:val="16"/>
          <w:color w:val="auto"/>
        </w:rPr>
        <w:t>At the FEMSA ordinary stockholders’ meeting held on March 29, 2007, a three-for-one stock split was approved for all of FEMSA’s outstanding stock, which went into effect on May 25, 2007. Subsequent to the stock split, capital stock of FEMSA is comprised of 2,161,177,770 BD Units and 1,417,048,500 B Units.</w:t>
      </w:r>
    </w:p>
    <w:p>
      <w:pPr>
        <w:spacing w:after="0" w:line="85"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As of December 31, 2007, the capital stock of FEMSA was comprised of 17,891,131,350 common shares, without par value and with no foreign ownership restrictions. Fixed capital amounts to Ps. 300 (nominal value) and the variable capital may not exceed 10 times the minimum fixed capital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characteristics of the common shares are as follows:</w:t>
      </w:r>
    </w:p>
    <w:p>
      <w:pPr>
        <w:spacing w:after="0" w:line="90"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Series “B” shares, with unlimited voting rights, which at all times must represent a minimum of 51% of total capital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Series “L” shares, with limited voting rights, which may represent up to 25% of total capital stock;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Series “D” shares, with limited voting rights, which individually or jointly with series “L” shares may represent up to 49% of total capital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Series “D” shares are comprised as follows:</w:t>
      </w:r>
    </w:p>
    <w:p>
      <w:pPr>
        <w:spacing w:after="0" w:line="90"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Subseries “D-L” shares may represent up to 25% of the series “D”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Subseries “D-B” shares may comprise the remainder of outstanding series “D”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non-cumulative premium dividend to be paid to series “D” stockholders will be 125% of any dividend paid to series “B”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Series “B” and “D” shares are linked together in related units as follows:</w:t>
      </w:r>
    </w:p>
    <w:p>
      <w:pPr>
        <w:spacing w:after="0" w:line="90"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 units” each of which represents five series “B” shares and which are traded on the BMV;</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“BD units” each of which represents one series “B” share, two subseries “D-B” shares and two subseries “D-L” shares, and which are traded both on the BMV and the NYSE; and</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related units will cease to be linked together in May 2008, after a period of 10 years from the date of the first issue. Subseries “D-B” shares will be converted into series “B” shares, and subseries “D-L” shares will be converted into series “L”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FEMSA’s capital stock is comprised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 Units</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“BD” Units</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1,417,048,500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2,161,177,770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3,578,226,270</w:t>
            </w:r>
          </w:p>
        </w:tc>
        <w:tc>
          <w:tcPr>
            <w:tcW w:w="20" w:type="dxa"/>
            <w:vAlign w:val="bottom"/>
          </w:tcPr>
          <w:p>
            <w:pPr>
              <w:spacing w:after="0"/>
              <w:rPr>
                <w:sz w:val="18"/>
                <w:szCs w:val="18"/>
                <w:color w:val="auto"/>
              </w:rPr>
            </w:pPr>
          </w:p>
        </w:tc>
      </w:tr>
      <w:tr>
        <w:trPr>
          <w:trHeight w:val="221"/>
        </w:trPr>
        <w:tc>
          <w:tcPr>
            <w:tcW w:w="75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7,085,242,500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2,161,177,770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9,246,420,270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Series “D”</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8,644,711,080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8,644,711,080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Subseries “D-B”</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4,322,355,540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4,322,355,540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Subseries “D-L”</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4,322,355,540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4,322,355,540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shares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7,085,242,500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10,805,888,850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17,891,131,350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On May 25, 2005, the Company completed an equity offering, obtaining net proceeds of Ps. 8,461, which were used to repay the bridge loans incurred in connection with the acquisition of a 30% equity interest in FEMSA Cerveza and to repay other indebtedness. As a result of the equity offering in 2005, the Company’s capital stock increased by 666,400,000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restatement of stockholders’ equity for inflation is allocated to each of the various stockholders’ equity accounts,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Historical</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61"/>
        </w:trPr>
        <w:tc>
          <w:tcPr>
            <w:tcW w:w="80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Restatement</w:t>
            </w:r>
          </w:p>
        </w:tc>
        <w:tc>
          <w:tcPr>
            <w:tcW w:w="30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Ps. 2,982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Ps.  2,366</w:t>
            </w:r>
          </w:p>
        </w:tc>
        <w:tc>
          <w:tcPr>
            <w:tcW w:w="10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1"/>
              </w:rPr>
              <w:t>Ps. 5,348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13,326</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7,286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from prior years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34,926</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8,300</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net income of the Company is subject to the legal requirement that 5% thereof be transferred to a legal reserve until such reserve equals 20% of capital stock at nominal value. This reserve may not be distributed to stockholders during the existence of the Company, except as a stock dividend. As of December 31, 2007, this reserve for FEMSA amounted to Ps. 596 (nominal value).</w:t>
      </w:r>
    </w:p>
    <w:p>
      <w:pPr>
        <w:spacing w:after="0" w:line="140"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Retained earnings and other reserves distributed as dividends, as well as the effects derived from capital reductions, are subject to income tax at the rate in effect at the date of distribution, except for the restated stockholder contributions and distributions made from consolidated taxable income, denominated “Cuenta de Utilidad Fiscal Neta” (“CUFIN”) or from reinvested consolidated taxable income, denominated “Cuenta de Utilidad Fiscal Neta Reinvertida” (“CUFINRE”).</w:t>
      </w:r>
    </w:p>
    <w:p>
      <w:pPr>
        <w:spacing w:after="0" w:line="8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Dividends paid in excess of CUFIN and CUFINRE are subject to income tax at a grossed-up rate based on the current statutory rate. Since 2003, this tax may be credited against the income tax of the year in which the dividends are paid and in the following two years against the income tax and estimated tax payments. As of December 31, 2007, FEMSA’s balances of CUFIN amounted to Ps. 39,234.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At the ordinary stockholders’ meeting of FEMSA held on March 29, 2007, the stockholders approved a dividend of Ps. 0.07406 Mexican pesos (nominal value) per series “B” share and Ps. 0.09257 Mexican pesos (nominal value) per series “D” share that were paid in May 2007. Additionally, the stockholders approved a maximum of Ps. 3,000 for a stock repurchase program.</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At an ordinary stockholders’ meeting of Coca-Cola FEMSA held on March 27, 2007, the stockholders approved a dividend of Ps. 831 that were paid in May 2007. The corresponding payment to the minority interest was Ps. 384.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Net Majority Income per Share.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This represents the net majority income corresponding to each share of the Company’s capital stock, computed on the basis of the weighted average number of shares outstanding during the year. Additionally, the net income distribution according to the dividend rights of each share series is presented.</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stock split on May 25, 2007, earnings per share for previously presented periods has been retroactively restated in accordance with Mexican FRS, NIF Bulletin B-14, “Earnings per Share.” The following presents the computed weighted average number of shares and the distribution of income per share series as of December 31, 2007, 2006 and 2005: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Millions of Shares</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40" w:type="dxa"/>
            <w:vAlign w:val="bottom"/>
            <w:gridSpan w:val="4"/>
          </w:tcPr>
          <w:p>
            <w:pPr>
              <w:ind w:left="520"/>
              <w:spacing w:after="0" w:line="142" w:lineRule="exact"/>
              <w:rPr>
                <w:sz w:val="20"/>
                <w:szCs w:val="20"/>
                <w:color w:val="auto"/>
              </w:rPr>
            </w:pPr>
            <w:r>
              <w:rPr>
                <w:rFonts w:ascii="Arial" w:cs="Arial" w:eastAsia="Arial" w:hAnsi="Arial"/>
                <w:sz w:val="14"/>
                <w:szCs w:val="14"/>
                <w:b w:val="1"/>
                <w:bCs w:val="1"/>
                <w:color w:val="auto"/>
              </w:rPr>
              <w:t>Series “B”</w:t>
            </w:r>
          </w:p>
        </w:tc>
        <w:tc>
          <w:tcPr>
            <w:tcW w:w="160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rPr>
              <w:t>Series “D”</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as of December 31, 2005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9,246.</w:t>
            </w:r>
            <w:r>
              <w:rPr>
                <w:rFonts w:ascii="Arial" w:cs="Arial" w:eastAsia="Arial" w:hAnsi="Arial"/>
                <w:sz w:val="18"/>
                <w:szCs w:val="18"/>
                <w:u w:val="single" w:color="auto"/>
                <w:color w:val="auto"/>
                <w:w w:val="88"/>
              </w:rPr>
              <w:t>42</w:t>
            </w:r>
          </w:p>
        </w:tc>
        <w:tc>
          <w:tcPr>
            <w:tcW w:w="3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8,834.</w:t>
            </w:r>
            <w:r>
              <w:rPr>
                <w:rFonts w:ascii="Arial" w:cs="Arial" w:eastAsia="Arial" w:hAnsi="Arial"/>
                <w:sz w:val="18"/>
                <w:szCs w:val="18"/>
                <w:u w:val="single" w:color="auto"/>
                <w:color w:val="auto"/>
                <w:w w:val="88"/>
              </w:rPr>
              <w:t>85</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8,644.</w:t>
            </w:r>
            <w:r>
              <w:rPr>
                <w:rFonts w:ascii="Arial" w:cs="Arial" w:eastAsia="Arial" w:hAnsi="Arial"/>
                <w:sz w:val="18"/>
                <w:szCs w:val="18"/>
                <w:u w:val="single" w:color="auto"/>
                <w:color w:val="auto"/>
                <w:w w:val="85"/>
              </w:rPr>
              <w:t>71</w:t>
            </w:r>
          </w:p>
        </w:tc>
        <w:tc>
          <w:tcPr>
            <w:tcW w:w="3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8,260.</w:t>
            </w:r>
            <w:r>
              <w:rPr>
                <w:rFonts w:ascii="Arial" w:cs="Arial" w:eastAsia="Arial" w:hAnsi="Arial"/>
                <w:sz w:val="18"/>
                <w:szCs w:val="18"/>
                <w:u w:val="single" w:color="auto"/>
                <w:color w:val="auto"/>
                <w:w w:val="88"/>
              </w:rPr>
              <w:t>14</w:t>
            </w:r>
          </w:p>
        </w:tc>
        <w:tc>
          <w:tcPr>
            <w:tcW w:w="20" w:type="dxa"/>
            <w:vAlign w:val="bottom"/>
          </w:tcPr>
          <w:p>
            <w:pPr>
              <w:spacing w:after="0"/>
              <w:rPr>
                <w:sz w:val="18"/>
                <w:szCs w:val="18"/>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Shares outstanding as of December 31, 2006 and 2007</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9,246.</w:t>
            </w:r>
            <w:r>
              <w:rPr>
                <w:rFonts w:ascii="Arial" w:cs="Arial" w:eastAsia="Arial" w:hAnsi="Arial"/>
                <w:sz w:val="18"/>
                <w:szCs w:val="18"/>
                <w:u w:val="single" w:color="auto"/>
                <w:color w:val="auto"/>
                <w:w w:val="88"/>
              </w:rPr>
              <w:t>42</w:t>
            </w:r>
          </w:p>
        </w:tc>
        <w:tc>
          <w:tcPr>
            <w:tcW w:w="36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9,246.</w:t>
            </w:r>
            <w:r>
              <w:rPr>
                <w:rFonts w:ascii="Arial" w:cs="Arial" w:eastAsia="Arial" w:hAnsi="Arial"/>
                <w:sz w:val="18"/>
                <w:szCs w:val="18"/>
                <w:u w:val="single" w:color="auto"/>
                <w:color w:val="auto"/>
                <w:w w:val="88"/>
              </w:rPr>
              <w:t>42</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8,644.</w:t>
            </w:r>
            <w:r>
              <w:rPr>
                <w:rFonts w:ascii="Arial" w:cs="Arial" w:eastAsia="Arial" w:hAnsi="Arial"/>
                <w:sz w:val="18"/>
                <w:szCs w:val="18"/>
                <w:u w:val="single" w:color="auto"/>
                <w:color w:val="auto"/>
                <w:w w:val="85"/>
              </w:rPr>
              <w:t>71</w:t>
            </w:r>
          </w:p>
        </w:tc>
        <w:tc>
          <w:tcPr>
            <w:tcW w:w="360" w:type="dxa"/>
            <w:vAlign w:val="bottom"/>
          </w:tcPr>
          <w:p>
            <w:pPr>
              <w:spacing w:after="0"/>
              <w:rPr>
                <w:sz w:val="20"/>
                <w:szCs w:val="20"/>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8,644.</w:t>
            </w:r>
            <w:r>
              <w:rPr>
                <w:rFonts w:ascii="Arial" w:cs="Arial" w:eastAsia="Arial" w:hAnsi="Arial"/>
                <w:sz w:val="18"/>
                <w:szCs w:val="18"/>
                <w:u w:val="single" w:color="auto"/>
                <w:color w:val="auto"/>
                <w:w w:val="88"/>
              </w:rPr>
              <w:t>71</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Dividend rights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Allocation of earnings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46.11%</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53.89%</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Tax System.</w:t>
      </w:r>
    </w:p>
    <w:p>
      <w:pPr>
        <w:spacing w:after="0" w:line="9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96" w:lineRule="exact"/>
        <w:rPr>
          <w:rFonts w:ascii="Arial" w:cs="Arial" w:eastAsia="Arial" w:hAnsi="Arial"/>
          <w:sz w:val="18"/>
          <w:szCs w:val="18"/>
          <w:b w:val="1"/>
          <w:bCs w:val="1"/>
          <w:color w:val="auto"/>
        </w:rPr>
      </w:pPr>
    </w:p>
    <w:p>
      <w:pPr>
        <w:ind w:left="460" w:right="2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Income tax is computed on taxable income, which differs from accounting income principally due to the treatment of the integral result of financing, the cost of labor liabilities, depreciation and other accounting provisions. The tax loss may be carried forward and applied against future taxable income.</w:t>
      </w:r>
    </w:p>
    <w:p>
      <w:pPr>
        <w:spacing w:after="0" w:line="4"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statutory income tax rates applicable in 2007 in the countries where the Company operates, the years in which tax loss carryforwards may be applied and the open periods that remain subject to examination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Open</w:t>
            </w:r>
          </w:p>
        </w:tc>
      </w:tr>
      <w:tr>
        <w:trPr>
          <w:trHeight w:val="149"/>
        </w:trPr>
        <w:tc>
          <w:tcPr>
            <w:tcW w:w="878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Statutory</w:t>
            </w: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4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61"/>
        </w:trPr>
        <w:tc>
          <w:tcPr>
            <w:tcW w:w="878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Tax Rate</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4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(Years)</w:t>
            </w:r>
          </w:p>
        </w:tc>
        <w:tc>
          <w:tcPr>
            <w:tcW w:w="20" w:type="dxa"/>
            <w:vAlign w:val="bottom"/>
          </w:tcPr>
          <w:p>
            <w:pPr>
              <w:spacing w:after="0"/>
              <w:rPr>
                <w:sz w:val="14"/>
                <w:szCs w:val="14"/>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Guatemala</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Costa Rica</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Colombia</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Brazil</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Indefinite</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statutory income tax rate in Mexico for 2007, 2006 and 2005 was 28%, 29% and 30%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In Colombia, the tax losses generated before December 31, 2002, may be carried forward five years and those generated after January 1, 2003, may be carried forward eight years. Both are limited to 25% of taxable income of each year. Additionally, the statutory tax rate of Colombia decreases from 38.5% in 2006 to 34% in 2007 and 33% in 2008, and the 5% tax imposed on dividends was eliminated in 2006.</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Brazil, tax losses may be carried forward for an indefinite period but cannot be restated and are limited to 30% of the taxable income of each year.</w:t>
      </w:r>
    </w:p>
    <w:p>
      <w:pPr>
        <w:spacing w:after="0" w:line="31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Tax on Assets:</w:t>
      </w:r>
    </w:p>
    <w:p>
      <w:pPr>
        <w:spacing w:after="0" w:line="96" w:lineRule="exact"/>
        <w:rPr>
          <w:rFonts w:ascii="Arial" w:cs="Arial" w:eastAsia="Arial" w:hAnsi="Arial"/>
          <w:sz w:val="18"/>
          <w:szCs w:val="18"/>
          <w:b w:val="1"/>
          <w:bCs w:val="1"/>
          <w:color w:val="auto"/>
        </w:rPr>
      </w:pPr>
    </w:p>
    <w:p>
      <w:pPr>
        <w:ind w:left="460" w:right="16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Through 2006, the Mexican tax on assets was computed at an annual rate of 1.8% based on the average of certain assets at tax restated value less certain liabilities. Since January 1, 2007 the tax on assets changed from 1.8% to 1.25% and also the deduction of liabilities was eliminated in order to determine the tax to be paid. The tax on assets is paid only to the extent that it exceeds the income tax of the year. If in any year a tax on assets payment is required, this amount can be credited against the excess of any future income tax liability over the tax on assets in each of the preceding three years. Additionally, this payment may be restated and credited against the excess of the income tax liability over the calculated asset tax for the following 10 years.</w:t>
      </w:r>
    </w:p>
    <w:p>
      <w:pPr>
        <w:spacing w:after="0" w:line="18"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operations in Guatemala, Nicaragua, Colombia and Argentina are also subject to a minimum tax, which is based primarily on a percentage of assets. Any payments are recoverable in future years, under certain conditions.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Flat Tax (“IETU”):</w:t>
      </w:r>
    </w:p>
    <w:p>
      <w:pPr>
        <w:spacing w:after="0" w:line="96" w:lineRule="exact"/>
        <w:rPr>
          <w:rFonts w:ascii="Arial" w:cs="Arial" w:eastAsia="Arial" w:hAnsi="Arial"/>
          <w:sz w:val="18"/>
          <w:szCs w:val="18"/>
          <w:b w:val="1"/>
          <w:bCs w:val="1"/>
          <w:color w:val="auto"/>
        </w:rPr>
      </w:pPr>
    </w:p>
    <w:p>
      <w:pPr>
        <w:ind w:left="4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September 14, 2007, the Mexican Senate approved the 2008 Fiscal Reform Bill, which was approved by the President and subsequently published in the Diario Oficial (Official Gazette) on October 1, 2007. The most notable change in the fiscal reform relates to the introduction of a flat tax in Mexico. The IETU will replace the existing Tax on Assets and function similar to an alternative minimum corporate income tax, except that any amounts paid are not creditable against future income tax payments. Taxpayers will be subject to the higher of the IETU or the income tax liability computed under the Mexican Income Tax Law. The IETU will apply to individuals and corporations, including permanent establishments of foreign entities in Mexico, at a rate of 17.5% beginning in 2010. The rates for 2008 and 2009 will be 16.5% and 17.0%, respectively. The IETU will be calculated on a cash-flow basis, whereby the tax base is determined by reducing cash proceeds with certain deductions and credits. In the case of income derived from export sales, where cash on the receivable has not been collected within 12 months, income will be deemed received at the end of this 12-month period. The IETU will be effective beginning January 1, 2008. In addition, as opposed to ISR which allows for fiscal consolidation, companies that incur IETU are required to file their returns on an individual basis.</w:t>
      </w:r>
    </w:p>
    <w:p>
      <w:pPr>
        <w:spacing w:after="0" w:line="41" w:lineRule="exact"/>
        <w:rPr>
          <w:rFonts w:ascii="Arial" w:cs="Arial" w:eastAsia="Arial" w:hAnsi="Arial"/>
          <w:sz w:val="18"/>
          <w:szCs w:val="18"/>
          <w:b w:val="1"/>
          <w:bCs w:val="1"/>
          <w:color w:val="auto"/>
        </w:rPr>
      </w:pPr>
    </w:p>
    <w:p>
      <w:pPr>
        <w:ind w:left="460" w:righ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Based on its financial projections for purposes of its Mexican tax returns, the Company expects to pay corporate income tax in the future and does not expect to pay IETU. As such, the enactment of IETU did not impact the Company’s consolidated financial position or results of operations, as it only recognizes deferred income tax.</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temporary differences that generated deferred income taxes liability (asset)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Deferred Income Taxes</w:t>
            </w:r>
          </w:p>
        </w:tc>
        <w:tc>
          <w:tcPr>
            <w:tcW w:w="51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74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1"/>
              </w:rPr>
              <w:t>Ps.  (116)</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Ps.  (114)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592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385</w:t>
            </w:r>
          </w:p>
        </w:tc>
        <w:tc>
          <w:tcPr>
            <w:tcW w:w="680" w:type="dxa"/>
            <w:vAlign w:val="bottom"/>
          </w:tcPr>
          <w:p>
            <w:pPr>
              <w:jc w:val="right"/>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9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592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5,325</w:t>
            </w:r>
          </w:p>
        </w:tc>
        <w:tc>
          <w:tcPr>
            <w:tcW w:w="680" w:type="dxa"/>
            <w:vAlign w:val="bottom"/>
          </w:tcPr>
          <w:p>
            <w:pPr>
              <w:jc w:val="right"/>
              <w:spacing w:after="0"/>
              <w:rPr>
                <w:sz w:val="20"/>
                <w:szCs w:val="20"/>
                <w:color w:val="auto"/>
              </w:rPr>
            </w:pPr>
            <w:r>
              <w:rPr>
                <w:rFonts w:ascii="Arial" w:cs="Arial" w:eastAsia="Arial" w:hAnsi="Arial"/>
                <w:sz w:val="18"/>
                <w:szCs w:val="18"/>
                <w:color w:val="auto"/>
              </w:rPr>
              <w:t>5,214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5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Intangible and other assets</w:t>
            </w:r>
          </w:p>
        </w:tc>
        <w:tc>
          <w:tcPr>
            <w:tcW w:w="59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(1,020)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liabilities</w:t>
            </w:r>
          </w:p>
        </w:tc>
        <w:tc>
          <w:tcPr>
            <w:tcW w:w="5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(712)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Recoverable tax on assets</w:t>
            </w:r>
          </w:p>
        </w:tc>
        <w:tc>
          <w:tcPr>
            <w:tcW w:w="59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 carryforwards</w:t>
            </w:r>
          </w:p>
        </w:tc>
        <w:tc>
          <w:tcPr>
            <w:tcW w:w="5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(3,722)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592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3,053</w:t>
            </w:r>
          </w:p>
        </w:tc>
        <w:tc>
          <w:tcPr>
            <w:tcW w:w="680" w:type="dxa"/>
            <w:vAlign w:val="bottom"/>
          </w:tcPr>
          <w:p>
            <w:pPr>
              <w:jc w:val="right"/>
              <w:spacing w:after="0"/>
              <w:rPr>
                <w:sz w:val="20"/>
                <w:szCs w:val="20"/>
                <w:color w:val="auto"/>
              </w:rPr>
            </w:pPr>
            <w:r>
              <w:rPr>
                <w:rFonts w:ascii="Arial" w:cs="Arial" w:eastAsia="Arial" w:hAnsi="Arial"/>
                <w:sz w:val="18"/>
                <w:szCs w:val="18"/>
                <w:color w:val="auto"/>
              </w:rPr>
              <w:t>3,375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5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Loss contingencies</w:t>
            </w:r>
          </w:p>
        </w:tc>
        <w:tc>
          <w:tcPr>
            <w:tcW w:w="59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(568)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Temporary non-deductible provision</w:t>
            </w:r>
          </w:p>
        </w:tc>
        <w:tc>
          <w:tcPr>
            <w:tcW w:w="5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(710)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Employee profit sharing</w:t>
            </w:r>
          </w:p>
        </w:tc>
        <w:tc>
          <w:tcPr>
            <w:tcW w:w="59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59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597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3"/>
          </w:tcPr>
          <w:p>
            <w:pPr>
              <w:spacing w:after="0"/>
              <w:rPr>
                <w:sz w:val="20"/>
                <w:szCs w:val="20"/>
                <w:color w:val="auto"/>
              </w:rPr>
            </w:pPr>
            <w:r>
              <w:rPr>
                <w:rFonts w:ascii="Arial" w:cs="Arial" w:eastAsia="Arial" w:hAnsi="Arial"/>
                <w:sz w:val="18"/>
                <w:szCs w:val="18"/>
                <w:color w:val="auto"/>
              </w:rPr>
              <w:t>Deferred income taxes, net</w:t>
            </w:r>
          </w:p>
        </w:tc>
        <w:tc>
          <w:tcPr>
            <w:tcW w:w="4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2,320</w:t>
            </w:r>
          </w:p>
        </w:tc>
        <w:tc>
          <w:tcPr>
            <w:tcW w:w="7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asset</w:t>
            </w:r>
          </w:p>
        </w:tc>
        <w:tc>
          <w:tcPr>
            <w:tcW w:w="4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1,264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3"/>
          </w:tcPr>
          <w:p>
            <w:pPr>
              <w:spacing w:after="0"/>
              <w:rPr>
                <w:sz w:val="20"/>
                <w:szCs w:val="20"/>
                <w:color w:val="auto"/>
              </w:rPr>
            </w:pPr>
            <w:r>
              <w:rPr>
                <w:rFonts w:ascii="Arial" w:cs="Arial" w:eastAsia="Arial" w:hAnsi="Arial"/>
                <w:sz w:val="18"/>
                <w:szCs w:val="18"/>
                <w:color w:val="auto"/>
              </w:rPr>
              <w:t>Deferred income taxes liability</w:t>
            </w:r>
          </w:p>
        </w:tc>
        <w:tc>
          <w:tcPr>
            <w:tcW w:w="4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Ps. 3,584</w:t>
            </w:r>
          </w:p>
        </w:tc>
        <w:tc>
          <w:tcPr>
            <w:tcW w:w="74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Ps. 3,995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920" w:type="dxa"/>
            <w:vAlign w:val="bottom"/>
            <w:gridSpan w:val="3"/>
          </w:tcPr>
          <w:p>
            <w:pPr>
              <w:jc w:val="right"/>
              <w:ind w:right="4340"/>
              <w:spacing w:after="0"/>
              <w:rPr>
                <w:sz w:val="20"/>
                <w:szCs w:val="20"/>
                <w:color w:val="auto"/>
              </w:rPr>
            </w:pPr>
            <w:r>
              <w:rPr>
                <w:rFonts w:ascii="Arial" w:cs="Arial" w:eastAsia="Arial" w:hAnsi="Arial"/>
                <w:sz w:val="18"/>
                <w:szCs w:val="18"/>
                <w:color w:val="auto"/>
              </w:rPr>
              <w:t>F-35</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balance of the net deferred income taxes liability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3"/>
              </w:rPr>
              <w:t>2007</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5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700"/>
              <w:spacing w:after="0"/>
              <w:rPr>
                <w:sz w:val="20"/>
                <w:szCs w:val="20"/>
                <w:color w:val="auto"/>
              </w:rPr>
            </w:pPr>
            <w:r>
              <w:rPr>
                <w:rFonts w:ascii="Arial" w:cs="Arial" w:eastAsia="Arial" w:hAnsi="Arial"/>
                <w:sz w:val="18"/>
                <w:szCs w:val="18"/>
                <w:b w:val="1"/>
                <w:bCs w:val="1"/>
                <w:color w:val="auto"/>
                <w:w w:val="82"/>
              </w:rPr>
              <w:t>Ps. 1,943</w:t>
            </w: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Ps.1,967</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Loss on monetary position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77"/>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for the year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77"/>
              <w:spacing w:after="0"/>
              <w:rPr>
                <w:sz w:val="20"/>
                <w:szCs w:val="20"/>
                <w:color w:val="auto"/>
              </w:rPr>
            </w:pPr>
            <w:r>
              <w:rPr>
                <w:rFonts w:ascii="Arial" w:cs="Arial" w:eastAsia="Arial" w:hAnsi="Arial"/>
                <w:sz w:val="18"/>
                <w:szCs w:val="18"/>
                <w:b w:val="1"/>
                <w:bCs w:val="1"/>
                <w:color w:val="auto"/>
              </w:rPr>
              <w:t>(239)</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the statutory income tax rate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Effects in stockholders’ equity:</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77"/>
              <w:spacing w:after="0"/>
              <w:rPr>
                <w:sz w:val="20"/>
                <w:szCs w:val="20"/>
                <w:color w:val="auto"/>
              </w:rPr>
            </w:pPr>
            <w:r>
              <w:rPr>
                <w:rFonts w:ascii="Arial" w:cs="Arial" w:eastAsia="Arial" w:hAnsi="Arial"/>
                <w:sz w:val="18"/>
                <w:szCs w:val="18"/>
                <w:b w:val="1"/>
                <w:bCs w:val="1"/>
                <w:color w:val="auto"/>
              </w:rPr>
              <w:t>(107)</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translation adjustment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37"/>
              <w:spacing w:after="0"/>
              <w:rPr>
                <w:sz w:val="20"/>
                <w:szCs w:val="20"/>
                <w:color w:val="auto"/>
              </w:rPr>
            </w:pPr>
            <w:r>
              <w:rPr>
                <w:rFonts w:ascii="Arial" w:cs="Arial" w:eastAsia="Arial" w:hAnsi="Arial"/>
                <w:sz w:val="18"/>
                <w:szCs w:val="18"/>
                <w:b w:val="1"/>
                <w:bCs w:val="1"/>
                <w:color w:val="auto"/>
              </w:rPr>
              <w:t>85</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Derivative financial instruments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37"/>
              <w:spacing w:after="0"/>
              <w:rPr>
                <w:sz w:val="20"/>
                <w:szCs w:val="20"/>
                <w:color w:val="auto"/>
              </w:rPr>
            </w:pPr>
            <w:r>
              <w:rPr>
                <w:rFonts w:ascii="Arial" w:cs="Arial" w:eastAsia="Arial" w:hAnsi="Arial"/>
                <w:sz w:val="18"/>
                <w:szCs w:val="18"/>
                <w:b w:val="1"/>
                <w:bCs w:val="1"/>
                <w:color w:val="auto"/>
              </w:rPr>
              <w:t>193</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Result of holding non-monetary assets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37"/>
              <w:spacing w:after="0"/>
              <w:rPr>
                <w:sz w:val="20"/>
                <w:szCs w:val="20"/>
                <w:color w:val="auto"/>
              </w:rPr>
            </w:pPr>
            <w:r>
              <w:rPr>
                <w:rFonts w:ascii="Arial" w:cs="Arial" w:eastAsia="Arial" w:hAnsi="Arial"/>
                <w:sz w:val="18"/>
                <w:szCs w:val="18"/>
                <w:b w:val="1"/>
                <w:bCs w:val="1"/>
                <w:color w:val="auto"/>
              </w:rPr>
              <w:t>488</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40" w:type="dxa"/>
            <w:vAlign w:val="bottom"/>
            <w:gridSpan w:val="2"/>
            <w:vMerge w:val="restart"/>
          </w:tcPr>
          <w:p>
            <w:pPr>
              <w:ind w:left="160"/>
              <w:spacing w:after="0"/>
              <w:rPr>
                <w:sz w:val="20"/>
                <w:szCs w:val="20"/>
                <w:color w:val="auto"/>
              </w:rPr>
            </w:pPr>
            <w:r>
              <w:rPr>
                <w:rFonts w:ascii="Arial" w:cs="Arial" w:eastAsia="Arial" w:hAnsi="Arial"/>
                <w:sz w:val="18"/>
                <w:szCs w:val="18"/>
                <w:color w:val="auto"/>
              </w:rPr>
              <w:t>Ending balance</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2"/>
              </w:rPr>
              <w:t>Ps. 2,320</w:t>
            </w:r>
          </w:p>
        </w:tc>
        <w:tc>
          <w:tcPr>
            <w:tcW w:w="6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80" w:type="dxa"/>
            <w:vAlign w:val="bottom"/>
            <w:gridSpan w:val="5"/>
          </w:tcPr>
          <w:p>
            <w:pPr>
              <w:jc w:val="center"/>
              <w:ind w:right="480"/>
              <w:spacing w:after="0"/>
              <w:rPr>
                <w:sz w:val="20"/>
                <w:szCs w:val="20"/>
                <w:color w:val="auto"/>
              </w:rPr>
            </w:pPr>
            <w:r>
              <w:rPr>
                <w:rFonts w:ascii="Arial" w:cs="Arial" w:eastAsia="Arial" w:hAnsi="Arial"/>
                <w:sz w:val="18"/>
                <w:szCs w:val="18"/>
                <w:color w:val="auto"/>
                <w:w w:val="87"/>
              </w:rPr>
              <w:t>Ps.1,943</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w:t>
            </w:r>
          </w:p>
        </w:tc>
        <w:tc>
          <w:tcPr>
            <w:tcW w:w="80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Provision for the Year:</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gridSpan w:val="2"/>
            <w:vMerge w:val="continue"/>
          </w:tcPr>
          <w:p>
            <w:pPr>
              <w:spacing w:after="0"/>
              <w:rPr>
                <w:sz w:val="24"/>
                <w:szCs w:val="24"/>
                <w:color w:val="auto"/>
              </w:rPr>
            </w:pPr>
          </w:p>
        </w:tc>
        <w:tc>
          <w:tcPr>
            <w:tcW w:w="80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7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2"/>
              </w:rPr>
              <w:t>Ps. 4,965</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Ps.4,476</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Ps.4,674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Tax on assets</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224</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54</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(239)</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Change in the statutory income tax rate</w:t>
            </w:r>
          </w:p>
        </w:tc>
        <w:tc>
          <w:tcPr>
            <w:tcW w:w="6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 and tax on assets</w:t>
            </w: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Ps. 4,950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Ps.4,608</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Ps.4,620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Tax Loss Carryforwards and Recoverable Tax on Assets:</w:t>
      </w:r>
    </w:p>
    <w:p>
      <w:pPr>
        <w:spacing w:after="0" w:line="96"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subsidiaries in Mexico, Panama, Colombia, Venezuela and Brazil have tax loss carryforwards and/or recoverable tax on assets. The expiration dates of such amounts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Tax Loss</w:t>
            </w:r>
          </w:p>
        </w:tc>
        <w:tc>
          <w:tcPr>
            <w:tcW w:w="4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Recoverable</w:t>
            </w:r>
          </w:p>
        </w:tc>
        <w:tc>
          <w:tcPr>
            <w:tcW w:w="0" w:type="dxa"/>
            <w:vAlign w:val="bottom"/>
          </w:tcPr>
          <w:p>
            <w:pPr>
              <w:spacing w:after="0"/>
              <w:rPr>
                <w:sz w:val="1"/>
                <w:szCs w:val="1"/>
                <w:color w:val="auto"/>
              </w:rPr>
            </w:pPr>
          </w:p>
        </w:tc>
      </w:tr>
      <w:tr>
        <w:trPr>
          <w:trHeight w:val="16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1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Carryforwards</w:t>
            </w:r>
          </w:p>
        </w:tc>
        <w:tc>
          <w:tcPr>
            <w:tcW w:w="4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2"/>
              </w:rPr>
              <w:t>Tax on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2009</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2011</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2013</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173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2015</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113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2017 and thereafter</w:t>
            </w: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1,902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 expiration (Brazil, see Note 23 a)</w:t>
            </w:r>
          </w:p>
        </w:tc>
        <w:tc>
          <w:tcPr>
            <w:tcW w:w="4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8,689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Ps.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11,021</w:t>
            </w:r>
          </w:p>
        </w:tc>
        <w:tc>
          <w:tcPr>
            <w:tcW w:w="420" w:type="dxa"/>
            <w:vAlign w:val="bottom"/>
            <w:vMerge w:val="continue"/>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Ps.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480" w:type="dxa"/>
            <w:vAlign w:val="bottom"/>
            <w:gridSpan w:val="2"/>
          </w:tcPr>
          <w:p>
            <w:pPr>
              <w:ind w:left="1240"/>
              <w:spacing w:after="0"/>
              <w:rPr>
                <w:sz w:val="20"/>
                <w:szCs w:val="20"/>
                <w:color w:val="auto"/>
              </w:rPr>
            </w:pPr>
            <w:r>
              <w:rPr>
                <w:rFonts w:ascii="Arial" w:cs="Arial" w:eastAsia="Arial" w:hAnsi="Arial"/>
                <w:sz w:val="18"/>
                <w:szCs w:val="18"/>
                <w:color w:val="auto"/>
              </w:rPr>
              <w:t>F-36</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color w:val="auto"/>
        </w:rPr>
        <w:t>Due to the uncertainty related to the realization of certain tax loss carryforwards amounting to Ps. 8,979, a valuation allowance has been recorded to reduce the deferred income tax asset associated with such carryforwards. The changes in the valuation allowance which reduce the related deferred taxes asset are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2"/>
              </w:rPr>
              <w:t>Ps. 3,375</w:t>
            </w:r>
          </w:p>
        </w:tc>
        <w:tc>
          <w:tcPr>
            <w:tcW w:w="102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3"/>
              </w:rPr>
              <w:t>Ps.  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Kaiser acquisition</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provision</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Restatement of the initial balance</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2"/>
              </w:rPr>
              <w:t>Ps. 3,053</w:t>
            </w:r>
          </w:p>
        </w:tc>
        <w:tc>
          <w:tcPr>
            <w:tcW w:w="102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87"/>
              </w:rPr>
              <w:t>Ps.3,375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Mexican Statutory Income Tax Rate to Consolidated Effective Income Tax Rate: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2007</w:t>
            </w:r>
          </w:p>
        </w:tc>
        <w:tc>
          <w:tcPr>
            <w:tcW w:w="80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76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Mexican statutory income tax rate</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28%</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Difference between book and tax inflationary effects</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1.7%</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Change in inventory tax deduction</w:t>
            </w:r>
          </w:p>
        </w:tc>
        <w:tc>
          <w:tcPr>
            <w:tcW w:w="13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Change in Mexican income tax rate</w:t>
            </w:r>
          </w:p>
        </w:tc>
        <w:tc>
          <w:tcPr>
            <w:tcW w:w="13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Non-taxable income</w:t>
            </w:r>
          </w:p>
        </w:tc>
        <w:tc>
          <w:tcPr>
            <w:tcW w:w="13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0.7%</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0"/>
        </w:trPr>
        <w:tc>
          <w:tcPr>
            <w:tcW w:w="8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802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29.3%</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31.8%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r>
      <w:tr>
        <w:trPr>
          <w:trHeight w:val="20"/>
        </w:trPr>
        <w:tc>
          <w:tcPr>
            <w:tcW w:w="8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Contingencies and Commitments.</w:t>
      </w:r>
    </w:p>
    <w:p>
      <w:pPr>
        <w:spacing w:after="0" w:line="90"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Recorded in the Balance Sheet:</w:t>
      </w:r>
    </w:p>
    <w:p>
      <w:pPr>
        <w:spacing w:after="0" w:line="96"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various loss contingencies, and reserves have been recorded in those cases where the Company believes an unfavorable resolution is probable. Most of these loss contingencies were recorded as a result of recent business acquisitions. The following table presents the nature and amount of the loss contingencies recorded as of December 31, 2007:</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w:t>
            </w:r>
          </w:p>
        </w:tc>
      </w:tr>
      <w:tr>
        <w:trPr>
          <w:trHeight w:val="210"/>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Ps.1,725</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Legal</w:t>
            </w:r>
          </w:p>
        </w:tc>
        <w:tc>
          <w:tcPr>
            <w:tcW w:w="6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22"/>
        </w:trPr>
        <w:tc>
          <w:tcPr>
            <w:tcW w:w="896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Ps.2,642</w:t>
            </w:r>
          </w:p>
        </w:tc>
      </w:tr>
      <w:tr>
        <w:trPr>
          <w:trHeight w:val="20"/>
        </w:trPr>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Unsettled Lawsuits:</w:t>
      </w:r>
    </w:p>
    <w:p>
      <w:pPr>
        <w:spacing w:after="0" w:line="96" w:lineRule="exact"/>
        <w:rPr>
          <w:rFonts w:ascii="Arial" w:cs="Arial" w:eastAsia="Arial" w:hAnsi="Arial"/>
          <w:sz w:val="18"/>
          <w:szCs w:val="18"/>
          <w:b w:val="1"/>
          <w:bCs w:val="1"/>
          <w:color w:val="auto"/>
        </w:rPr>
      </w:pPr>
    </w:p>
    <w:p>
      <w:pPr>
        <w:ind w:left="46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has entered into legal proceedings with its labor unions, tax authorities and other parties that primarily involve Coca-Cola FEMSA and FEMSA Cerveza. These proceedings have resulted in the ordinary course of business and are common to the industry in which the Company operates. The aggregate amount being claimed against the Company resulting from such proceedings as of December 31, 2007 is $311. Such contingencies were classified by legal counsel as less than probable but more than remote of being settled against the Company. However, the Company believes that the ultimate resolution of such legal proceedings will not have a material adverse effect on its consolidated financial position or result of operations.</w:t>
      </w:r>
    </w:p>
    <w:p>
      <w:pPr>
        <w:spacing w:after="0" w:line="34"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recent years in its Mexican, Costa Rican and Brazilian territories, Coca-Cola FEMSA and FEMSA Cerveza have been requested to present certain information regarding possible monopolistic practices. These requests are commonly generated in the ordinary course of business in the beer and soft drink industries where those subsidiaries operate.</w:t>
      </w:r>
    </w:p>
    <w:p>
      <w:pPr>
        <w:spacing w:after="0" w:line="59"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2001, a labor union and several individuals from the Republic of Colombia filed a lawsuit in the U.S. District Court for the Southern Division of Florida against certain Colombian subsidiaries and The Coca-Cola Company. In the complaint,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spacing w:after="0" w:line="298" w:lineRule="auto"/>
        <w:rPr>
          <w:sz w:val="20"/>
          <w:szCs w:val="20"/>
          <w:color w:val="auto"/>
        </w:rPr>
      </w:pPr>
      <w:r>
        <w:rPr>
          <w:rFonts w:ascii="Arial" w:cs="Arial" w:eastAsia="Arial" w:hAnsi="Arial"/>
          <w:sz w:val="16"/>
          <w:szCs w:val="16"/>
          <w:color w:val="auto"/>
        </w:rPr>
        <w:t>the plaintiffs alleged that the subsidiaries engaged in wrongful acts against the labor union and its members in Colombia and are seeking damages of $500. The Company has filed a motion to dismiss the complaint. On September 29, 2006, the Court entered a consolidated omnibus order dismissing the case for lack of subject matter jurisdiction and conclusively ruled that the Court did not have subject matter jurisdiction over any of the labor union and its member actions, and thus all of the claims against the Company were effectively dismissed. However, the plaintiffs have appealed this ruling.</w:t>
      </w:r>
    </w:p>
    <w:p>
      <w:pPr>
        <w:spacing w:after="0" w:line="228"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Collateralized Contingencies:</w:t>
      </w:r>
    </w:p>
    <w:p>
      <w:pPr>
        <w:spacing w:after="0" w:line="96"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is customary in Brazil, the Company has been requested by the tax authorities to collateralize tax contingencies currently in litigation amounting to Ps. 1,887 by pledging fixed assets and entering into available lines of credit which cover such contingencies.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96"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2007, the Company has capital and operating lease commitments for the leasing of production machinery and equipment, distribution equipment, computer equipment and land for FEMSA Comercio’s operations.</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contractual maturities of the lease commitments by currency, expressed in Mexican pesos as of December 31, 2007,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Mexican</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U.S.</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85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7"/>
              </w:rPr>
              <w:t>Pesos</w:t>
            </w:r>
          </w:p>
        </w:tc>
        <w:tc>
          <w:tcPr>
            <w:tcW w:w="5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Dollars</w:t>
            </w:r>
          </w:p>
        </w:tc>
        <w:tc>
          <w:tcPr>
            <w:tcW w:w="5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1"/>
              </w:rPr>
              <w:t>Ps. 1,309</w:t>
            </w:r>
          </w:p>
        </w:tc>
        <w:tc>
          <w:tcPr>
            <w:tcW w:w="11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3"/>
              </w:rPr>
              <w:t>Ps.  720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Ps. 76</w:t>
            </w:r>
          </w:p>
        </w:tc>
        <w:tc>
          <w:tcPr>
            <w:tcW w:w="2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2009</w:t>
            </w:r>
          </w:p>
        </w:tc>
        <w:tc>
          <w:tcPr>
            <w:tcW w:w="700" w:type="dxa"/>
            <w:vAlign w:val="bottom"/>
          </w:tcPr>
          <w:p>
            <w:pPr>
              <w:jc w:val="right"/>
              <w:spacing w:after="0"/>
              <w:rPr>
                <w:sz w:val="20"/>
                <w:szCs w:val="20"/>
                <w:color w:val="auto"/>
              </w:rPr>
            </w:pPr>
            <w:r>
              <w:rPr>
                <w:rFonts w:ascii="Arial" w:cs="Arial" w:eastAsia="Arial" w:hAnsi="Arial"/>
                <w:sz w:val="18"/>
                <w:szCs w:val="18"/>
                <w:color w:val="auto"/>
              </w:rPr>
              <w:t>1,246</w:t>
            </w:r>
          </w:p>
        </w:tc>
        <w:tc>
          <w:tcPr>
            <w:tcW w:w="5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451</w:t>
            </w: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2011</w:t>
            </w:r>
          </w:p>
        </w:tc>
        <w:tc>
          <w:tcPr>
            <w:tcW w:w="700" w:type="dxa"/>
            <w:vAlign w:val="bottom"/>
          </w:tcPr>
          <w:p>
            <w:pPr>
              <w:jc w:val="right"/>
              <w:spacing w:after="0"/>
              <w:rPr>
                <w:sz w:val="20"/>
                <w:szCs w:val="20"/>
                <w:color w:val="auto"/>
              </w:rPr>
            </w:pPr>
            <w:r>
              <w:rPr>
                <w:rFonts w:ascii="Arial" w:cs="Arial" w:eastAsia="Arial" w:hAnsi="Arial"/>
                <w:sz w:val="18"/>
                <w:szCs w:val="18"/>
                <w:color w:val="auto"/>
              </w:rPr>
              <w:t>1,144</w:t>
            </w:r>
          </w:p>
        </w:tc>
        <w:tc>
          <w:tcPr>
            <w:tcW w:w="5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2012 and thereafter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Ps.12,595</w:t>
            </w: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Ps.1,242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Ps.262</w:t>
            </w:r>
          </w:p>
        </w:tc>
      </w:tr>
      <w:tr>
        <w:trPr>
          <w:trHeight w:val="20"/>
        </w:trPr>
        <w:tc>
          <w:tcPr>
            <w:tcW w:w="8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Rental expense charged to operations amounted to approximately Ps. 1,713, Ps. 1,543 and Ps. 1,707 for the years ended December 31, 2007, 2006 and 2005,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Note 25. Information by Segment.</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3400" w:type="dxa"/>
            <w:vAlign w:val="bottom"/>
          </w:tcPr>
          <w:p>
            <w:pPr>
              <w:ind w:left="60"/>
              <w:spacing w:after="0"/>
              <w:rPr>
                <w:sz w:val="20"/>
                <w:szCs w:val="20"/>
                <w:color w:val="auto"/>
              </w:rPr>
            </w:pPr>
            <w:r>
              <w:rPr>
                <w:rFonts w:ascii="Arial" w:cs="Arial" w:eastAsia="Arial" w:hAnsi="Arial"/>
                <w:sz w:val="18"/>
                <w:szCs w:val="18"/>
                <w:b w:val="1"/>
                <w:bCs w:val="1"/>
                <w:color w:val="auto"/>
              </w:rPr>
              <w:t>By Business Unit:</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Coca-Cola</w:t>
            </w:r>
          </w:p>
        </w:tc>
        <w:tc>
          <w:tcPr>
            <w:tcW w:w="36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FEMSA</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FEMSA</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Consolidation</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FEMSA</w:t>
            </w:r>
          </w:p>
        </w:tc>
        <w:tc>
          <w:tcPr>
            <w:tcW w:w="3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Cerveza</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Comercio</w:t>
            </w: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2007</w:t>
            </w: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Ps.69,251</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Ps.39,566</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Ps.42,103</w:t>
            </w: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8,124</w:t>
            </w: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Ps. (11,488)</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84"/>
              </w:rPr>
              <w:t>Ps. 147,556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4,256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6,352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(11,488)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11,447</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5,404</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2,315</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403</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113</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1,786</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399</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39</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2"/>
                <w:szCs w:val="22"/>
                <w:color w:val="auto"/>
                <w:vertAlign w:val="superscript"/>
              </w:rPr>
              <w:t>(2) (3)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3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449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613</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342</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38</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913</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(1,137)</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377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3,682</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5,373</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2,112</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69,720</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50,562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9,057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3"/>
              </w:rPr>
              <w:t>12,686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(9,715)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132,310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87,178</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65,539</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14,284</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3"/>
              </w:rPr>
              <w:t>18,743</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(19,949)</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2006</w:t>
            </w: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960" w:type="dxa"/>
            <w:vAlign w:val="bottom"/>
            <w:gridSpan w:val="2"/>
          </w:tcPr>
          <w:p>
            <w:pPr>
              <w:jc w:val="center"/>
              <w:ind w:left="1152"/>
              <w:spacing w:after="0"/>
              <w:rPr>
                <w:sz w:val="20"/>
                <w:szCs w:val="20"/>
                <w:color w:val="auto"/>
              </w:rPr>
            </w:pPr>
            <w:r>
              <w:rPr>
                <w:rFonts w:ascii="Arial" w:cs="Arial" w:eastAsia="Arial" w:hAnsi="Arial"/>
                <w:sz w:val="18"/>
                <w:szCs w:val="18"/>
                <w:color w:val="auto"/>
                <w:w w:val="83"/>
              </w:rPr>
              <w:t>Ps. 64,046</w:t>
            </w:r>
          </w:p>
        </w:tc>
        <w:tc>
          <w:tcPr>
            <w:tcW w:w="3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Ps. 37,919</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Ps. 36,835</w:t>
            </w: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7,966</w:t>
            </w:r>
          </w:p>
        </w:tc>
        <w:tc>
          <w:tcPr>
            <w:tcW w:w="1060" w:type="dxa"/>
            <w:vAlign w:val="bottom"/>
            <w:gridSpan w:val="2"/>
          </w:tcPr>
          <w:p>
            <w:pPr>
              <w:spacing w:after="0"/>
              <w:rPr>
                <w:sz w:val="20"/>
                <w:szCs w:val="20"/>
                <w:color w:val="auto"/>
              </w:rPr>
            </w:pPr>
            <w:r>
              <w:rPr>
                <w:rFonts w:ascii="Arial" w:cs="Arial" w:eastAsia="Arial" w:hAnsi="Arial"/>
                <w:sz w:val="18"/>
                <w:szCs w:val="18"/>
                <w:color w:val="auto"/>
              </w:rPr>
              <w:t>Ps. (10,646)</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Ps. 136,120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3,911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(10,646)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10,251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6,121</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1,664</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431</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2"/>
                <w:szCs w:val="22"/>
                <w:color w:val="auto"/>
                <w:vertAlign w:val="superscript"/>
              </w:rPr>
              <w:t>(2) (3)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654</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2,863</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4,419</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197</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67,955</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7,912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80,464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62,228</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12,311</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10,781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(11,268)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2005</w:t>
            </w:r>
          </w:p>
        </w:tc>
        <w:tc>
          <w:tcPr>
            <w:tcW w:w="3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960" w:type="dxa"/>
            <w:vAlign w:val="bottom"/>
            <w:gridSpan w:val="2"/>
          </w:tcPr>
          <w:p>
            <w:pPr>
              <w:jc w:val="center"/>
              <w:ind w:left="1152"/>
              <w:spacing w:after="0"/>
              <w:rPr>
                <w:sz w:val="20"/>
                <w:szCs w:val="20"/>
                <w:color w:val="auto"/>
              </w:rPr>
            </w:pPr>
            <w:r>
              <w:rPr>
                <w:rFonts w:ascii="Arial" w:cs="Arial" w:eastAsia="Arial" w:hAnsi="Arial"/>
                <w:sz w:val="18"/>
                <w:szCs w:val="18"/>
                <w:color w:val="auto"/>
                <w:w w:val="83"/>
              </w:rPr>
              <w:t>Ps. 59,642</w:t>
            </w:r>
          </w:p>
        </w:tc>
        <w:tc>
          <w:tcPr>
            <w:tcW w:w="3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Ps. 29,768</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Ps. 31,021</w:t>
            </w: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6,485</w:t>
            </w:r>
          </w:p>
        </w:tc>
        <w:tc>
          <w:tcPr>
            <w:tcW w:w="1060" w:type="dxa"/>
            <w:vAlign w:val="bottom"/>
            <w:gridSpan w:val="2"/>
          </w:tcPr>
          <w:p>
            <w:pPr>
              <w:spacing w:after="0"/>
              <w:rPr>
                <w:sz w:val="20"/>
                <w:szCs w:val="20"/>
                <w:color w:val="auto"/>
              </w:rPr>
            </w:pPr>
            <w:r>
              <w:rPr>
                <w:rFonts w:ascii="Arial" w:cs="Arial" w:eastAsia="Arial" w:hAnsi="Arial"/>
                <w:sz w:val="18"/>
                <w:szCs w:val="18"/>
                <w:color w:val="auto"/>
              </w:rPr>
              <w:t>Ps.  (7,454)</w:t>
            </w:r>
          </w:p>
        </w:tc>
        <w:tc>
          <w:tcPr>
            <w:tcW w:w="100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Ps. 119,462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4,570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9,973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5,800</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1,360</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306</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1,881</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2"/>
                <w:szCs w:val="22"/>
                <w:color w:val="auto"/>
                <w:vertAlign w:val="superscript"/>
              </w:rPr>
              <w:t>(2) (3)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542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3,197</w:t>
            </w:r>
          </w:p>
        </w:tc>
        <w:tc>
          <w:tcPr>
            <w:tcW w:w="3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1,528</w:t>
            </w:r>
          </w:p>
        </w:tc>
        <w:tc>
          <w:tcPr>
            <w:tcW w:w="24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267</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breakage of bottles.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Excludes the non-cash charges related to current assets and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the cost for the year related to labor liabilities (see Note 15 d) and participation in associated companies.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By Geographic Area: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Total</w:t>
            </w: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Long-Lived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2007</w:t>
            </w: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Revenue</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Expenditures</w:t>
            </w:r>
          </w:p>
        </w:tc>
        <w:tc>
          <w:tcPr>
            <w:tcW w:w="220" w:type="dxa"/>
            <w:vAlign w:val="bottom"/>
          </w:tcPr>
          <w:p>
            <w:pPr>
              <w:spacing w:after="0"/>
              <w:rPr>
                <w:sz w:val="14"/>
                <w:szCs w:val="14"/>
                <w:color w:val="auto"/>
              </w:rPr>
            </w:pPr>
          </w:p>
        </w:tc>
        <w:tc>
          <w:tcPr>
            <w:tcW w:w="580" w:type="dxa"/>
            <w:vAlign w:val="bottom"/>
          </w:tcPr>
          <w:p>
            <w:pPr>
              <w:jc w:val="center"/>
              <w:ind w:right="135"/>
              <w:spacing w:after="0"/>
              <w:rPr>
                <w:sz w:val="20"/>
                <w:szCs w:val="20"/>
                <w:color w:val="auto"/>
              </w:rPr>
            </w:pPr>
            <w:r>
              <w:rPr>
                <w:rFonts w:ascii="Arial" w:cs="Arial" w:eastAsia="Arial" w:hAnsi="Arial"/>
                <w:sz w:val="14"/>
                <w:szCs w:val="14"/>
                <w:b w:val="1"/>
                <w:bCs w:val="1"/>
                <w:color w:val="auto"/>
                <w:w w:val="78"/>
              </w:rPr>
              <w:t>Assets</w:t>
            </w:r>
          </w:p>
        </w:tc>
        <w:tc>
          <w:tcPr>
            <w:tcW w:w="4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Total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32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82"/>
              </w:rPr>
              <w:t>Ps. 106,136</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9,137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98,302</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4"/>
              </w:rPr>
              <w:t>Ps. 120,965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4,850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6,058</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7,051</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9,792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4,155</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6,364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16,093</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4,034</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1,503</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(400)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(3,951)</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Ps. 147,556</w:t>
            </w:r>
          </w:p>
        </w:tc>
        <w:tc>
          <w:tcPr>
            <w:tcW w:w="5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6"/>
              </w:rPr>
              <w:t>Ps.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11,257</w:t>
            </w:r>
          </w:p>
        </w:tc>
        <w:tc>
          <w:tcPr>
            <w:tcW w:w="5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2"/>
              </w:rPr>
              <w:t>Ps. 132,310</w:t>
            </w: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Ps. 165,795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Total</w:t>
            </w: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Long-Lived</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2006</w:t>
            </w: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Revenue</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Expenditures</w:t>
            </w:r>
          </w:p>
        </w:tc>
        <w:tc>
          <w:tcPr>
            <w:tcW w:w="220" w:type="dxa"/>
            <w:vAlign w:val="bottom"/>
          </w:tcPr>
          <w:p>
            <w:pPr>
              <w:spacing w:after="0"/>
              <w:rPr>
                <w:sz w:val="14"/>
                <w:szCs w:val="14"/>
                <w:color w:val="auto"/>
              </w:rPr>
            </w:pPr>
          </w:p>
        </w:tc>
        <w:tc>
          <w:tcPr>
            <w:tcW w:w="580" w:type="dxa"/>
            <w:vAlign w:val="bottom"/>
          </w:tcPr>
          <w:p>
            <w:pPr>
              <w:jc w:val="center"/>
              <w:ind w:right="135"/>
              <w:spacing w:after="0"/>
              <w:rPr>
                <w:sz w:val="20"/>
                <w:szCs w:val="20"/>
                <w:color w:val="auto"/>
              </w:rPr>
            </w:pPr>
            <w:r>
              <w:rPr>
                <w:rFonts w:ascii="Arial" w:cs="Arial" w:eastAsia="Arial" w:hAnsi="Arial"/>
                <w:sz w:val="14"/>
                <w:szCs w:val="14"/>
                <w:b w:val="1"/>
                <w:bCs w:val="1"/>
                <w:color w:val="auto"/>
                <w:w w:val="78"/>
              </w:rPr>
              <w:t>Assets</w:t>
            </w:r>
          </w:p>
        </w:tc>
        <w:tc>
          <w:tcPr>
            <w:tcW w:w="4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Total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32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87"/>
              </w:rPr>
              <w:t>Ps.  99,310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99"/>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95,559</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5"/>
              </w:rPr>
              <w:t>Ps. 113,570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4,592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7,997</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3,458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gridSpan w:val="3"/>
            <w:vMerge w:val="continue"/>
          </w:tcPr>
          <w:p>
            <w:pPr>
              <w:spacing w:after="0"/>
              <w:rPr>
                <w:sz w:val="19"/>
                <w:szCs w:val="19"/>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8"/>
                <w:szCs w:val="18"/>
                <w:color w:val="auto"/>
                <w:w w:val="83"/>
              </w:rPr>
              <w:t>Ps. 136,120</w:t>
            </w:r>
          </w:p>
        </w:tc>
        <w:tc>
          <w:tcPr>
            <w:tcW w:w="280" w:type="dxa"/>
            <w:vAlign w:val="bottom"/>
          </w:tcPr>
          <w:p>
            <w:pPr>
              <w:spacing w:after="0"/>
              <w:rPr>
                <w:sz w:val="20"/>
                <w:szCs w:val="20"/>
                <w:color w:val="auto"/>
              </w:rPr>
            </w:pPr>
            <w:r>
              <w:rPr>
                <w:rFonts w:ascii="Arial" w:cs="Arial" w:eastAsia="Arial" w:hAnsi="Arial"/>
                <w:sz w:val="18"/>
                <w:szCs w:val="18"/>
                <w:color w:val="auto"/>
                <w:w w:val="99"/>
              </w:rPr>
              <w:t>Ps.</w:t>
            </w:r>
          </w:p>
        </w:tc>
        <w:tc>
          <w:tcPr>
            <w:tcW w:w="520" w:type="dxa"/>
            <w:vAlign w:val="bottom"/>
          </w:tcPr>
          <w:p>
            <w:pPr>
              <w:jc w:val="right"/>
              <w:spacing w:after="0"/>
              <w:rPr>
                <w:sz w:val="20"/>
                <w:szCs w:val="20"/>
                <w:color w:val="auto"/>
              </w:rPr>
            </w:pPr>
            <w:r>
              <w:rPr>
                <w:rFonts w:ascii="Arial" w:cs="Arial" w:eastAsia="Arial" w:hAnsi="Arial"/>
                <w:sz w:val="18"/>
                <w:szCs w:val="18"/>
                <w:color w:val="auto"/>
              </w:rPr>
              <w:t>9,422</w:t>
            </w:r>
          </w:p>
        </w:tc>
        <w:tc>
          <w:tcPr>
            <w:tcW w:w="52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3"/>
              </w:rPr>
              <w:t>Ps. 126,687</w:t>
            </w:r>
          </w:p>
        </w:tc>
        <w:tc>
          <w:tcPr>
            <w:tcW w:w="48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Ps. 154,516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Total</w:t>
            </w: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2005</w:t>
            </w: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Revenue</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Expenditures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132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87"/>
              </w:rPr>
              <w:t>Ps.  90,561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99"/>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4,022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7,188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517</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3,256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gridSpan w:val="3"/>
            <w:vMerge w:val="continue"/>
          </w:tcPr>
          <w:p>
            <w:pPr>
              <w:spacing w:after="0"/>
              <w:rPr>
                <w:sz w:val="19"/>
                <w:szCs w:val="19"/>
                <w:color w:val="auto"/>
              </w:rPr>
            </w:pPr>
          </w:p>
        </w:tc>
        <w:tc>
          <w:tcPr>
            <w:tcW w:w="1320" w:type="dxa"/>
            <w:vAlign w:val="bottom"/>
            <w:gridSpan w:val="3"/>
          </w:tcPr>
          <w:p>
            <w:pPr>
              <w:jc w:val="center"/>
              <w:ind w:right="520"/>
              <w:spacing w:after="0"/>
              <w:rPr>
                <w:sz w:val="20"/>
                <w:szCs w:val="20"/>
                <w:color w:val="auto"/>
              </w:rPr>
            </w:pPr>
            <w:r>
              <w:rPr>
                <w:rFonts w:ascii="Arial" w:cs="Arial" w:eastAsia="Arial" w:hAnsi="Arial"/>
                <w:sz w:val="18"/>
                <w:szCs w:val="18"/>
                <w:color w:val="auto"/>
                <w:w w:val="83"/>
              </w:rPr>
              <w:t>Ps. 119,462</w:t>
            </w:r>
          </w:p>
        </w:tc>
        <w:tc>
          <w:tcPr>
            <w:tcW w:w="280" w:type="dxa"/>
            <w:vAlign w:val="bottom"/>
          </w:tcPr>
          <w:p>
            <w:pPr>
              <w:spacing w:after="0"/>
              <w:rPr>
                <w:sz w:val="20"/>
                <w:szCs w:val="20"/>
                <w:color w:val="auto"/>
              </w:rPr>
            </w:pPr>
            <w:r>
              <w:rPr>
                <w:rFonts w:ascii="Arial" w:cs="Arial" w:eastAsia="Arial" w:hAnsi="Arial"/>
                <w:sz w:val="18"/>
                <w:szCs w:val="18"/>
                <w:color w:val="auto"/>
                <w:w w:val="99"/>
              </w:rPr>
              <w:t>Ps.</w:t>
            </w:r>
          </w:p>
        </w:tc>
        <w:tc>
          <w:tcPr>
            <w:tcW w:w="520" w:type="dxa"/>
            <w:vAlign w:val="bottom"/>
          </w:tcPr>
          <w:p>
            <w:pPr>
              <w:jc w:val="right"/>
              <w:spacing w:after="0"/>
              <w:rPr>
                <w:sz w:val="20"/>
                <w:szCs w:val="20"/>
                <w:color w:val="auto"/>
              </w:rPr>
            </w:pPr>
            <w:r>
              <w:rPr>
                <w:rFonts w:ascii="Arial" w:cs="Arial" w:eastAsia="Arial" w:hAnsi="Arial"/>
                <w:sz w:val="18"/>
                <w:szCs w:val="18"/>
                <w:color w:val="auto"/>
              </w:rPr>
              <w:t>7,508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Includes Guatemala, Nicaragua, Costa Rica and Panama.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Differences Between Mexican FRS and U.S. GAAP.</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discussed in Note 2, the consolidated financial statements of the Company are prepared in accordance with Mexican FRS, which differs in certain significant respects from U.S. GAAP. A reconciliation of the reported majority net income, majority stockholders’ equity and majority comprehensive income to U.S. GAAP is presented in Note 27. It should be noted that this reconciliation to U.S. GAAP does not include the reversal of the restatement of the financial statements as required by NIF Bulletin B-10, “Recognition of the Effects of Inflation in the Financial Information,” of Mexican FRS.</w:t>
      </w:r>
    </w:p>
    <w:p>
      <w:pPr>
        <w:spacing w:after="0" w:line="11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application of this bulletin represents a comprehensive measure of the effects of price-level changes in the Mexican economy and, as such, is considered a more meaningful presentation than historical cost-based financial reporting in Mexican pesos for both Mexican and U.S. accounting purposes.</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principal differences between Mexican FRS and U.S. GAAP included in the reconciliation that affect the consolidated financial statements of the Company are described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Coca-Cola FEMSA:</w:t>
      </w:r>
    </w:p>
    <w:p>
      <w:pPr>
        <w:spacing w:after="0" w:line="96" w:lineRule="exact"/>
        <w:rPr>
          <w:rFonts w:ascii="Arial" w:cs="Arial" w:eastAsia="Arial" w:hAnsi="Arial"/>
          <w:sz w:val="18"/>
          <w:szCs w:val="18"/>
          <w:b w:val="1"/>
          <w:bCs w:val="1"/>
          <w:color w:val="auto"/>
        </w:rPr>
      </w:pPr>
    </w:p>
    <w:p>
      <w:pPr>
        <w:ind w:left="46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Under Mexican FRS, the Company consolidates Coca-Cola FEMSA since it owns a majority of the outstanding voting capital stock and exercises control over the operations of Coca-Cola FEMSA in the ordinary course of business in accordance with the requirements of Mexican NIF Bulletin B-8 “Consolidated and Combined Financial Statements and Valuation of Long-Term Investments in Shares.” Pursuant to NIF Bulletin B-8, Coca-Cola FEMSA meets the criteria of a subsidiary for consolidation as FEMSA holds more than 50% of Coca-Cola FEMSA’s outstanding voting stock and has not yielded control to a minority shareholder. NIF Bulletin B-8 establishes that control has been yielded when a minority shareholder obtains:</w:t>
      </w:r>
    </w:p>
    <w:p>
      <w:pPr>
        <w:spacing w:after="0" w:line="34" w:lineRule="exact"/>
        <w:rPr>
          <w:rFonts w:ascii="Arial" w:cs="Arial" w:eastAsia="Arial" w:hAnsi="Arial"/>
          <w:sz w:val="18"/>
          <w:szCs w:val="18"/>
          <w:b w:val="1"/>
          <w:bCs w:val="1"/>
          <w:color w:val="auto"/>
        </w:rPr>
      </w:pPr>
    </w:p>
    <w:p>
      <w:pPr>
        <w:ind w:left="900" w:hanging="446"/>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Control over more than 50% of the voting rights through a formal agreement with other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power derived from by-laws or formal agreement by shareholders to govern the operating and financial policies of a company;</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power to appoint or remove a majority of the Board of Directors or any organization that governs the operating and financial policies of the company;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power to decide the majority of the votes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minority shareholder of Coca-Cola FEMSA has obtained any of the rights described above.</w:t>
      </w:r>
    </w:p>
    <w:p>
      <w:pPr>
        <w:spacing w:after="0" w:line="90"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The shareholder agreement grants The Coca-Cola Company substantive participating rights. The affirmative vote of two Directors appointed by The Coca-Cola Company is, with limited exceptions, required for matters considered by the Board of Directors, including the designation of the Chief Executive Officer and the Chief Financial Officer, the annual business plan, capital investment plan and asset disposals, mergers, acquisitions or sales of any line of business. Under Emerging Issues Task Force (“EITF”) 96-16, “Investor’s Accounting for an Investee When the Investor Owns a Majority of the Voting Stock but the Minority Shareholder or Shareholders Have Certain Approval or Veto Rights,” such approval and veto rights held by The Coca-Cola Company qualify as substantive participating rights and therefore do not allow FEMSA to consolidate Coca-Cola FEMSA in its financial statements for U.S. GAAP purposes. Therefore, FEMSA’s investment in Coca-Cola FEMSA is recorded by applying the equity method in FEMSA’s consolidated financial statements under U.S. GAAP.</w:t>
      </w:r>
    </w:p>
    <w:p>
      <w:pPr>
        <w:spacing w:after="0" w:line="37"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Summarized consolidated balance sheets and income statements of Coca-Cola FEMSA and subsidiaries under U.S. GAAP as of December 31, 2007 and 2006 and for the years ended December 31, 2007, 2006 and 2005 are presented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Consolidated Balance Sheets</w:t>
            </w:r>
          </w:p>
        </w:tc>
        <w:tc>
          <w:tcPr>
            <w:tcW w:w="2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5"/>
              </w:rPr>
              <w:t>Ps.18,065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Ps.11,942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3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22,968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21,242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47,550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45,370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4"/>
          </w:tcPr>
          <w:p>
            <w:pPr>
              <w:ind w:left="440"/>
              <w:spacing w:after="0"/>
              <w:rPr>
                <w:sz w:val="20"/>
                <w:szCs w:val="20"/>
                <w:color w:val="auto"/>
              </w:rPr>
            </w:pPr>
            <w:r>
              <w:rPr>
                <w:rFonts w:ascii="Arial" w:cs="Arial" w:eastAsia="Arial" w:hAnsi="Arial"/>
                <w:sz w:val="18"/>
                <w:szCs w:val="18"/>
                <w:color w:val="auto"/>
              </w:rPr>
              <w:t>Total assets</w:t>
            </w:r>
          </w:p>
        </w:tc>
        <w:tc>
          <w:tcPr>
            <w:tcW w:w="3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Ps.88,583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460"/>
              <w:spacing w:after="0"/>
              <w:rPr>
                <w:sz w:val="20"/>
                <w:szCs w:val="20"/>
                <w:color w:val="auto"/>
              </w:rPr>
            </w:pPr>
            <w:r>
              <w:rPr>
                <w:rFonts w:ascii="Arial" w:cs="Arial" w:eastAsia="Arial" w:hAnsi="Arial"/>
                <w:sz w:val="18"/>
                <w:szCs w:val="18"/>
                <w:color w:val="auto"/>
                <w:w w:val="83"/>
              </w:rPr>
              <w:t>Ps.78,554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5"/>
              </w:rPr>
              <w:t>Ps.16,245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Ps.12,618</w:t>
            </w:r>
          </w:p>
        </w:tc>
        <w:tc>
          <w:tcPr>
            <w:tcW w:w="4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Long-term liabilities</w:t>
            </w:r>
          </w:p>
        </w:tc>
        <w:tc>
          <w:tcPr>
            <w:tcW w:w="3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21,213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22,906</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37,458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Minority interest in consolidated subsidiaries</w:t>
            </w:r>
          </w:p>
        </w:tc>
        <w:tc>
          <w:tcPr>
            <w:tcW w:w="3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49,472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41,770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4"/>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3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Ps.88,583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460"/>
              <w:spacing w:after="0"/>
              <w:rPr>
                <w:sz w:val="20"/>
                <w:szCs w:val="20"/>
                <w:color w:val="auto"/>
              </w:rPr>
            </w:pPr>
            <w:r>
              <w:rPr>
                <w:rFonts w:ascii="Arial" w:cs="Arial" w:eastAsia="Arial" w:hAnsi="Arial"/>
                <w:sz w:val="18"/>
                <w:szCs w:val="18"/>
                <w:color w:val="auto"/>
                <w:w w:val="83"/>
              </w:rPr>
              <w:t>Ps.78,554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700" w:type="dxa"/>
            <w:vAlign w:val="bottom"/>
            <w:gridSpan w:val="5"/>
          </w:tcPr>
          <w:p>
            <w:pPr>
              <w:spacing w:after="0"/>
              <w:rPr>
                <w:sz w:val="20"/>
                <w:szCs w:val="20"/>
                <w:color w:val="auto"/>
              </w:rPr>
            </w:pPr>
            <w:r>
              <w:rPr>
                <w:rFonts w:ascii="Arial" w:cs="Arial" w:eastAsia="Arial" w:hAnsi="Arial"/>
                <w:sz w:val="14"/>
                <w:szCs w:val="14"/>
                <w:b w:val="1"/>
                <w:bCs w:val="1"/>
                <w:color w:val="auto"/>
              </w:rPr>
              <w:t>Consolidated Income Statements</w:t>
            </w:r>
          </w:p>
        </w:tc>
        <w:tc>
          <w:tcPr>
            <w:tcW w:w="42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700" w:type="dxa"/>
            <w:vAlign w:val="bottom"/>
            <w:gridSpan w:val="2"/>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Ps.69,131</w:t>
            </w:r>
          </w:p>
        </w:tc>
        <w:tc>
          <w:tcPr>
            <w:tcW w:w="50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Ps.59,940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Ps.54,196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Income from operations</w:t>
            </w:r>
          </w:p>
        </w:tc>
        <w:tc>
          <w:tcPr>
            <w:tcW w:w="4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10,741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10,225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Income taxes</w:t>
            </w:r>
          </w:p>
        </w:tc>
        <w:tc>
          <w:tcPr>
            <w:tcW w:w="42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3,271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35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50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3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6,765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1,768</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4700" w:type="dxa"/>
            <w:vAlign w:val="bottom"/>
            <w:gridSpan w:val="5"/>
          </w:tcPr>
          <w:p>
            <w:pPr>
              <w:spacing w:after="0"/>
              <w:rPr>
                <w:sz w:val="20"/>
                <w:szCs w:val="20"/>
                <w:color w:val="auto"/>
              </w:rPr>
            </w:pPr>
            <w:r>
              <w:rPr>
                <w:rFonts w:ascii="Arial" w:cs="Arial" w:eastAsia="Arial" w:hAnsi="Arial"/>
                <w:sz w:val="18"/>
                <w:szCs w:val="18"/>
                <w:color w:val="auto"/>
              </w:rPr>
              <w:t>Comprehensive income</w:t>
            </w:r>
          </w:p>
        </w:tc>
        <w:tc>
          <w:tcPr>
            <w:tcW w:w="3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Ps. 8,533</w:t>
            </w:r>
          </w:p>
        </w:tc>
        <w:tc>
          <w:tcPr>
            <w:tcW w:w="5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Ps. 6,127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Ps. 4,473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40" w:type="dxa"/>
            <w:vAlign w:val="bottom"/>
            <w:gridSpan w:val="2"/>
          </w:tcPr>
          <w:p>
            <w:pPr>
              <w:jc w:val="right"/>
              <w:ind w:right="2972"/>
              <w:spacing w:after="0"/>
              <w:rPr>
                <w:sz w:val="20"/>
                <w:szCs w:val="20"/>
                <w:color w:val="auto"/>
              </w:rPr>
            </w:pPr>
            <w:r>
              <w:rPr>
                <w:rFonts w:ascii="Arial" w:cs="Arial" w:eastAsia="Arial" w:hAnsi="Arial"/>
                <w:sz w:val="18"/>
                <w:szCs w:val="18"/>
                <w:color w:val="auto"/>
              </w:rPr>
              <w:t>F-41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Prior Year Financial Statements:</w:t>
      </w:r>
    </w:p>
    <w:p>
      <w:pPr>
        <w:spacing w:after="0" w:line="96" w:lineRule="exact"/>
        <w:rPr>
          <w:rFonts w:ascii="Arial" w:cs="Arial" w:eastAsia="Arial" w:hAnsi="Arial"/>
          <w:sz w:val="18"/>
          <w:szCs w:val="18"/>
          <w:b w:val="1"/>
          <w:bCs w:val="1"/>
          <w:color w:val="auto"/>
        </w:rPr>
      </w:pPr>
    </w:p>
    <w:p>
      <w:pPr>
        <w:ind w:left="46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explained in Note 4 a), in accordance with Mexican FRS, the financial statements for Mexican subsidiaries for prior years were restated using inflation factors and for foreign subsidiaries and affiliated companies for prior years was restated using the inflation rate of the country in which the foreign subsidiary or affiliated company is located, then translated to Mexican pesos at the year-end exchange rate.</w:t>
      </w:r>
    </w:p>
    <w:p>
      <w:pPr>
        <w:spacing w:after="0" w:line="25" w:lineRule="exact"/>
        <w:rPr>
          <w:rFonts w:ascii="Arial" w:cs="Arial" w:eastAsia="Arial" w:hAnsi="Arial"/>
          <w:sz w:val="18"/>
          <w:szCs w:val="18"/>
          <w:b w:val="1"/>
          <w:bCs w:val="1"/>
          <w:color w:val="auto"/>
        </w:rPr>
      </w:pPr>
    </w:p>
    <w:p>
      <w:pPr>
        <w:ind w:left="460" w:righ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U.S. GAAP, the Company applies the regulations of the Securities and Exchange Commission of the United States of America (“SEC”), which require that prior year financial statements be restated in constant units of the reporting currency, in this case the Mexican peso, which requires the restatement of prior year amounts using Mexican inflation factors.</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Additionally, all other U.S. GAAP adjustments for prior years have been restated based upon this methodology.</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Differences: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Certain items require a different classification in the balance sheet or income statement under U.S. GAAP. These include:</w:t>
      </w:r>
    </w:p>
    <w:p>
      <w:pPr>
        <w:spacing w:after="0" w:line="90" w:lineRule="exact"/>
        <w:rPr>
          <w:rFonts w:ascii="Arial" w:cs="Arial" w:eastAsia="Arial" w:hAnsi="Arial"/>
          <w:sz w:val="18"/>
          <w:szCs w:val="18"/>
          <w:b w:val="1"/>
          <w:bCs w:val="1"/>
          <w:color w:val="auto"/>
        </w:rPr>
      </w:pPr>
    </w:p>
    <w:p>
      <w:pPr>
        <w:ind w:left="900" w:right="460" w:hanging="446"/>
        <w:spacing w:after="0" w:line="268"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 explained in Note 4 c), under Mexican FRS, advances to suppliers are recorded as inventories. Under U.S. GAAP advances to suppliers are classified as prepaid expenses;</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Impairment of goodwill and other long-lived assets, the gains or losses on the disposition of fixed assets, all severance indemnity charges and employee profit sharing are included in operating expenses under U.S. GAAP; and</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Under Mexican FRS, deferred taxes are classified as non-current, while under U.S. GAAP they are based on the classification of the related asset or liability or their estimated reversal date when not associated with an asset or liability.</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Promotional Expenses:</w:t>
      </w:r>
    </w:p>
    <w:p>
      <w:pPr>
        <w:spacing w:after="0" w:line="96" w:lineRule="exact"/>
        <w:rPr>
          <w:rFonts w:ascii="Arial" w:cs="Arial" w:eastAsia="Arial" w:hAnsi="Arial"/>
          <w:sz w:val="18"/>
          <w:szCs w:val="18"/>
          <w:b w:val="1"/>
          <w:bCs w:val="1"/>
          <w:color w:val="auto"/>
        </w:rPr>
      </w:pPr>
    </w:p>
    <w:p>
      <w:pPr>
        <w:ind w:left="460" w:right="2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explained in Note 4 d), for Mexican FRS purposes, the promotional costs related to the launching of new products or presentations are recorded as prepaid expenses. For U.S. GAAP purposes, such promotional costs are expensed as incurred. As of December 31, 2007, 2006 and 2005, this difference was reconciled by Coca-Cola FEMSA and its impact in FEMSA is included in the participation of Coca-Cola FEMSA. No other consolidated entity has deferred promotional expenses.</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Start-Up Expenses:</w:t>
      </w:r>
    </w:p>
    <w:p>
      <w:pPr>
        <w:spacing w:after="0" w:line="96"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explained in Note 4 i), under Mexican FRS, start-up expenses are capitalized and amortized using the straight-line method in accordance with the terms of the lease contracts at the start of operations. Under U.S. GAAP, these expenses must be recorded in the income statement as incurred, except for the licenses for the sale of beer paid for by FEMSA Comercio, which are considered to be intangible assets and amortized using the straight-line method beginning at the start of operations.</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As mentioned in Note 4 i), under Mexican FRS, until January 1, 2003, all intangible assets were amortized over a period of no more than 20 years. Effective January 1, 2003, revised NIF Bulletin C-8, “Intangible Assets,” went into effect and recognizes that certain intangible assets (excluding goodwill) have indefinite lives and should not be amortized. In accordance with Statement of Financial Accounting Standards (“SFAS”) No. 142, “Goodwill and Other Intangible Assets” (effective January 1, 2002), goodwill and indefinite-lived intangible assets are also no longer subject to amortization, but rather are subject to periodic assessment for impairment. Accordingly, amortization of indefinite-lived intangible assets was discontinued in 2002 for U.S. GAAP. In 2003, amortization of indefinite-lived intangible assets was discontinued for Mexican FRS and in 2004 the amortization of goodwill was discontinued (see Note 4 i).</w:t>
      </w:r>
    </w:p>
    <w:p>
      <w:pPr>
        <w:spacing w:after="0" w:line="66" w:lineRule="exact"/>
        <w:rPr>
          <w:rFonts w:ascii="Arial" w:cs="Arial" w:eastAsia="Arial" w:hAnsi="Arial"/>
          <w:sz w:val="18"/>
          <w:szCs w:val="18"/>
          <w:b w:val="1"/>
          <w:bCs w:val="1"/>
          <w:color w:val="auto"/>
        </w:rPr>
      </w:pPr>
    </w:p>
    <w:p>
      <w:pPr>
        <w:ind w:left="460" w:right="3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a result of the adoption of this SFAS No. 142, the Company performed an initial impairment test as of January 1, 2002 and found no impairment. Subsequent impairment tests are performed annually by the Company, unless an event occurs or circumstances change that would more likely than not reduce the fair value of a reporting unit below its carrying amount. In such case an impairment test would be performed between annual tests.</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Imported Equipment:</w:t>
      </w:r>
    </w:p>
    <w:p>
      <w:pPr>
        <w:spacing w:after="0" w:line="96" w:lineRule="exact"/>
        <w:rPr>
          <w:rFonts w:ascii="Arial" w:cs="Arial" w:eastAsia="Arial" w:hAnsi="Arial"/>
          <w:sz w:val="18"/>
          <w:szCs w:val="18"/>
          <w:b w:val="1"/>
          <w:bCs w:val="1"/>
          <w:color w:val="auto"/>
        </w:rPr>
      </w:pPr>
    </w:p>
    <w:p>
      <w:pPr>
        <w:ind w:left="4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explained in Note 4 g), under Mexican FRS, imported machinery and equipment have been restated by applying the inflation rate of the country of origin and translated into Mexican pesos using the year-end rate.</w:t>
      </w:r>
    </w:p>
    <w:p>
      <w:pPr>
        <w:spacing w:after="0" w:line="50" w:lineRule="exact"/>
        <w:rPr>
          <w:rFonts w:ascii="Arial" w:cs="Arial" w:eastAsia="Arial" w:hAnsi="Arial"/>
          <w:sz w:val="18"/>
          <w:szCs w:val="18"/>
          <w:b w:val="1"/>
          <w:bCs w:val="1"/>
          <w:color w:val="auto"/>
        </w:rPr>
      </w:pPr>
    </w:p>
    <w:p>
      <w:pPr>
        <w:ind w:left="460" w:right="4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the Company applies the regulations of the SEC, which require that all machinery and equipment, both domestic and imported, be restated using Mexican inflation factors.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the Integral Result of Financing:</w:t>
      </w:r>
    </w:p>
    <w:p>
      <w:pPr>
        <w:spacing w:after="0" w:line="9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Through December 2006, the Company did not capitalize the integral result of financing, which was previously optional under Mexican FRS. On January 1, 2007, NIF D-6, “Capitalization of Integral Result of Financing” went into effect. This standard establishes that the integral result of financing generated as a result of loans obtained to finance investment projects must be capitalized as part of the cost of long-term assets when certain conditions are met. This standard does not require retrospective application. The adoption of this standard did not have an impact on the Company’s consolidated financial position or results of operations.</w:t>
      </w:r>
    </w:p>
    <w:p>
      <w:pPr>
        <w:spacing w:after="0" w:line="61"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accordance with SFAS No. 34, “Capitalization of Interest Cost,” if the integral result of financing is incurred during the construction of qualifying assets, capitalization is required for all assets that require a period of time to get them ready for their intended use. Accordingly, a reconciling item for the capitalization of a portion of the integral result of financing is included in the U.S. GAAP reconciliation of the majority net income and majority stockholders’ equity. If the borrowings are denominated in U.S. dollars, the weighted average interest rate on all such outstanding debt is applied to the balance of construction in progress to determine the amount to be capitalized. If the borrowings are denominated in Mexican pesos, the amount of interest to be capitalized as noted above is reduced by the gain on monetary position associated with the debt.</w:t>
      </w:r>
    </w:p>
    <w:p>
      <w:pPr>
        <w:spacing w:after="0" w:line="23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rFonts w:ascii="Arial" w:cs="Arial" w:eastAsia="Arial" w:hAnsi="Arial"/>
          <w:sz w:val="18"/>
          <w:szCs w:val="18"/>
          <w:b w:val="1"/>
          <w:bCs w:val="1"/>
          <w:color w:val="auto"/>
        </w:rPr>
      </w:pPr>
    </w:p>
    <w:p>
      <w:pPr>
        <w:ind w:left="46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Beginning on January 1, 2005, in accordance with Mexican FRS, as mentioned in Note 4 r), the Company values and records all derivative financial instruments and hedging activities according to NIF Bulletin C-10, “Derivative Financial Instruments and Hedging Activities,” which establishes similar accounting treatment as described in SFAS No. 133, “Accounting for Derivative Financial Instruments and Hedging Activities.” Therefore, as of such date the Company no longer has any difference as it relates to derivative financial instruments.</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Taxes, Employee Profit Sharing and Uncertain Tax Positions:</w:t>
      </w:r>
    </w:p>
    <w:p>
      <w:pPr>
        <w:spacing w:after="0" w:line="96" w:lineRule="exact"/>
        <w:rPr>
          <w:rFonts w:ascii="Arial" w:cs="Arial" w:eastAsia="Arial" w:hAnsi="Arial"/>
          <w:sz w:val="18"/>
          <w:szCs w:val="18"/>
          <w:b w:val="1"/>
          <w:bCs w:val="1"/>
          <w:color w:val="auto"/>
        </w:rPr>
      </w:pPr>
    </w:p>
    <w:p>
      <w:pPr>
        <w:ind w:left="46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calculates its deferred income taxes and employee profit sharing in accordance with SFAS No. 109, “Accounting for Income Taxes,” for U.S. GAAP purposes, which differs from Mexican FRS as follows:</w:t>
      </w:r>
    </w:p>
    <w:p>
      <w:pPr>
        <w:spacing w:after="0" w:line="50" w:lineRule="exact"/>
        <w:rPr>
          <w:rFonts w:ascii="Arial" w:cs="Arial" w:eastAsia="Arial" w:hAnsi="Arial"/>
          <w:sz w:val="18"/>
          <w:szCs w:val="18"/>
          <w:b w:val="1"/>
          <w:bCs w:val="1"/>
          <w:color w:val="auto"/>
        </w:rPr>
      </w:pPr>
    </w:p>
    <w:p>
      <w:pPr>
        <w:ind w:left="900" w:right="240" w:hanging="446"/>
        <w:spacing w:after="0" w:line="306" w:lineRule="auto"/>
        <w:tabs>
          <w:tab w:leader="none" w:pos="9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Under Mexican FRS, the effects of inflation on the deferred taxes balance generated by monetary items are recognized in the result of monetary position. Under U.S. GAAP, the deferred taxes balance is classified as a non-monetary item. As a result, the consolidated income statement differs with respect to the presentation of the gain or loss on monetary position and deferred income taxes provision;</w:t>
      </w:r>
    </w:p>
    <w:p>
      <w:pPr>
        <w:spacing w:after="0" w:line="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Under Mexican FRS, deferred employee profit sharing is calculated considering only those temporary differences that arise during the year and which are expected to reverse within a defined period, while under U.S. GAAP, the same liability method used for deferred income taxes is applied; and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differences in start-up expenses, restatement of imported machinery and equipment, capitalization of financing costs and pension plan mentioned in Note 26 d), g), h) and k) generate a difference when calculating the deferred income taxes under U.S. GAAP compared to that presented under Mexican FRS (see Note 23 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Employee profit sharing is deductible for Mexican income taxes purposes. This deduction reduces the payments of income taxes in subsequent years.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Company recorded a reduction to the deferred income taxes liability under U.S. GAAP.</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reconciliation of deferred income tax and employee profit sharing, as well as the changes in the balances of deferred taxes, are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Reconciliation of Deferred Income Taxes, Net</w:t>
            </w:r>
          </w:p>
        </w:tc>
        <w:tc>
          <w:tcPr>
            <w:tcW w:w="4700" w:type="dxa"/>
            <w:vAlign w:val="bottom"/>
            <w:gridSpan w:val="2"/>
          </w:tcPr>
          <w:p>
            <w:pPr>
              <w:jc w:val="center"/>
              <w:ind w:left="3975"/>
              <w:spacing w:after="0"/>
              <w:rPr>
                <w:sz w:val="20"/>
                <w:szCs w:val="20"/>
                <w:color w:val="auto"/>
              </w:rPr>
            </w:pPr>
            <w:r>
              <w:rPr>
                <w:rFonts w:ascii="Arial" w:cs="Arial" w:eastAsia="Arial" w:hAnsi="Arial"/>
                <w:sz w:val="14"/>
                <w:szCs w:val="14"/>
                <w:b w:val="1"/>
                <w:bCs w:val="1"/>
                <w:color w:val="auto"/>
                <w:w w:val="89"/>
              </w:rPr>
              <w:t>2007</w:t>
            </w:r>
          </w:p>
        </w:tc>
        <w:tc>
          <w:tcPr>
            <w:tcW w:w="380" w:type="dxa"/>
            <w:vAlign w:val="bottom"/>
          </w:tcPr>
          <w:p>
            <w:pPr>
              <w:spacing w:after="0"/>
              <w:rPr>
                <w:sz w:val="14"/>
                <w:szCs w:val="14"/>
                <w:color w:val="auto"/>
              </w:rPr>
            </w:pPr>
          </w:p>
        </w:tc>
        <w:tc>
          <w:tcPr>
            <w:tcW w:w="96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under Mexican FRS</w:t>
            </w:r>
          </w:p>
        </w:tc>
        <w:tc>
          <w:tcPr>
            <w:tcW w:w="5080" w:type="dxa"/>
            <w:vAlign w:val="bottom"/>
            <w:gridSpan w:val="3"/>
            <w:shd w:val="clear" w:color="auto" w:fill="CCEEFF"/>
          </w:tcPr>
          <w:p>
            <w:pPr>
              <w:jc w:val="center"/>
              <w:ind w:left="3595"/>
              <w:spacing w:after="0"/>
              <w:rPr>
                <w:sz w:val="20"/>
                <w:szCs w:val="20"/>
                <w:color w:val="auto"/>
              </w:rPr>
            </w:pPr>
            <w:r>
              <w:rPr>
                <w:rFonts w:ascii="Arial" w:cs="Arial" w:eastAsia="Arial" w:hAnsi="Arial"/>
                <w:sz w:val="18"/>
                <w:szCs w:val="18"/>
                <w:b w:val="1"/>
                <w:bCs w:val="1"/>
                <w:color w:val="auto"/>
                <w:w w:val="82"/>
              </w:rPr>
              <w:t>Ps. 2,320</w:t>
            </w:r>
          </w:p>
        </w:tc>
        <w:tc>
          <w:tcPr>
            <w:tcW w:w="102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87"/>
              </w:rPr>
              <w:t>Ps.1,943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Deferred income taxes of Coca-Cola FEMSA</w:t>
            </w:r>
          </w:p>
        </w:tc>
        <w:tc>
          <w:tcPr>
            <w:tcW w:w="5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4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Start-up expenses</w:t>
            </w:r>
          </w:p>
        </w:tc>
        <w:tc>
          <w:tcPr>
            <w:tcW w:w="5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Restatement of imported equipment</w:t>
            </w:r>
          </w:p>
        </w:tc>
        <w:tc>
          <w:tcPr>
            <w:tcW w:w="5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Capitalization of integral result of financing</w:t>
            </w:r>
          </w:p>
        </w:tc>
        <w:tc>
          <w:tcPr>
            <w:tcW w:w="4700" w:type="dxa"/>
            <w:vAlign w:val="bottom"/>
            <w:gridSpan w:val="2"/>
          </w:tcPr>
          <w:p>
            <w:pPr>
              <w:jc w:val="right"/>
              <w:spacing w:after="0"/>
              <w:rPr>
                <w:sz w:val="20"/>
                <w:szCs w:val="20"/>
                <w:color w:val="auto"/>
              </w:rPr>
            </w:pPr>
            <w:r>
              <w:rPr>
                <w:rFonts w:ascii="Arial" w:cs="Arial" w:eastAsia="Arial" w:hAnsi="Arial"/>
                <w:sz w:val="18"/>
                <w:szCs w:val="18"/>
                <w:b w:val="1"/>
                <w:bCs w:val="1"/>
                <w:color w:val="auto"/>
              </w:rPr>
              <w:t>88</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deduction for employee profit sharing</w:t>
            </w:r>
          </w:p>
        </w:tc>
        <w:tc>
          <w:tcPr>
            <w:tcW w:w="5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Labor liabilities</w:t>
            </w:r>
          </w:p>
        </w:tc>
        <w:tc>
          <w:tcPr>
            <w:tcW w:w="40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(355)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U.S. GAAP adjustments</w:t>
            </w:r>
          </w:p>
        </w:tc>
        <w:tc>
          <w:tcPr>
            <w:tcW w:w="40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(491)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gridSpan w:val="2"/>
            <w:vMerge w:val="restart"/>
          </w:tcPr>
          <w:p>
            <w:pPr>
              <w:ind w:left="420"/>
              <w:spacing w:after="0"/>
              <w:rPr>
                <w:sz w:val="20"/>
                <w:szCs w:val="20"/>
                <w:color w:val="auto"/>
              </w:rPr>
            </w:pPr>
            <w:r>
              <w:rPr>
                <w:rFonts w:ascii="Arial" w:cs="Arial" w:eastAsia="Arial" w:hAnsi="Arial"/>
                <w:sz w:val="18"/>
                <w:szCs w:val="18"/>
                <w:color w:val="auto"/>
              </w:rPr>
              <w:t>Deferred income taxes, net, under U.S. GAAP</w:t>
            </w:r>
          </w:p>
        </w:tc>
        <w:tc>
          <w:tcPr>
            <w:tcW w:w="40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vMerge w:val="continue"/>
          </w:tcPr>
          <w:p>
            <w:pPr>
              <w:spacing w:after="0"/>
              <w:rPr>
                <w:sz w:val="19"/>
                <w:szCs w:val="19"/>
                <w:color w:val="auto"/>
              </w:rPr>
            </w:pPr>
          </w:p>
        </w:tc>
        <w:tc>
          <w:tcPr>
            <w:tcW w:w="4060" w:type="dxa"/>
            <w:vAlign w:val="bottom"/>
            <w:vMerge w:val="continue"/>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2"/>
              </w:rPr>
              <w:t>Ps. 1,604</w:t>
            </w:r>
          </w:p>
        </w:tc>
        <w:tc>
          <w:tcPr>
            <w:tcW w:w="380" w:type="dxa"/>
            <w:vAlign w:val="bottom"/>
            <w:vMerge w:val="continue"/>
          </w:tcPr>
          <w:p>
            <w:pPr>
              <w:spacing w:after="0"/>
              <w:rPr>
                <w:sz w:val="19"/>
                <w:szCs w:val="19"/>
                <w:color w:val="auto"/>
              </w:rPr>
            </w:pPr>
          </w:p>
        </w:tc>
        <w:tc>
          <w:tcPr>
            <w:tcW w:w="1020" w:type="dxa"/>
            <w:vAlign w:val="bottom"/>
            <w:gridSpan w:val="3"/>
          </w:tcPr>
          <w:p>
            <w:pPr>
              <w:jc w:val="center"/>
              <w:ind w:left="194"/>
              <w:spacing w:after="0"/>
              <w:rPr>
                <w:sz w:val="20"/>
                <w:szCs w:val="20"/>
                <w:color w:val="auto"/>
              </w:rPr>
            </w:pPr>
            <w:r>
              <w:rPr>
                <w:rFonts w:ascii="Arial" w:cs="Arial" w:eastAsia="Arial" w:hAnsi="Arial"/>
                <w:sz w:val="18"/>
                <w:szCs w:val="18"/>
                <w:color w:val="auto"/>
                <w:w w:val="87"/>
              </w:rPr>
              <w:t>Ps.1,808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80" w:type="dxa"/>
            <w:vAlign w:val="bottom"/>
            <w:gridSpan w:val="3"/>
          </w:tcPr>
          <w:p>
            <w:pPr>
              <w:jc w:val="right"/>
              <w:ind w:right="4060"/>
              <w:spacing w:after="0"/>
              <w:rPr>
                <w:sz w:val="20"/>
                <w:szCs w:val="20"/>
                <w:color w:val="auto"/>
              </w:rPr>
            </w:pPr>
            <w:r>
              <w:rPr>
                <w:rFonts w:ascii="Arial" w:cs="Arial" w:eastAsia="Arial" w:hAnsi="Arial"/>
                <w:sz w:val="18"/>
                <w:szCs w:val="18"/>
                <w:color w:val="auto"/>
              </w:rPr>
              <w:t>F-43</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total deferred income taxes expense under U.S. GAAP includes the corresponding current portion as of December 31, 2007 and 2006 of Ps. 266 and Ps. 296, respectively.</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gridSpan w:val="4"/>
          </w:tcPr>
          <w:p>
            <w:pPr>
              <w:spacing w:after="0"/>
              <w:rPr>
                <w:sz w:val="20"/>
                <w:szCs w:val="20"/>
                <w:color w:val="auto"/>
              </w:rPr>
            </w:pPr>
            <w:r>
              <w:rPr>
                <w:rFonts w:ascii="Arial" w:cs="Arial" w:eastAsia="Arial" w:hAnsi="Arial"/>
                <w:sz w:val="14"/>
                <w:szCs w:val="14"/>
                <w:b w:val="1"/>
                <w:bCs w:val="1"/>
                <w:color w:val="auto"/>
              </w:rPr>
              <w:t>Changes in the Balance of Deferred Income Taxes</w:t>
            </w:r>
          </w:p>
        </w:tc>
        <w:tc>
          <w:tcPr>
            <w:tcW w:w="6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9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5400" w:type="dxa"/>
            <w:vAlign w:val="bottom"/>
            <w:gridSpan w:val="2"/>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1,808</w:t>
            </w:r>
          </w:p>
        </w:tc>
        <w:tc>
          <w:tcPr>
            <w:tcW w:w="10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2"/>
              </w:rPr>
              <w:t>Ps.2,428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Provision for the year</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(539)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the statutory income tax rate</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Unrecognized labor liabilities</w:t>
            </w:r>
          </w:p>
        </w:tc>
        <w:tc>
          <w:tcPr>
            <w:tcW w:w="2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Cumulative translation adjustment</w:t>
            </w:r>
          </w:p>
        </w:tc>
        <w:tc>
          <w:tcPr>
            <w:tcW w:w="2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1,604</w:t>
            </w:r>
          </w:p>
        </w:tc>
        <w:tc>
          <w:tcPr>
            <w:tcW w:w="10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2"/>
              </w:rPr>
              <w:t>Ps.1,808</w:t>
            </w:r>
          </w:p>
        </w:tc>
        <w:tc>
          <w:tcPr>
            <w:tcW w:w="0" w:type="dxa"/>
            <w:vAlign w:val="bottom"/>
          </w:tcPr>
          <w:p>
            <w:pPr>
              <w:spacing w:after="0"/>
              <w:rPr>
                <w:sz w:val="1"/>
                <w:szCs w:val="1"/>
                <w:color w:val="auto"/>
              </w:rPr>
            </w:pPr>
          </w:p>
        </w:tc>
      </w:tr>
      <w:tr>
        <w:trPr>
          <w:trHeight w:val="20"/>
        </w:trPr>
        <w:tc>
          <w:tcPr>
            <w:tcW w:w="3180" w:type="dxa"/>
            <w:vAlign w:val="bottom"/>
            <w:gridSpan w:val="3"/>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80" w:type="dxa"/>
            <w:vAlign w:val="bottom"/>
            <w:gridSpan w:val="4"/>
          </w:tcPr>
          <w:p>
            <w:pPr>
              <w:spacing w:after="0"/>
              <w:rPr>
                <w:sz w:val="20"/>
                <w:szCs w:val="20"/>
                <w:color w:val="auto"/>
              </w:rPr>
            </w:pPr>
            <w:r>
              <w:rPr>
                <w:rFonts w:ascii="Arial" w:cs="Arial" w:eastAsia="Arial" w:hAnsi="Arial"/>
                <w:sz w:val="14"/>
                <w:szCs w:val="14"/>
                <w:b w:val="1"/>
                <w:bCs w:val="1"/>
                <w:color w:val="auto"/>
              </w:rPr>
              <w:t>Reconciliation of Deferred Employee Profit Sharing</w:t>
            </w:r>
          </w:p>
        </w:tc>
        <w:tc>
          <w:tcPr>
            <w:tcW w:w="6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24"/>
                <w:szCs w:val="24"/>
                <w:color w:val="auto"/>
              </w:rPr>
            </w:pPr>
          </w:p>
        </w:tc>
        <w:tc>
          <w:tcPr>
            <w:tcW w:w="9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employee profit sharing under Mexican FRS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Ps.</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Ps.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U.S. GAAP adjustments: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97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963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charges</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5"/>
              </w:rPr>
              <w:t>(214)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Capitalization of interest expense</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rPr>
                <w:sz w:val="20"/>
                <w:szCs w:val="20"/>
                <w:color w:val="auto"/>
              </w:rPr>
            </w:pPr>
            <w:r>
              <w:rPr>
                <w:rFonts w:ascii="Arial" w:cs="Arial" w:eastAsia="Arial" w:hAnsi="Arial"/>
                <w:sz w:val="18"/>
                <w:szCs w:val="18"/>
                <w:color w:val="auto"/>
              </w:rPr>
              <w:t>Start-up expenses</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rPr>
                <w:sz w:val="20"/>
                <w:szCs w:val="20"/>
                <w:color w:val="auto"/>
              </w:rPr>
            </w:pPr>
            <w:r>
              <w:rPr>
                <w:rFonts w:ascii="Arial" w:cs="Arial" w:eastAsia="Arial" w:hAnsi="Arial"/>
                <w:sz w:val="18"/>
                <w:szCs w:val="18"/>
                <w:color w:val="auto"/>
              </w:rPr>
              <w:t>Labor liabilities</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(329)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reserves</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480" w:type="dxa"/>
            <w:vAlign w:val="bottom"/>
            <w:gridSpan w:val="4"/>
          </w:tcPr>
          <w:p>
            <w:pPr>
              <w:spacing w:after="0"/>
              <w:rPr>
                <w:sz w:val="20"/>
                <w:szCs w:val="20"/>
                <w:color w:val="auto"/>
              </w:rPr>
            </w:pPr>
            <w:r>
              <w:rPr>
                <w:rFonts w:ascii="Arial" w:cs="Arial" w:eastAsia="Arial" w:hAnsi="Arial"/>
                <w:sz w:val="18"/>
                <w:szCs w:val="18"/>
                <w:color w:val="auto"/>
              </w:rPr>
              <w:t>Total U.S. GAAP adjustments</w:t>
            </w:r>
          </w:p>
        </w:tc>
        <w:tc>
          <w:tcPr>
            <w:tcW w:w="2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483</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employee profit sharing under U.S. GAAP</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Ps.</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483</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total deferred employee profit sharing under U.S. GAAP includes the corresponding current portion as of December 31, 2007 and 2006 of Ps. 124 and Ps. 154, respectively.</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w w:val="92"/>
              </w:rPr>
              <w:t>Changes in the Balance of Deferred Employee Profit Sharing</w:t>
            </w:r>
          </w:p>
        </w:tc>
        <w:tc>
          <w:tcPr>
            <w:tcW w:w="554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8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49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77"/>
              </w:rPr>
              <w:t>Ps.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Provision for the year</w:t>
            </w: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(180)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Labor liabilities</w:t>
            </w:r>
          </w:p>
        </w:tc>
        <w:tc>
          <w:tcPr>
            <w:tcW w:w="4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(130)</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49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vMerge w:val="continue"/>
          </w:tcPr>
          <w:p>
            <w:pPr>
              <w:spacing w:after="0"/>
              <w:rPr>
                <w:sz w:val="19"/>
                <w:szCs w:val="19"/>
                <w:color w:val="auto"/>
              </w:rPr>
            </w:pPr>
          </w:p>
        </w:tc>
        <w:tc>
          <w:tcPr>
            <w:tcW w:w="49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6"/>
                <w:szCs w:val="16"/>
                <w:b w:val="1"/>
                <w:bCs w:val="1"/>
                <w:color w:val="auto"/>
                <w:w w:val="74"/>
              </w:rPr>
              <w:t>Ps.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483</w:t>
            </w:r>
          </w:p>
        </w:tc>
        <w:tc>
          <w:tcPr>
            <w:tcW w:w="340" w:type="dxa"/>
            <w:vAlign w:val="bottom"/>
          </w:tcPr>
          <w:p>
            <w:pPr>
              <w:spacing w:after="0"/>
              <w:rPr>
                <w:sz w:val="19"/>
                <w:szCs w:val="19"/>
                <w:color w:val="auto"/>
              </w:rPr>
            </w:pPr>
          </w:p>
        </w:tc>
        <w:tc>
          <w:tcPr>
            <w:tcW w:w="480" w:type="dxa"/>
            <w:vAlign w:val="bottom"/>
            <w:gridSpan w:val="2"/>
          </w:tcPr>
          <w:p>
            <w:pPr>
              <w:ind w:left="280"/>
              <w:spacing w:after="0"/>
              <w:rPr>
                <w:sz w:val="20"/>
                <w:szCs w:val="20"/>
                <w:color w:val="auto"/>
              </w:rPr>
            </w:pPr>
            <w:r>
              <w:rPr>
                <w:rFonts w:ascii="Arial" w:cs="Arial" w:eastAsia="Arial" w:hAnsi="Arial"/>
                <w:sz w:val="16"/>
                <w:szCs w:val="16"/>
                <w:color w:val="auto"/>
                <w:w w:val="77"/>
              </w:rPr>
              <w:t>Ps.</w:t>
            </w:r>
          </w:p>
        </w:tc>
        <w:tc>
          <w:tcPr>
            <w:tcW w:w="340" w:type="dxa"/>
            <w:vAlign w:val="bottom"/>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In June 2006, FASB Interpretation No. 48, “Accounting for Uncertainty in Income Taxes, an Interpretation of SFAS Statement No. 109,” or “FIN No. 48,” was issued and became effective as of January 1, 2007. FIN No. 48 provides detailed guidance for the financial statement recognition, measurement and disclosure of uncertain tax positions recognized in a company’s financial statements with SFAS No. 109, “Accounting for Income Taxes.” FIN No. 48 requires a company to recognize the financial statement impact of a tax position when it is more likely than not that the position will be sustained upon examination. If the tax position meets the more-likely-than-not recognition threshold, the tax effect is recognized at the largest amount of the benefit that is greater than 50% likely of being realized upon ultimate settlement. Any difference between the tax position taken in the tax return and the tax position recognized in the financial statements using the criteria above results in the recognition of a liability in the financial statements for the unrecognized benefit. Similarly, if a tax position fails to meet the more-likely-than-not recognition threshold, the benefit taken in tax return will also result in the recognition of a liability in the financial statements for the full amount of the unrecognized benefit. FIN 48 became effective for fiscal years beginning after December 15, 2006 for public entities and their subsidiaries. The Company adopted FIN 48 as of January 1, 2007, as required. The provisions of FIN 48 were applied to all tax positions under SFAS No. 109 upon initial adoption. The impact of adopting this interpretation was not material to the Company’s consolidated financial position, results of operations or cash flows.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Labor Liabilities:</w:t>
      </w:r>
    </w:p>
    <w:p>
      <w:pPr>
        <w:spacing w:after="0" w:line="96" w:lineRule="exact"/>
        <w:rPr>
          <w:rFonts w:ascii="Arial" w:cs="Arial" w:eastAsia="Arial" w:hAnsi="Arial"/>
          <w:sz w:val="18"/>
          <w:szCs w:val="18"/>
          <w:b w:val="1"/>
          <w:bCs w:val="1"/>
          <w:color w:val="auto"/>
        </w:rPr>
      </w:pPr>
    </w:p>
    <w:p>
      <w:pPr>
        <w:ind w:left="460" w:right="3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Under Mexican FRS, the liabilities for employee benefits are determined using actuarial computations in accordance with NIF Bulletin D-3, “Labor Liabilities,” which is substantially the same as SFAS No. 87, “Employers’ Accounting for Pensions,” except for the initial year of application of both standards, which generates a difference in the unamortized net transition obligation and in the amortization expense.</w:t>
      </w:r>
    </w:p>
    <w:p>
      <w:pPr>
        <w:spacing w:after="0" w:line="25"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January 1997, as a result of the application of inflationary accounting, Mexican FRS determined that labor obligations are non-monetary liabilities and required the application of real, instead of nominal, interest rates in actuarial calculations. These changes required recalculation of the accumulated transition obligation, and the difference in the transition obligation represents the sum of the actuarial gains or losses since the first year that labor obligations have been calculated. This difference is being amortized over the average life of employment of the Company’s personnel. The Company uses the same real interest rate for both U.S. GAAP and Mexican FRS.</w:t>
      </w:r>
    </w:p>
    <w:p>
      <w:pPr>
        <w:spacing w:after="0" w:line="34"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Mexican FRS, as mentioned in Note 4 l), Mexican standard NIF Bulletin D-3 requires the recognition of a severance indemnity liability calculated based on actuarial computations. The same recognition criteria under U.S. GAAP is established in SFAS No. 112, “Employers’ Accounting for Postemployment Benefits,” which has been effective since 1994.</w:t>
      </w:r>
    </w:p>
    <w:p>
      <w:pPr>
        <w:spacing w:after="0" w:line="59"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Beginning in 2005, the Company applies the same considerations as required by Mexican FRS to recognize the severance indemnity liability for U.S. GAAP purposes. The cumulative effect of the severance obligation related to vested services was recorded in the 2005 income statement since the effect was not considered to be quantitatively or qualitatively material to the Company’s consolidated U.S. GAAP financial statements taken as a whole. The transition obligation has not been recorded for U.S. GAAP purposes.</w:t>
      </w:r>
    </w:p>
    <w:p>
      <w:pPr>
        <w:spacing w:after="0" w:line="62"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2006, the Company adopted SFAS No. 158, “Employers’ Accounting for Defined Benefit Pension and Other Postretirement Plans—an amendment of FASB Statements No. 87, 88, 106 and 132(R).” This statement requires companies to (1) fully recognize, as an asset or liability, the overfunded or underfunded status of defined pension and other postretirement benefit plans; (2) recognize changes in the funded status through other comprehensive income in the year in which the changes occur; and (3) provide enhanced disclosures. The impact of adoption, including the interrelated impact on the minimum pension liability, resulted in an increase in total liabilities and a decrease in stockholders’ equity reported under U.S. GAAP of Ps. 192 and 892, respectively.</w:t>
      </w:r>
    </w:p>
    <w:p>
      <w:pPr>
        <w:spacing w:after="0" w:line="63" w:lineRule="exact"/>
        <w:rPr>
          <w:rFonts w:ascii="Arial" w:cs="Arial" w:eastAsia="Arial" w:hAnsi="Arial"/>
          <w:sz w:val="18"/>
          <w:szCs w:val="18"/>
          <w:b w:val="1"/>
          <w:bCs w:val="1"/>
          <w:color w:val="auto"/>
        </w:rPr>
      </w:pP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Prior to the adoption of SFAS No. 158, there was no difference in the liabilities for seniority premiums and postretirement medical benefits between Mexican FRS and U.S. GAAP.</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pension cost for the year and related labor liabilities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Cost for the Year</w:t>
            </w:r>
          </w:p>
        </w:tc>
        <w:tc>
          <w:tcPr>
            <w:tcW w:w="3580" w:type="dxa"/>
            <w:vAlign w:val="bottom"/>
            <w:gridSpan w:val="2"/>
          </w:tcPr>
          <w:p>
            <w:pPr>
              <w:jc w:val="center"/>
              <w:ind w:left="2936"/>
              <w:spacing w:after="0"/>
              <w:rPr>
                <w:sz w:val="20"/>
                <w:szCs w:val="20"/>
                <w:color w:val="auto"/>
              </w:rPr>
            </w:pPr>
            <w:r>
              <w:rPr>
                <w:rFonts w:ascii="Arial" w:cs="Arial" w:eastAsia="Arial" w:hAnsi="Arial"/>
                <w:sz w:val="14"/>
                <w:szCs w:val="14"/>
                <w:b w:val="1"/>
                <w:bCs w:val="1"/>
                <w:color w:val="auto"/>
                <w:w w:val="89"/>
              </w:rPr>
              <w:t>2007</w:t>
            </w:r>
          </w:p>
        </w:tc>
        <w:tc>
          <w:tcPr>
            <w:tcW w:w="6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4"/>
                <w:szCs w:val="14"/>
                <w:color w:val="auto"/>
              </w:rPr>
            </w:pPr>
          </w:p>
        </w:tc>
        <w:tc>
          <w:tcPr>
            <w:tcW w:w="82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cost recorded under Mexican FRS</w:t>
            </w:r>
          </w:p>
        </w:tc>
        <w:tc>
          <w:tcPr>
            <w:tcW w:w="4180" w:type="dxa"/>
            <w:vAlign w:val="bottom"/>
            <w:gridSpan w:val="3"/>
            <w:shd w:val="clear" w:color="auto" w:fill="CCEEFF"/>
          </w:tcPr>
          <w:p>
            <w:pPr>
              <w:jc w:val="center"/>
              <w:ind w:left="2336"/>
              <w:spacing w:after="0"/>
              <w:rPr>
                <w:sz w:val="20"/>
                <w:szCs w:val="20"/>
                <w:color w:val="auto"/>
              </w:rPr>
            </w:pPr>
            <w:r>
              <w:rPr>
                <w:rFonts w:ascii="Arial" w:cs="Arial" w:eastAsia="Arial" w:hAnsi="Arial"/>
                <w:sz w:val="18"/>
                <w:szCs w:val="18"/>
                <w:b w:val="1"/>
                <w:bCs w:val="1"/>
                <w:color w:val="auto"/>
                <w:w w:val="90"/>
              </w:rPr>
              <w:t>Ps. 664</w:t>
            </w:r>
          </w:p>
        </w:tc>
        <w:tc>
          <w:tcPr>
            <w:tcW w:w="8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Ps. 551</w:t>
            </w:r>
          </w:p>
        </w:tc>
        <w:tc>
          <w:tcPr>
            <w:tcW w:w="880" w:type="dxa"/>
            <w:vAlign w:val="bottom"/>
            <w:gridSpan w:val="3"/>
            <w:shd w:val="clear" w:color="auto" w:fill="CCEEFF"/>
          </w:tcPr>
          <w:p>
            <w:pPr>
              <w:jc w:val="center"/>
              <w:ind w:left="136"/>
              <w:spacing w:after="0"/>
              <w:rPr>
                <w:sz w:val="20"/>
                <w:szCs w:val="20"/>
                <w:color w:val="auto"/>
              </w:rPr>
            </w:pPr>
            <w:r>
              <w:rPr>
                <w:rFonts w:ascii="Arial" w:cs="Arial" w:eastAsia="Arial" w:hAnsi="Arial"/>
                <w:sz w:val="18"/>
                <w:szCs w:val="18"/>
                <w:color w:val="auto"/>
                <w:w w:val="88"/>
              </w:rPr>
              <w:t>Ps. 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cost of Coca-Cola FEMSA</w:t>
            </w:r>
          </w:p>
        </w:tc>
        <w:tc>
          <w:tcPr>
            <w:tcW w:w="41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(176)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3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Amortization of unrecognized transition obligation</w:t>
            </w:r>
          </w:p>
        </w:tc>
        <w:tc>
          <w:tcPr>
            <w:tcW w:w="41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(8)</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prior service cost</w:t>
            </w:r>
          </w:p>
        </w:tc>
        <w:tc>
          <w:tcPr>
            <w:tcW w:w="30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spacing w:after="0"/>
              <w:rPr>
                <w:sz w:val="20"/>
                <w:szCs w:val="20"/>
                <w:color w:val="auto"/>
              </w:rPr>
            </w:pPr>
            <w:r>
              <w:rPr>
                <w:rFonts w:ascii="Arial" w:cs="Arial" w:eastAsia="Arial" w:hAnsi="Arial"/>
                <w:sz w:val="18"/>
                <w:szCs w:val="18"/>
                <w:color w:val="auto"/>
              </w:rPr>
              <w:t>Total U.S. GAAP adjustment</w:t>
            </w:r>
          </w:p>
        </w:tc>
        <w:tc>
          <w:tcPr>
            <w:tcW w:w="302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for the year under U.S. GAAP</w:t>
            </w:r>
          </w:p>
        </w:tc>
        <w:tc>
          <w:tcPr>
            <w:tcW w:w="30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Ps. 488</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Ps. 383</w:t>
            </w:r>
          </w:p>
        </w:tc>
        <w:tc>
          <w:tcPr>
            <w:tcW w:w="880" w:type="dxa"/>
            <w:vAlign w:val="bottom"/>
            <w:gridSpan w:val="3"/>
            <w:shd w:val="clear" w:color="auto" w:fill="CCEEFF"/>
          </w:tcPr>
          <w:p>
            <w:pPr>
              <w:jc w:val="center"/>
              <w:ind w:left="136"/>
              <w:spacing w:after="0"/>
              <w:rPr>
                <w:sz w:val="20"/>
                <w:szCs w:val="20"/>
                <w:color w:val="auto"/>
              </w:rPr>
            </w:pPr>
            <w:r>
              <w:rPr>
                <w:rFonts w:ascii="Arial" w:cs="Arial" w:eastAsia="Arial" w:hAnsi="Arial"/>
                <w:sz w:val="18"/>
                <w:szCs w:val="18"/>
                <w:color w:val="auto"/>
                <w:w w:val="88"/>
              </w:rPr>
              <w:t>Ps. 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180" w:type="dxa"/>
            <w:vAlign w:val="bottom"/>
            <w:gridSpan w:val="3"/>
          </w:tcPr>
          <w:p>
            <w:pPr>
              <w:jc w:val="right"/>
              <w:ind w:right="3320"/>
              <w:spacing w:after="0"/>
              <w:rPr>
                <w:sz w:val="20"/>
                <w:szCs w:val="20"/>
                <w:color w:val="auto"/>
              </w:rPr>
            </w:pPr>
            <w:r>
              <w:rPr>
                <w:rFonts w:ascii="Arial" w:cs="Arial" w:eastAsia="Arial" w:hAnsi="Arial"/>
                <w:sz w:val="18"/>
                <w:szCs w:val="18"/>
                <w:color w:val="auto"/>
              </w:rPr>
              <w:t>F-45</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60" w:right="3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gridSpan w:val="3"/>
          </w:tcPr>
          <w:p>
            <w:pPr>
              <w:spacing w:after="0"/>
              <w:rPr>
                <w:sz w:val="20"/>
                <w:szCs w:val="20"/>
                <w:color w:val="auto"/>
              </w:rPr>
            </w:pPr>
            <w:r>
              <w:rPr>
                <w:rFonts w:ascii="Arial" w:cs="Arial" w:eastAsia="Arial" w:hAnsi="Arial"/>
                <w:sz w:val="14"/>
                <w:szCs w:val="14"/>
                <w:b w:val="1"/>
                <w:bCs w:val="1"/>
                <w:color w:val="auto"/>
              </w:rPr>
              <w:t>Labor Liabilities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2007</w:t>
            </w: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liabilities under Mexican FRS</w:t>
            </w:r>
          </w:p>
        </w:tc>
        <w:tc>
          <w:tcPr>
            <w:tcW w:w="136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b w:val="1"/>
                <w:bCs w:val="1"/>
                <w:color w:val="auto"/>
                <w:w w:val="80"/>
              </w:rPr>
              <w:t>Ps. 3,718</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Ps. 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Labor liabilities of Coca-Cola FEMSA</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(993)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Restatement effect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U.S. GAAP adjustments:</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net transition obligation</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459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Unrecognized prior service</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781</w:t>
            </w:r>
          </w:p>
        </w:tc>
        <w:tc>
          <w:tcPr>
            <w:tcW w:w="680" w:type="dxa"/>
            <w:vAlign w:val="bottom"/>
          </w:tcPr>
          <w:p>
            <w:pPr>
              <w:jc w:val="right"/>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net actuarial loss</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444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Additional labor liability in cumulative other comprehensive income</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 to stockholders’ equity</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1,271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Reversal of additional labor obligation under Mexican FRS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(673)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liabilities under U.S. GAAP</w:t>
            </w:r>
          </w:p>
        </w:tc>
        <w:tc>
          <w:tcPr>
            <w:tcW w:w="136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b w:val="1"/>
                <w:bCs w:val="1"/>
                <w:color w:val="auto"/>
                <w:w w:val="80"/>
              </w:rPr>
              <w:t>Ps. 3,323</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Ps. 3,013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Estimates of the unrecognized items expected to be recognized as components of net periodic pension cost during 2007 are shown in the table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Pension and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4"/>
              </w:rPr>
              <w:t>Postretirement</w:t>
            </w:r>
          </w:p>
        </w:tc>
      </w:tr>
      <w:tr>
        <w:trPr>
          <w:trHeight w:val="149"/>
        </w:trPr>
        <w:tc>
          <w:tcPr>
            <w:tcW w:w="704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Retirement</w:t>
            </w:r>
          </w:p>
        </w:tc>
        <w:tc>
          <w:tcPr>
            <w:tcW w:w="12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Seniority</w:t>
            </w:r>
          </w:p>
        </w:tc>
        <w:tc>
          <w:tcPr>
            <w:tcW w:w="86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Medical</w:t>
            </w:r>
          </w:p>
        </w:tc>
      </w:tr>
      <w:tr>
        <w:trPr>
          <w:trHeight w:val="161"/>
        </w:trPr>
        <w:tc>
          <w:tcPr>
            <w:tcW w:w="704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Plans</w:t>
            </w: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Premiums</w:t>
            </w:r>
          </w:p>
        </w:tc>
        <w:tc>
          <w:tcPr>
            <w:tcW w:w="860" w:type="dxa"/>
            <w:vAlign w:val="bottom"/>
          </w:tcPr>
          <w:p>
            <w:pPr>
              <w:jc w:val="right"/>
              <w:ind w:right="118"/>
              <w:spacing w:after="0"/>
              <w:rPr>
                <w:sz w:val="20"/>
                <w:szCs w:val="20"/>
                <w:color w:val="auto"/>
              </w:rPr>
            </w:pPr>
            <w:r>
              <w:rPr>
                <w:rFonts w:ascii="Arial" w:cs="Arial" w:eastAsia="Arial" w:hAnsi="Arial"/>
                <w:sz w:val="14"/>
                <w:szCs w:val="14"/>
                <w:b w:val="1"/>
                <w:bCs w:val="1"/>
                <w:color w:val="auto"/>
              </w:rPr>
              <w:t>Services</w:t>
            </w:r>
          </w:p>
        </w:tc>
      </w:tr>
      <w:tr>
        <w:trPr>
          <w:trHeight w:val="201"/>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net loss and prior service cost recognized in cumulative other comprehensive</w:t>
            </w: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24"/>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during the year</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Ps.8</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Ps.2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Ps.12</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Actuarial net loss and prior service cost recognized as a component of net periodic cost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transition liability recognized as a component of net periodic cost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8"/>
        </w:trPr>
        <w:tc>
          <w:tcPr>
            <w:tcW w:w="7040" w:type="dxa"/>
            <w:vAlign w:val="bottom"/>
          </w:tcPr>
          <w:p>
            <w:pPr>
              <w:spacing w:after="0"/>
              <w:rPr>
                <w:sz w:val="20"/>
                <w:szCs w:val="20"/>
                <w:color w:val="auto"/>
              </w:rPr>
            </w:pPr>
            <w:r>
              <w:rPr>
                <w:rFonts w:ascii="Arial" w:cs="Arial" w:eastAsia="Arial" w:hAnsi="Arial"/>
                <w:sz w:val="18"/>
                <w:szCs w:val="18"/>
                <w:color w:val="auto"/>
              </w:rPr>
              <w:t>Actuarial net loss, prior service cost and transition liability included in accumulated</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7040" w:type="dxa"/>
            <w:vAlign w:val="bottom"/>
          </w:tcPr>
          <w:p>
            <w:pPr>
              <w:ind w:left="220"/>
              <w:spacing w:after="0"/>
              <w:rPr>
                <w:sz w:val="20"/>
                <w:szCs w:val="20"/>
                <w:color w:val="auto"/>
              </w:rPr>
            </w:pPr>
            <w:r>
              <w:rPr>
                <w:rFonts w:ascii="Arial" w:cs="Arial" w:eastAsia="Arial" w:hAnsi="Arial"/>
                <w:sz w:val="18"/>
                <w:szCs w:val="18"/>
                <w:color w:val="auto"/>
              </w:rPr>
              <w:t>cumulative other comprehensive income</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973</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Estimate to be recognized as a component of net periodic cost over the following fiscal</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4"/>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w:t>
            </w: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Net transition obligation</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service cost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04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48</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63"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Kaiser and Coca-Cola FEMSA Minority Acquisition:</w:t>
      </w:r>
    </w:p>
    <w:p>
      <w:pPr>
        <w:spacing w:after="0" w:line="96" w:lineRule="exact"/>
        <w:rPr>
          <w:rFonts w:ascii="Arial" w:cs="Arial" w:eastAsia="Arial" w:hAnsi="Arial"/>
          <w:sz w:val="18"/>
          <w:szCs w:val="18"/>
          <w:b w:val="1"/>
          <w:bCs w:val="1"/>
          <w:color w:val="auto"/>
        </w:rPr>
      </w:pPr>
    </w:p>
    <w:p>
      <w:pPr>
        <w:ind w:left="4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As mentioned in Note 5 c), in 2006 FEMSA Cerveza indirectly acquired an additional equity interest in Kaiser. According to Mexican standard NIF Bulletin B-7, “Business Acquisitions,” this is a transaction between existing shareholders that does not impact the net assets of the Company, and the payment in excess of the book value of the shares acquired is recorded in stockholders’ equity as a reduction of additional paid-in capital. Under U.S. GAAP, SFAS No. 141, “Business Combinations,” establishes that purchases of minority interest represent a “step acquisition” that must be recorded utilizing the purchase method, whereby the purchase price is allocated to the proportionate fair value of assets and liabilities acquired. The purchase price allocation for this acquisition has been completed, and the allocation period was closed. The Company did not recognize any goodwill as a result of this acquisition.</w:t>
      </w:r>
    </w:p>
    <w:p>
      <w:pPr>
        <w:spacing w:after="0" w:line="6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Additionally, on August 31, 2007, FEMSA Cerveza sold 16.88% of Kaiser’s outstanding shares to Heineken HV. The excess of the price paid over the book value was recorded directly in stockholders’ equity in accordance with Mexican FRS. Under U.S. GAAP, the gain was recorded directly in income in accordance with ARB No. 51, “Consolidated Financial Statements.”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40"/>
          </w:cols>
          <w:pgMar w:left="240" w:top="460" w:right="3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As mentioned in Note 5 a), in 2006 FEMSA indirectly acquired an additional, 8.02% of the total outstanding equity of Coca-Cola FEMSA. According to Mexican standard NIF Bulletin B-7, this is a transaction between shareholders that does not impact the net assets of the Company, and the payment in excess of the book value of the shares acquired is recorded in stockholders’ equity as a reduction of additional paid-in capital. Under U.S. GAAP, SFAS No. 141, “Business Combinations,” purchases of minority interest represent a “step acquisition” that must be accounted for under the purchase method, whereby the purchase price is allocated to the proportionate fair value of assets and liabilities acquired. The difference between the fair value and the price paid for the 8.02% of Coca-Cola FEMSA equity is presented as part of investment in Coca-Cola FEMSA shares in the consolidated balance sheet under U.S. GAAP. The Company did not recognize any goodwill as a result of this acquisition. The acquisition of the additional 8.02% interest in Coca-Cola FEMSA did not affect the consolidation analysis discussed above as it relates to EITF 96-16 given that The Coca-Cola Company’s substantive participating rights were not affected.</w:t>
      </w:r>
    </w:p>
    <w:p>
      <w:pPr>
        <w:spacing w:after="0" w:line="235"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Minority Interest:</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Mexican FRS, the minority interest in consolidated subsidiaries is presented as a separate component within stockholders’ equity in the consolidated balance sheet.</w:t>
      </w:r>
    </w:p>
    <w:p>
      <w:pPr>
        <w:spacing w:after="0" w:line="50"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this item must be excluded from consolidated stockholders’ equity in the consolidated balance sheet. Additionally, the minority interest in the net earnings of consolidated subsidiaries is deducted from consolidated net income.</w:t>
      </w:r>
    </w:p>
    <w:p>
      <w:pPr>
        <w:spacing w:after="0" w:line="50"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U.S. GAAP adjustments disclosed in Note 27 a) and b) are calculated on a consolidated basis. Therefore, the minority interest effects are presented as a separate line item to obtain net income and stockholders’ equity.</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FEMSA’s Minority Interest Acquisition:</w:t>
      </w:r>
    </w:p>
    <w:p>
      <w:pPr>
        <w:spacing w:after="0" w:line="96" w:lineRule="exact"/>
        <w:rPr>
          <w:rFonts w:ascii="Arial" w:cs="Arial" w:eastAsia="Arial" w:hAnsi="Arial"/>
          <w:sz w:val="18"/>
          <w:szCs w:val="18"/>
          <w:b w:val="1"/>
          <w:bCs w:val="1"/>
          <w:color w:val="auto"/>
        </w:rPr>
      </w:pPr>
    </w:p>
    <w:p>
      <w:pPr>
        <w:ind w:left="460" w:right="2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accordance with Mexican FRS, the Company applied the entity theory to the acquisition of the minority interest by FEMSA in May 1998, through an exchange offer. Accordingly, no goodwill was created as a result of such acquisition and the difference between the book value of the shares acquired by FEMSA and the FEMSA shares exchanged was recorded as additional paid-in capital. The direct out-of-pocket costs identified with the purchase of minority interest are treated as an additional purchase cost and included in other expenses.</w:t>
      </w:r>
    </w:p>
    <w:p>
      <w:pPr>
        <w:spacing w:after="0" w:line="31" w:lineRule="exact"/>
        <w:rPr>
          <w:rFonts w:ascii="Arial" w:cs="Arial" w:eastAsia="Arial" w:hAnsi="Arial"/>
          <w:sz w:val="18"/>
          <w:szCs w:val="18"/>
          <w:b w:val="1"/>
          <w:bCs w:val="1"/>
          <w:color w:val="auto"/>
        </w:rPr>
      </w:pPr>
    </w:p>
    <w:p>
      <w:pPr>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 accordance with U.S. GAAP, the acquisition of minority interest must be accounted under the purchase method, using the market value of shares received by FEMSA in the exchange offer to determine the cost of the acquisition of such minority interest and the related goodwill. Under U.S. GAAP, the direct out-of-pocket costs identified with the purchase of minority interest are treated as additional goodwill.</w:t>
      </w:r>
    </w:p>
    <w:p>
      <w:pPr>
        <w:spacing w:after="0" w:line="25"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Additionally, SFAS No. 142 requires the allocation of all goodwill to the related reporting units. The allocation of the goodwill generated by the previously mentioned acquisition of minority interest was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FEMSA Cerveza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Ps.10,600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Coca-Cola FEMSA</w:t>
            </w:r>
          </w:p>
        </w:tc>
        <w:tc>
          <w:tcPr>
            <w:tcW w:w="760" w:type="dxa"/>
            <w:vAlign w:val="bottom"/>
          </w:tcPr>
          <w:p>
            <w:pPr>
              <w:jc w:val="right"/>
              <w:spacing w:after="0"/>
              <w:rPr>
                <w:sz w:val="20"/>
                <w:szCs w:val="20"/>
                <w:color w:val="auto"/>
              </w:rPr>
            </w:pPr>
            <w:r>
              <w:rPr>
                <w:rFonts w:ascii="Arial" w:cs="Arial" w:eastAsia="Arial" w:hAnsi="Arial"/>
                <w:sz w:val="18"/>
                <w:szCs w:val="18"/>
                <w:color w:val="auto"/>
              </w:rPr>
              <w:t>4,753</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r>
      <w:tr>
        <w:trPr>
          <w:trHeight w:val="216"/>
        </w:trPr>
        <w:tc>
          <w:tcPr>
            <w:tcW w:w="88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Ps.17,356</w:t>
            </w:r>
          </w:p>
        </w:tc>
      </w:tr>
      <w:tr>
        <w:trPr>
          <w:trHeight w:val="20"/>
        </w:trPr>
        <w:tc>
          <w:tcPr>
            <w:tcW w:w="8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96"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Under Mexican FRS, the Company presents a consolidated statement of changes in financial position in accordance with NIF Bulletin B-12, “Statement of Changes in Financial Position,” which identifies the generation and application of resources by the differences between beginning and ending balance sheet items presented in constant Mexican pesos. NIF Bulletin B-12 also requires that monetary and foreign exchange gains and losses be treated as cash items for the determination of resources generated by operating activities.</w:t>
      </w:r>
    </w:p>
    <w:p>
      <w:pPr>
        <w:spacing w:after="0" w:line="62"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accordance with U.S. GAAP, the Company follows SFAS No. 95, “Statement of Cash Flows,” which is presented in historical Mexican pesos, without the effects of inflation (see Note 26 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p)</w:t>
            </w:r>
          </w:p>
        </w:tc>
        <w:tc>
          <w:tcPr>
            <w:tcW w:w="494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Information Under U.S. GAAP:</w:t>
            </w:r>
          </w:p>
        </w:tc>
        <w:tc>
          <w:tcPr>
            <w:tcW w:w="3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Consolidated Balance Sheets</w:t>
            </w:r>
          </w:p>
        </w:tc>
        <w:tc>
          <w:tcPr>
            <w:tcW w:w="30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4"/>
                <w:szCs w:val="2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Ps. 2,914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Ps. 3,593</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Accounts receivable</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5,383</w:t>
            </w:r>
          </w:p>
        </w:tc>
        <w:tc>
          <w:tcPr>
            <w:tcW w:w="900" w:type="dxa"/>
            <w:vAlign w:val="bottom"/>
          </w:tcPr>
          <w:p>
            <w:pPr>
              <w:jc w:val="right"/>
              <w:spacing w:after="0"/>
              <w:rPr>
                <w:sz w:val="20"/>
                <w:szCs w:val="20"/>
                <w:color w:val="auto"/>
              </w:rPr>
            </w:pPr>
            <w:r>
              <w:rPr>
                <w:rFonts w:ascii="Arial" w:cs="Arial" w:eastAsia="Arial" w:hAnsi="Arial"/>
                <w:sz w:val="18"/>
                <w:szCs w:val="18"/>
                <w:color w:val="auto"/>
              </w:rPr>
              <w:t>5,012</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4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Recoverable taxes</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1,470</w:t>
            </w:r>
          </w:p>
        </w:tc>
        <w:tc>
          <w:tcPr>
            <w:tcW w:w="900" w:type="dxa"/>
            <w:vAlign w:val="bottom"/>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37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775</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 current assets</w:t>
            </w:r>
          </w:p>
        </w:tc>
        <w:tc>
          <w:tcPr>
            <w:tcW w:w="37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17,007</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15,448</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37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Coca-Cola FEMSA</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28,188</w:t>
            </w:r>
          </w:p>
        </w:tc>
        <w:tc>
          <w:tcPr>
            <w:tcW w:w="900" w:type="dxa"/>
            <w:vAlign w:val="bottom"/>
          </w:tcPr>
          <w:p>
            <w:pPr>
              <w:jc w:val="right"/>
              <w:spacing w:after="0"/>
              <w:rPr>
                <w:sz w:val="20"/>
                <w:szCs w:val="20"/>
                <w:color w:val="auto"/>
              </w:rPr>
            </w:pPr>
            <w:r>
              <w:rPr>
                <w:rFonts w:ascii="Arial" w:cs="Arial" w:eastAsia="Arial" w:hAnsi="Arial"/>
                <w:sz w:val="18"/>
                <w:szCs w:val="18"/>
                <w:color w:val="auto"/>
              </w:rPr>
              <w:t>24,043</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investments</w:t>
            </w:r>
          </w:p>
        </w:tc>
        <w:tc>
          <w:tcPr>
            <w:tcW w:w="4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32,725</w:t>
            </w:r>
          </w:p>
        </w:tc>
        <w:tc>
          <w:tcPr>
            <w:tcW w:w="900" w:type="dxa"/>
            <w:vAlign w:val="bottom"/>
          </w:tcPr>
          <w:p>
            <w:pPr>
              <w:jc w:val="right"/>
              <w:spacing w:after="0"/>
              <w:rPr>
                <w:sz w:val="20"/>
                <w:szCs w:val="20"/>
                <w:color w:val="auto"/>
              </w:rPr>
            </w:pPr>
            <w:r>
              <w:rPr>
                <w:rFonts w:ascii="Arial" w:cs="Arial" w:eastAsia="Arial" w:hAnsi="Arial"/>
                <w:sz w:val="18"/>
                <w:szCs w:val="18"/>
                <w:color w:val="auto"/>
              </w:rPr>
              <w:t>31,151</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34,830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33,926</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Bottles and cases</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1,950</w:t>
            </w:r>
          </w:p>
        </w:tc>
        <w:tc>
          <w:tcPr>
            <w:tcW w:w="900" w:type="dxa"/>
            <w:vAlign w:val="bottom"/>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7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9,688</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2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ASSETS</w:t>
            </w:r>
          </w:p>
        </w:tc>
        <w:tc>
          <w:tcPr>
            <w:tcW w:w="3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Ps.124,775</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Ps.114,693</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3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Ps. 2,390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Ps. 2,489</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Interest payable</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202</w:t>
            </w: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Current maturities of long-term debt</w:t>
            </w:r>
          </w:p>
        </w:tc>
        <w:tc>
          <w:tcPr>
            <w:tcW w:w="4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Suppliers</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8,317</w:t>
            </w:r>
          </w:p>
        </w:tc>
        <w:tc>
          <w:tcPr>
            <w:tcW w:w="900" w:type="dxa"/>
            <w:vAlign w:val="bottom"/>
          </w:tcPr>
          <w:p>
            <w:pPr>
              <w:jc w:val="right"/>
              <w:spacing w:after="0"/>
              <w:rPr>
                <w:sz w:val="20"/>
                <w:szCs w:val="20"/>
                <w:color w:val="auto"/>
              </w:rPr>
            </w:pPr>
            <w:r>
              <w:rPr>
                <w:rFonts w:ascii="Arial" w:cs="Arial" w:eastAsia="Arial" w:hAnsi="Arial"/>
                <w:sz w:val="18"/>
                <w:szCs w:val="18"/>
                <w:color w:val="auto"/>
              </w:rPr>
              <w:t>7,104</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taxes liability</w:t>
            </w:r>
          </w:p>
        </w:tc>
        <w:tc>
          <w:tcPr>
            <w:tcW w:w="4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Taxes payable</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8"/>
                <w:szCs w:val="18"/>
                <w:color w:val="auto"/>
              </w:rPr>
              <w:t>1,576</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Accounts payable, accrued expenses and other liabilities</w:t>
            </w:r>
          </w:p>
        </w:tc>
        <w:tc>
          <w:tcPr>
            <w:tcW w:w="37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3,096</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 current liabilities</w:t>
            </w:r>
          </w:p>
        </w:tc>
        <w:tc>
          <w:tcPr>
            <w:tcW w:w="37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18,579</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14,814</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37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Bank loans and notes payable</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16,569</w:t>
            </w:r>
          </w:p>
        </w:tc>
        <w:tc>
          <w:tcPr>
            <w:tcW w:w="900" w:type="dxa"/>
            <w:vAlign w:val="bottom"/>
          </w:tcPr>
          <w:p>
            <w:pPr>
              <w:jc w:val="right"/>
              <w:spacing w:after="0"/>
              <w:rPr>
                <w:sz w:val="20"/>
                <w:szCs w:val="20"/>
                <w:color w:val="auto"/>
              </w:rPr>
            </w:pPr>
            <w:r>
              <w:rPr>
                <w:rFonts w:ascii="Arial" w:cs="Arial" w:eastAsia="Arial" w:hAnsi="Arial"/>
                <w:sz w:val="18"/>
                <w:szCs w:val="18"/>
                <w:color w:val="auto"/>
              </w:rPr>
              <w:t>18,749</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taxes liability</w:t>
            </w:r>
          </w:p>
        </w:tc>
        <w:tc>
          <w:tcPr>
            <w:tcW w:w="4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Labor liabilities</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3,323</w:t>
            </w:r>
          </w:p>
        </w:tc>
        <w:tc>
          <w:tcPr>
            <w:tcW w:w="900" w:type="dxa"/>
            <w:vAlign w:val="bottom"/>
          </w:tcPr>
          <w:p>
            <w:pPr>
              <w:jc w:val="right"/>
              <w:spacing w:after="0"/>
              <w:rPr>
                <w:sz w:val="20"/>
                <w:szCs w:val="20"/>
                <w:color w:val="auto"/>
              </w:rPr>
            </w:pPr>
            <w:r>
              <w:rPr>
                <w:rFonts w:ascii="Arial" w:cs="Arial" w:eastAsia="Arial" w:hAnsi="Arial"/>
                <w:sz w:val="18"/>
                <w:szCs w:val="18"/>
                <w:color w:val="auto"/>
              </w:rPr>
              <w:t>3,013</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7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color w:val="auto"/>
              </w:rPr>
              <w:t>Total long-term liabilities</w:t>
            </w:r>
          </w:p>
        </w:tc>
        <w:tc>
          <w:tcPr>
            <w:tcW w:w="37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22,892</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25,788</w:t>
            </w:r>
          </w:p>
        </w:tc>
        <w:tc>
          <w:tcPr>
            <w:tcW w:w="2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41,471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40,602</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Minority interest in consolidated subsidiaries</w:t>
            </w:r>
          </w:p>
        </w:tc>
        <w:tc>
          <w:tcPr>
            <w:tcW w:w="4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698</w:t>
            </w: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7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82,606</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73,925</w:t>
            </w:r>
          </w:p>
        </w:tc>
        <w:tc>
          <w:tcPr>
            <w:tcW w:w="2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494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37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Ps.124,775</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Ps.114,693</w:t>
            </w:r>
          </w:p>
        </w:tc>
        <w:tc>
          <w:tcPr>
            <w:tcW w:w="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20" w:type="dxa"/>
            <w:vAlign w:val="bottom"/>
            <w:gridSpan w:val="3"/>
          </w:tcPr>
          <w:p>
            <w:pPr>
              <w:ind w:left="300"/>
              <w:spacing w:after="0"/>
              <w:rPr>
                <w:sz w:val="20"/>
                <w:szCs w:val="20"/>
                <w:color w:val="auto"/>
              </w:rPr>
            </w:pPr>
            <w:r>
              <w:rPr>
                <w:rFonts w:ascii="Arial" w:cs="Arial" w:eastAsia="Arial" w:hAnsi="Arial"/>
                <w:sz w:val="18"/>
                <w:szCs w:val="18"/>
                <w:color w:val="auto"/>
              </w:rPr>
              <w:t>F-48</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Statements of Income and Comprehensive Income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2007</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2006</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2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Ps.82,887</w:t>
            </w: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Ps.75,288</w:t>
            </w: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Ps.62,709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Other operating revenues</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83,362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75,704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63,031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48,788</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44,059</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36,594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34,574</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31,645</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26,437</w:t>
            </w:r>
          </w:p>
        </w:tc>
        <w:tc>
          <w:tcPr>
            <w:tcW w:w="60" w:type="dxa"/>
            <w:vAlign w:val="bottom"/>
            <w:shd w:val="clear" w:color="auto" w:fill="CCEEFF"/>
          </w:tcPr>
          <w:p>
            <w:pPr>
              <w:spacing w:after="0"/>
              <w:rPr>
                <w:sz w:val="18"/>
                <w:szCs w:val="18"/>
                <w:color w:val="auto"/>
              </w:rPr>
            </w:pPr>
          </w:p>
        </w:tc>
      </w:tr>
      <w:tr>
        <w:trPr>
          <w:trHeight w:val="222"/>
        </w:trPr>
        <w:tc>
          <w:tcPr>
            <w:tcW w:w="66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Selling</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20,920</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18,135</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14,438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26,864</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23,824</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19,526</w:t>
            </w:r>
          </w:p>
        </w:tc>
        <w:tc>
          <w:tcPr>
            <w:tcW w:w="60" w:type="dxa"/>
            <w:vAlign w:val="bottom"/>
            <w:shd w:val="clear" w:color="auto" w:fill="CCEEFF"/>
          </w:tcPr>
          <w:p>
            <w:pPr>
              <w:spacing w:after="0"/>
              <w:rPr>
                <w:sz w:val="18"/>
                <w:szCs w:val="18"/>
                <w:color w:val="auto"/>
              </w:rPr>
            </w:pPr>
          </w:p>
        </w:tc>
      </w:tr>
      <w:tr>
        <w:trPr>
          <w:trHeight w:val="222"/>
        </w:trPr>
        <w:tc>
          <w:tcPr>
            <w:tcW w:w="660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7,710</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7,821</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6,911</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result of financing:</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(2,417)</w:t>
            </w:r>
          </w:p>
        </w:tc>
        <w:tc>
          <w:tcPr>
            <w:tcW w:w="2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(2,003)</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(1,850)</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Foreign exchange gain (loss), net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monetary position, net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w w:val="96"/>
              </w:rPr>
              <w:t>Market value (loss) gain on ineffective portion of derivative financial instruments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94"/>
              </w:rPr>
              <w:t>(1,048)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(1,137)</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(1,286)</w:t>
            </w: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6,538</w:t>
            </w: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Taxes</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minority interest and participation in affiliated companies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Participation in affiliated companies: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Arial" w:cs="Arial" w:eastAsia="Arial" w:hAnsi="Arial"/>
                <w:sz w:val="18"/>
                <w:szCs w:val="18"/>
                <w:color w:val="auto"/>
              </w:rPr>
              <w:t>Coca-Cola FEMSA</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3,635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affiliated companies</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3,661</w:t>
            </w: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3"/>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1,649</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346</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(1,072)</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Ps.10,206</w:t>
            </w: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60" w:type="dxa"/>
            <w:vAlign w:val="bottom"/>
            <w:shd w:val="clear" w:color="auto" w:fill="CCEEFF"/>
          </w:tcPr>
          <w:p>
            <w:pPr>
              <w:spacing w:after="0"/>
              <w:rPr>
                <w:sz w:val="18"/>
                <w:szCs w:val="18"/>
                <w:color w:val="auto"/>
              </w:rPr>
            </w:pPr>
          </w:p>
        </w:tc>
      </w:tr>
      <w:tr>
        <w:trPr>
          <w:trHeight w:val="221"/>
        </w:trPr>
        <w:tc>
          <w:tcPr>
            <w:tcW w:w="6600" w:type="dxa"/>
            <w:vAlign w:val="bottom"/>
            <w:gridSpan w:val="3"/>
          </w:tcPr>
          <w:p>
            <w:pPr>
              <w:spacing w:after="0"/>
              <w:rPr>
                <w:sz w:val="20"/>
                <w:szCs w:val="20"/>
                <w:color w:val="auto"/>
              </w:rPr>
            </w:pPr>
            <w:r>
              <w:rPr>
                <w:rFonts w:ascii="Arial" w:cs="Arial" w:eastAsia="Arial" w:hAnsi="Arial"/>
                <w:sz w:val="18"/>
                <w:szCs w:val="18"/>
                <w:color w:val="auto"/>
              </w:rPr>
              <w:t>Net income per share (constant Mexican pesos):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Series “B” share</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3"/>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Per Series “D” share</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0.43</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60" w:type="dxa"/>
            <w:vAlign w:val="bottom"/>
          </w:tcPr>
          <w:p>
            <w:pPr>
              <w:ind w:left="1140"/>
              <w:spacing w:after="0"/>
              <w:rPr>
                <w:sz w:val="20"/>
                <w:szCs w:val="20"/>
                <w:color w:val="auto"/>
              </w:rPr>
            </w:pPr>
            <w:r>
              <w:rPr>
                <w:rFonts w:ascii="Arial" w:cs="Arial" w:eastAsia="Arial" w:hAnsi="Arial"/>
                <w:sz w:val="18"/>
                <w:szCs w:val="18"/>
                <w:color w:val="auto"/>
              </w:rPr>
              <w:t>F-49</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Consolidated Cash Flows </w:t>
            </w:r>
            <w:r>
              <w:rPr>
                <w:rFonts w:ascii="Arial" w:cs="Arial" w:eastAsia="Arial" w:hAnsi="Arial"/>
                <w:sz w:val="22"/>
                <w:szCs w:val="22"/>
                <w:b w:val="1"/>
                <w:bCs w:val="1"/>
                <w:color w:val="auto"/>
                <w:vertAlign w:val="superscript"/>
              </w:rPr>
              <w:t>(1)</w:t>
            </w: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153"/>
              <w:spacing w:after="0"/>
              <w:rPr>
                <w:sz w:val="20"/>
                <w:szCs w:val="20"/>
                <w:color w:val="auto"/>
              </w:rPr>
            </w:pPr>
            <w:r>
              <w:rPr>
                <w:rFonts w:ascii="Arial" w:cs="Arial" w:eastAsia="Arial" w:hAnsi="Arial"/>
                <w:sz w:val="14"/>
                <w:szCs w:val="14"/>
                <w:b w:val="1"/>
                <w:bCs w:val="1"/>
                <w:color w:val="auto"/>
                <w:w w:val="89"/>
              </w:rPr>
              <w:t>2006</w:t>
            </w:r>
          </w:p>
        </w:tc>
        <w:tc>
          <w:tcPr>
            <w:tcW w:w="6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Ps. 8,557</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6,973</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Ps. 6,059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860"/>
              <w:spacing w:after="0"/>
              <w:rPr>
                <w:sz w:val="20"/>
                <w:szCs w:val="20"/>
                <w:color w:val="auto"/>
              </w:rPr>
            </w:pPr>
            <w:r>
              <w:rPr>
                <w:rFonts w:ascii="Arial" w:cs="Arial" w:eastAsia="Arial" w:hAnsi="Arial"/>
                <w:sz w:val="18"/>
                <w:szCs w:val="18"/>
                <w:color w:val="auto"/>
              </w:rPr>
              <w:t>Minority interest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(169)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Inflation effect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(722)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860"/>
              <w:spacing w:after="0"/>
              <w:rPr>
                <w:sz w:val="20"/>
                <w:szCs w:val="20"/>
                <w:color w:val="auto"/>
              </w:rPr>
            </w:pPr>
            <w:r>
              <w:rPr>
                <w:rFonts w:ascii="Arial" w:cs="Arial" w:eastAsia="Arial" w:hAnsi="Arial"/>
                <w:sz w:val="18"/>
                <w:szCs w:val="18"/>
                <w:color w:val="auto"/>
              </w:rPr>
              <w:t>Depreciation</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2,114</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2,080</w:t>
            </w:r>
          </w:p>
        </w:tc>
        <w:tc>
          <w:tcPr>
            <w:tcW w:w="680" w:type="dxa"/>
            <w:vAlign w:val="bottom"/>
          </w:tcPr>
          <w:p>
            <w:pPr>
              <w:jc w:val="right"/>
              <w:spacing w:after="0"/>
              <w:rPr>
                <w:sz w:val="20"/>
                <w:szCs w:val="20"/>
                <w:color w:val="auto"/>
              </w:rPr>
            </w:pPr>
            <w:r>
              <w:rPr>
                <w:rFonts w:ascii="Arial" w:cs="Arial" w:eastAsia="Arial" w:hAnsi="Arial"/>
                <w:sz w:val="18"/>
                <w:szCs w:val="18"/>
                <w:color w:val="auto"/>
              </w:rPr>
              <w:t>1,930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860"/>
              <w:spacing w:after="0"/>
              <w:rPr>
                <w:sz w:val="20"/>
                <w:szCs w:val="20"/>
                <w:color w:val="auto"/>
              </w:rPr>
            </w:pPr>
            <w:r>
              <w:rPr>
                <w:rFonts w:ascii="Arial" w:cs="Arial" w:eastAsia="Arial" w:hAnsi="Arial"/>
                <w:sz w:val="18"/>
                <w:szCs w:val="18"/>
                <w:color w:val="auto"/>
              </w:rPr>
              <w:t>Participation in affiliated companies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(3,661)</w:t>
            </w: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(2,332)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taxes</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(719)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860"/>
              <w:spacing w:after="0"/>
              <w:rPr>
                <w:sz w:val="20"/>
                <w:szCs w:val="20"/>
                <w:color w:val="auto"/>
              </w:rPr>
            </w:pPr>
            <w:r>
              <w:rPr>
                <w:rFonts w:ascii="Arial" w:cs="Arial" w:eastAsia="Arial" w:hAnsi="Arial"/>
                <w:sz w:val="18"/>
                <w:szCs w:val="18"/>
                <w:color w:val="auto"/>
              </w:rPr>
              <w:t>Other non-cash charges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1,332</w:t>
            </w:r>
          </w:p>
        </w:tc>
        <w:tc>
          <w:tcPr>
            <w:tcW w:w="680" w:type="dxa"/>
            <w:vAlign w:val="bottom"/>
          </w:tcPr>
          <w:p>
            <w:pPr>
              <w:jc w:val="right"/>
              <w:spacing w:after="0"/>
              <w:rPr>
                <w:sz w:val="20"/>
                <w:szCs w:val="20"/>
                <w:color w:val="auto"/>
              </w:rPr>
            </w:pPr>
            <w:r>
              <w:rPr>
                <w:rFonts w:ascii="Arial" w:cs="Arial" w:eastAsia="Arial" w:hAnsi="Arial"/>
                <w:sz w:val="18"/>
                <w:szCs w:val="18"/>
                <w:color w:val="auto"/>
              </w:rPr>
              <w:t>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business acquisitions:</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860"/>
              <w:spacing w:after="0"/>
              <w:rPr>
                <w:sz w:val="20"/>
                <w:szCs w:val="20"/>
                <w:color w:val="auto"/>
              </w:rPr>
            </w:pPr>
            <w:r>
              <w:rPr>
                <w:rFonts w:ascii="Arial" w:cs="Arial" w:eastAsia="Arial" w:hAnsi="Arial"/>
                <w:sz w:val="18"/>
                <w:szCs w:val="18"/>
                <w:color w:val="auto"/>
              </w:rPr>
              <w:t>Working capital investment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(340)</w:t>
            </w: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(3,026)</w:t>
            </w: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Dividends received from Coca-Cola FEMSA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860"/>
              <w:spacing w:after="0"/>
              <w:rPr>
                <w:sz w:val="20"/>
                <w:szCs w:val="20"/>
                <w:color w:val="auto"/>
              </w:rPr>
            </w:pPr>
            <w:r>
              <w:rPr>
                <w:rFonts w:ascii="Arial" w:cs="Arial" w:eastAsia="Arial" w:hAnsi="Arial"/>
                <w:sz w:val="18"/>
                <w:szCs w:val="18"/>
                <w:color w:val="auto"/>
              </w:rPr>
              <w:t>Recoverable taxes, net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(422)</w:t>
            </w: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(481)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payable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860"/>
              <w:spacing w:after="0"/>
              <w:rPr>
                <w:sz w:val="20"/>
                <w:szCs w:val="20"/>
                <w:color w:val="auto"/>
              </w:rPr>
            </w:pPr>
            <w:r>
              <w:rPr>
                <w:rFonts w:ascii="Arial" w:cs="Arial" w:eastAsia="Arial" w:hAnsi="Arial"/>
                <w:sz w:val="18"/>
                <w:szCs w:val="18"/>
                <w:color w:val="auto"/>
              </w:rPr>
              <w:t>Labor obligations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(171)</w:t>
            </w: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(366)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8,227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Acquisitions of Coca-Cola FEMSA minority interest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(4,601)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Acquisitions by FEMSA Cerveza, net of cash acquired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(1,711)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of property, plant and equipment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Investment in property, plant and equipment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(3,825)</w:t>
            </w: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(3,182)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(3,885)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(3,091)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Bottles and cases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(245)</w:t>
            </w: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(95)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in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Net cash flows used in investing activities</w:t>
            </w:r>
          </w:p>
        </w:tc>
        <w:tc>
          <w:tcPr>
            <w:tcW w:w="70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gridSpan w:val="3"/>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(7,440)</w:t>
            </w:r>
          </w:p>
        </w:tc>
        <w:tc>
          <w:tcPr>
            <w:tcW w:w="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(12,582)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Increase in capital stock</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 obtained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6,660</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Bank loans paid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(6,368)</w:t>
            </w: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(1,486)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Derivative financial instruments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(273)</w:t>
            </w: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(498)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financing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Net cash flows (used in) provided by financing activities</w:t>
            </w:r>
          </w:p>
        </w:tc>
        <w:tc>
          <w:tcPr>
            <w:tcW w:w="70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gridSpan w:val="3"/>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(1,437)</w:t>
            </w:r>
          </w:p>
        </w:tc>
        <w:tc>
          <w:tcPr>
            <w:tcW w:w="6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4,147</w:t>
            </w:r>
          </w:p>
        </w:tc>
        <w:tc>
          <w:tcPr>
            <w:tcW w:w="68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(549)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Initial balance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3,463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6,182</w:t>
            </w:r>
          </w:p>
        </w:tc>
        <w:tc>
          <w:tcPr>
            <w:tcW w:w="680" w:type="dxa"/>
            <w:vAlign w:val="bottom"/>
          </w:tcPr>
          <w:p>
            <w:pPr>
              <w:jc w:val="right"/>
              <w:spacing w:after="0"/>
              <w:rPr>
                <w:sz w:val="20"/>
                <w:szCs w:val="20"/>
                <w:color w:val="auto"/>
              </w:rPr>
            </w:pPr>
            <w:r>
              <w:rPr>
                <w:rFonts w:ascii="Arial" w:cs="Arial" w:eastAsia="Arial" w:hAnsi="Arial"/>
                <w:sz w:val="18"/>
                <w:szCs w:val="18"/>
                <w:color w:val="auto"/>
              </w:rPr>
              <w:t>3,220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Ps. 2,914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3,463</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Ps. 6,182</w:t>
            </w:r>
          </w:p>
        </w:tc>
        <w:tc>
          <w:tcPr>
            <w:tcW w:w="0" w:type="dxa"/>
            <w:vAlign w:val="bottom"/>
          </w:tcPr>
          <w:p>
            <w:pPr>
              <w:spacing w:after="0"/>
              <w:rPr>
                <w:sz w:val="1"/>
                <w:szCs w:val="1"/>
                <w:color w:val="auto"/>
              </w:rPr>
            </w:pPr>
          </w:p>
        </w:tc>
      </w:tr>
      <w:tr>
        <w:trPr>
          <w:trHeight w:val="222"/>
        </w:trPr>
        <w:tc>
          <w:tcPr>
            <w:tcW w:w="6940" w:type="dxa"/>
            <w:vAlign w:val="bottom"/>
            <w:gridSpan w:val="3"/>
          </w:tcPr>
          <w:p>
            <w:pPr>
              <w:spacing w:after="0"/>
              <w:rPr>
                <w:sz w:val="20"/>
                <w:szCs w:val="20"/>
                <w:color w:val="auto"/>
              </w:rPr>
            </w:pPr>
            <w:r>
              <w:rPr>
                <w:rFonts w:ascii="Arial" w:cs="Arial" w:eastAsia="Arial" w:hAnsi="Arial"/>
                <w:sz w:val="18"/>
                <w:szCs w:val="18"/>
                <w:color w:val="auto"/>
              </w:rPr>
              <w:t>Supplemental cash flow information:</w:t>
            </w: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Ps.(2,310)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Ps.(2,033)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Income taxes and tax on assets paid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(2,699)</w:t>
            </w:r>
          </w:p>
        </w:tc>
        <w:tc>
          <w:tcPr>
            <w:tcW w:w="22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(2,463)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540" w:right="3760" w:hanging="5532"/>
        <w:spacing w:after="0" w:line="525" w:lineRule="auto"/>
        <w:tabs>
          <w:tab w:leader="none" w:pos="4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Expressed in millions of historical Mexican pesos, except for Net Income and Minority Interest. F-50</w:t>
      </w:r>
    </w:p>
    <w:p>
      <w:pPr>
        <w:sectPr>
          <w:pgSz w:w="11900" w:h="16838" w:orient="portrait"/>
          <w:cols w:equalWidth="0" w:num="1">
            <w:col w:w="10960"/>
          </w:cols>
          <w:pgMar w:left="240" w:top="460" w:right="6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w w:val="91"/>
              </w:rPr>
              <w:t>Consolidated Statements of Changes in Stockholders’ Equity</w:t>
            </w:r>
          </w:p>
        </w:tc>
        <w:tc>
          <w:tcPr>
            <w:tcW w:w="52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72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6"/>
              </w:rPr>
              <w:t>Stockholders’ equity at the beginning of the year</w:t>
            </w:r>
          </w:p>
        </w:tc>
        <w:tc>
          <w:tcPr>
            <w:tcW w:w="4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w w:val="82"/>
              </w:rPr>
              <w:t>Ps.73,925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Ps.68,554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600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(1,525)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Adoption of SFAS No. 158</w:t>
            </w:r>
          </w:p>
        </w:tc>
        <w:tc>
          <w:tcPr>
            <w:tcW w:w="4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6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398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Labor liabilities</w:t>
            </w:r>
          </w:p>
        </w:tc>
        <w:tc>
          <w:tcPr>
            <w:tcW w:w="60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82</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translation adjustment</w:t>
            </w:r>
          </w:p>
        </w:tc>
        <w:tc>
          <w:tcPr>
            <w:tcW w:w="6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Result of holding non-monetary assets</w:t>
            </w:r>
          </w:p>
        </w:tc>
        <w:tc>
          <w:tcPr>
            <w:tcW w:w="458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605</w:t>
            </w:r>
          </w:p>
        </w:tc>
        <w:tc>
          <w:tcPr>
            <w:tcW w:w="70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1,649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income</w:t>
            </w:r>
          </w:p>
        </w:tc>
        <w:tc>
          <w:tcPr>
            <w:tcW w:w="458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8,557</w:t>
            </w:r>
          </w:p>
        </w:tc>
        <w:tc>
          <w:tcPr>
            <w:tcW w:w="700" w:type="dxa"/>
            <w:vAlign w:val="bottom"/>
          </w:tcPr>
          <w:p>
            <w:pPr>
              <w:jc w:val="right"/>
              <w:spacing w:after="0"/>
              <w:rPr>
                <w:sz w:val="20"/>
                <w:szCs w:val="20"/>
                <w:color w:val="auto"/>
              </w:rPr>
            </w:pPr>
            <w:r>
              <w:rPr>
                <w:rFonts w:ascii="Arial" w:cs="Arial" w:eastAsia="Arial" w:hAnsi="Arial"/>
                <w:sz w:val="18"/>
                <w:szCs w:val="18"/>
                <w:color w:val="auto"/>
              </w:rPr>
              <w:t>6,973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the end of the year</w:t>
            </w:r>
          </w:p>
        </w:tc>
        <w:tc>
          <w:tcPr>
            <w:tcW w:w="4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w w:val="82"/>
              </w:rPr>
              <w:t>Ps.82,606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Ps.73,925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Reconciliation of Mexican FRS to U.S. GAAP.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8060" w:type="dxa"/>
            <w:vAlign w:val="bottom"/>
          </w:tcPr>
          <w:p>
            <w:pPr>
              <w:ind w:left="160"/>
              <w:spacing w:after="0"/>
              <w:rPr>
                <w:sz w:val="20"/>
                <w:szCs w:val="20"/>
                <w:color w:val="auto"/>
              </w:rPr>
            </w:pPr>
            <w:r>
              <w:rPr>
                <w:rFonts w:ascii="Arial" w:cs="Arial" w:eastAsia="Arial" w:hAnsi="Arial"/>
                <w:sz w:val="18"/>
                <w:szCs w:val="18"/>
                <w:b w:val="1"/>
                <w:bCs w:val="1"/>
                <w:color w:val="auto"/>
              </w:rPr>
              <w:t>Reconciliation of Net Income: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5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majority income under Mexican FRS</w:t>
            </w: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2"/>
              </w:rPr>
              <w:t>Ps. 8,511</w:t>
            </w:r>
          </w:p>
        </w:tc>
        <w:tc>
          <w:tcPr>
            <w:tcW w:w="144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7"/>
              </w:rPr>
              <w:t>Ps.7,127</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Ps.5,951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U.S. GAAP adjustments: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Restatement of prior year financial statements (Note 26 b)</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Participation in Coca-Cola FEMSA (Note 26 a)</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Start-up expenses (Note 26 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Restatement of imported equipment (Note 26 g)</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(31)</w:t>
            </w: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(56)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Capitalization of the integral result of financing (Note 26 h)</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w:t>
            </w: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Deferred income taxes (Note 26 j)</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employee profit sharing (Note 26 j)</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Labor liabilities (Note 26 k)</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minority interest (Note 26 l)</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Minority interest (Note 26 m)</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financial instruments (Note 26 i)</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Total U.S. GAAP adjustments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(154)</w:t>
            </w: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under U.S. GAAP</w:t>
            </w: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2"/>
              </w:rPr>
              <w:t>Ps. 8,557</w:t>
            </w:r>
          </w:p>
        </w:tc>
        <w:tc>
          <w:tcPr>
            <w:tcW w:w="144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7"/>
              </w:rPr>
              <w:t>Ps.6,973</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Ps.6,059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spacing w:after="0" w:line="332" w:lineRule="auto"/>
        <w:rPr>
          <w:sz w:val="20"/>
          <w:szCs w:val="20"/>
          <w:color w:val="auto"/>
        </w:rPr>
      </w:pPr>
      <w:r>
        <w:rPr>
          <w:rFonts w:ascii="Arial" w:cs="Arial" w:eastAsia="Arial" w:hAnsi="Arial"/>
          <w:sz w:val="16"/>
          <w:szCs w:val="16"/>
          <w:color w:val="auto"/>
        </w:rPr>
        <w:t>Under U.S. GAAP, the monetary position effect of the income statement adjustments is included in each adjustment, except for the capitalization of the integral result of financing, intangible assets and goodwill as well as pension plan liabilities, which are non-monetary.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Stockholders’ Equity: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Majority stockholders’ equity under Mexican FRS</w:t>
            </w:r>
          </w:p>
        </w:tc>
        <w:tc>
          <w:tcPr>
            <w:tcW w:w="3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5"/>
              </w:rPr>
              <w:t>Ps.64,578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3"/>
              </w:rPr>
              <w:t>Ps.56,654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U.S. GAAP adjustments: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prior year financial statements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Arial" w:cs="Arial" w:eastAsia="Arial" w:hAnsi="Arial"/>
                <w:sz w:val="18"/>
                <w:szCs w:val="18"/>
                <w:color w:val="auto"/>
              </w:rPr>
              <w:t>Participation in Coca-Cola FEMSA (Note 26 a)</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Start-up expenses (Note 26 e)</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(207)</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Arial" w:cs="Arial" w:eastAsia="Arial" w:hAnsi="Arial"/>
                <w:sz w:val="18"/>
                <w:szCs w:val="18"/>
                <w:color w:val="auto"/>
              </w:rPr>
              <w:t>Intangible assets and goodwill (Note 26 f)</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imported equipment (Note 26 g)</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Arial" w:cs="Arial" w:eastAsia="Arial" w:hAnsi="Arial"/>
                <w:sz w:val="18"/>
                <w:szCs w:val="18"/>
                <w:color w:val="auto"/>
              </w:rPr>
              <w:t>Capitalization of the integral result of financing (Note 26 h)</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(Note 26 j)</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Arial" w:cs="Arial" w:eastAsia="Arial" w:hAnsi="Arial"/>
                <w:sz w:val="18"/>
                <w:szCs w:val="18"/>
                <w:color w:val="auto"/>
              </w:rPr>
              <w:t>Deferred employee profit sharing (Note 26 j)</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(483)</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Labor liabilities (Note 26 k)</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(1,271)</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Arial" w:cs="Arial" w:eastAsia="Arial" w:hAnsi="Arial"/>
                <w:sz w:val="18"/>
                <w:szCs w:val="18"/>
                <w:color w:val="auto"/>
              </w:rPr>
              <w:t>Acquisition of Coca-Cola FEMSA minority interest (Note 26 l)</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1,609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 by FEMSA Cerveza (Note 26 l)</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tcPr>
          <w:p>
            <w:pPr>
              <w:ind w:left="440"/>
              <w:spacing w:after="0"/>
              <w:rPr>
                <w:sz w:val="20"/>
                <w:szCs w:val="20"/>
                <w:color w:val="auto"/>
              </w:rPr>
            </w:pPr>
            <w:r>
              <w:rPr>
                <w:rFonts w:ascii="Arial" w:cs="Arial" w:eastAsia="Arial" w:hAnsi="Arial"/>
                <w:sz w:val="18"/>
                <w:szCs w:val="18"/>
                <w:color w:val="auto"/>
              </w:rPr>
              <w:t>Minority interest (Note 26 m)</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FEMSA’s minority interest acquisition (Note 26 n)</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17,145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17,145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Total U.S. GAAP adjustments</w:t>
            </w:r>
          </w:p>
        </w:tc>
        <w:tc>
          <w:tcPr>
            <w:tcW w:w="34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18,028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17,271</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under U.S. GAAP</w:t>
            </w:r>
          </w:p>
        </w:tc>
        <w:tc>
          <w:tcPr>
            <w:tcW w:w="3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5"/>
              </w:rPr>
              <w:t>Ps.82,606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3"/>
              </w:rPr>
              <w:t>Ps.73,925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w:t>
            </w:r>
          </w:p>
        </w:tc>
        <w:tc>
          <w:tcPr>
            <w:tcW w:w="8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Reconciliation of Comprehensive Income:</w:t>
            </w: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0" w:type="dxa"/>
            <w:vAlign w:val="bottom"/>
            <w:gridSpan w:val="2"/>
            <w:vMerge w:val="continue"/>
          </w:tcPr>
          <w:p>
            <w:pPr>
              <w:spacing w:after="0"/>
              <w:rPr>
                <w:sz w:val="24"/>
                <w:szCs w:val="24"/>
                <w:color w:val="auto"/>
              </w:rPr>
            </w:pPr>
          </w:p>
        </w:tc>
        <w:tc>
          <w:tcPr>
            <w:tcW w:w="81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72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Majority comprehensive income under Mexican FRS</w:t>
            </w:r>
          </w:p>
        </w:tc>
        <w:tc>
          <w:tcPr>
            <w:tcW w:w="11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0"/>
              </w:rPr>
              <w:t>Ps. 9,417</w:t>
            </w:r>
          </w:p>
        </w:tc>
        <w:tc>
          <w:tcPr>
            <w:tcW w:w="78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87"/>
              </w:rPr>
              <w:t>Ps.6,998</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Ps.4,356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Arial" w:cs="Arial" w:eastAsia="Arial" w:hAnsi="Arial"/>
                <w:sz w:val="18"/>
                <w:szCs w:val="18"/>
                <w:color w:val="auto"/>
              </w:rPr>
              <w:t>U.S. GAAP adjustments: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(Note 27 a)</w:t>
            </w:r>
          </w:p>
        </w:tc>
        <w:tc>
          <w:tcPr>
            <w:tcW w:w="10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10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w w:val="79"/>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00" w:type="dxa"/>
            <w:vAlign w:val="bottom"/>
            <w:gridSpan w:val="2"/>
          </w:tcPr>
          <w:p>
            <w:pPr>
              <w:ind w:left="140"/>
              <w:spacing w:after="0"/>
              <w:rPr>
                <w:sz w:val="20"/>
                <w:szCs w:val="20"/>
                <w:color w:val="auto"/>
              </w:rPr>
            </w:pPr>
            <w:r>
              <w:rPr>
                <w:rFonts w:ascii="Arial" w:cs="Arial" w:eastAsia="Arial" w:hAnsi="Arial"/>
                <w:sz w:val="18"/>
                <w:szCs w:val="18"/>
                <w:color w:val="auto"/>
              </w:rPr>
              <w:t>Result of holding non-monetary assets</w:t>
            </w:r>
          </w:p>
        </w:tc>
        <w:tc>
          <w:tcPr>
            <w:tcW w:w="106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18"/>
                <w:szCs w:val="18"/>
                <w:color w:val="auto"/>
              </w:rPr>
            </w:pPr>
          </w:p>
        </w:tc>
        <w:tc>
          <w:tcPr>
            <w:tcW w:w="680" w:type="dxa"/>
            <w:vAlign w:val="bottom"/>
            <w:gridSpan w:val="3"/>
          </w:tcPr>
          <w:p>
            <w:pPr>
              <w:ind w:left="400"/>
              <w:spacing w:after="0"/>
              <w:rPr>
                <w:sz w:val="20"/>
                <w:szCs w:val="20"/>
                <w:color w:val="auto"/>
              </w:rPr>
            </w:pPr>
            <w:r>
              <w:rPr>
                <w:rFonts w:ascii="Arial" w:cs="Arial" w:eastAsia="Arial" w:hAnsi="Arial"/>
                <w:sz w:val="18"/>
                <w:szCs w:val="18"/>
                <w:color w:val="auto"/>
                <w:w w:val="86"/>
              </w:rPr>
              <w:t>475</w:t>
            </w:r>
          </w:p>
        </w:tc>
        <w:tc>
          <w:tcPr>
            <w:tcW w:w="100" w:type="dxa"/>
            <w:vAlign w:val="bottom"/>
          </w:tcPr>
          <w:p>
            <w:pPr>
              <w:spacing w:after="0"/>
              <w:rPr>
                <w:sz w:val="18"/>
                <w:szCs w:val="18"/>
                <w:color w:val="auto"/>
              </w:rPr>
            </w:pPr>
          </w:p>
        </w:tc>
        <w:tc>
          <w:tcPr>
            <w:tcW w:w="1080" w:type="dxa"/>
            <w:vAlign w:val="bottom"/>
            <w:gridSpan w:val="3"/>
          </w:tcPr>
          <w:p>
            <w:pPr>
              <w:ind w:left="820"/>
              <w:spacing w:after="0"/>
              <w:rPr>
                <w:sz w:val="20"/>
                <w:szCs w:val="20"/>
                <w:color w:val="auto"/>
              </w:rPr>
            </w:pPr>
            <w:r>
              <w:rPr>
                <w:rFonts w:ascii="Arial" w:cs="Arial" w:eastAsia="Arial" w:hAnsi="Arial"/>
                <w:sz w:val="18"/>
                <w:szCs w:val="18"/>
                <w:color w:val="auto"/>
                <w:w w:val="79"/>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w w:val="79"/>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00" w:type="dxa"/>
            <w:vAlign w:val="bottom"/>
            <w:gridSpan w:val="2"/>
          </w:tcPr>
          <w:p>
            <w:pPr>
              <w:ind w:left="140"/>
              <w:spacing w:after="0"/>
              <w:rPr>
                <w:sz w:val="20"/>
                <w:szCs w:val="20"/>
                <w:color w:val="auto"/>
              </w:rPr>
            </w:pPr>
            <w:r>
              <w:rPr>
                <w:rFonts w:ascii="Arial" w:cs="Arial" w:eastAsia="Arial" w:hAnsi="Arial"/>
                <w:sz w:val="18"/>
                <w:szCs w:val="18"/>
                <w:color w:val="auto"/>
              </w:rPr>
              <w:t>Additional labor liability in excess of unamortizated transition obligation</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 under U.S. GAAP</w:t>
            </w:r>
          </w:p>
        </w:tc>
        <w:tc>
          <w:tcPr>
            <w:tcW w:w="11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5"/>
              </w:rPr>
              <w:t>Ps.10,206</w:t>
            </w:r>
          </w:p>
        </w:tc>
        <w:tc>
          <w:tcPr>
            <w:tcW w:w="78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87"/>
              </w:rPr>
              <w:t>Ps.7,319</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Ps.4,987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Future Impact of Recently Issued Accounting Standards Not Yet in Effect.</w:t>
      </w:r>
    </w:p>
    <w:p>
      <w:pPr>
        <w:spacing w:after="0" w:line="212"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Mexican FRS:</w:t>
      </w:r>
    </w:p>
    <w:p>
      <w:pPr>
        <w:spacing w:after="0" w:line="96" w:lineRule="exact"/>
        <w:rPr>
          <w:rFonts w:ascii="Arial" w:cs="Arial" w:eastAsia="Arial" w:hAnsi="Arial"/>
          <w:sz w:val="18"/>
          <w:szCs w:val="18"/>
          <w:b w:val="1"/>
          <w:bCs w:val="1"/>
          <w:color w:val="auto"/>
        </w:rPr>
      </w:pPr>
    </w:p>
    <w:p>
      <w:pPr>
        <w:ind w:left="460" w:right="40"/>
        <w:spacing w:after="0" w:line="352" w:lineRule="auto"/>
        <w:rPr>
          <w:rFonts w:ascii="Arial" w:cs="Arial" w:eastAsia="Arial" w:hAnsi="Arial"/>
          <w:sz w:val="18"/>
          <w:szCs w:val="18"/>
          <w:b w:val="1"/>
          <w:bCs w:val="1"/>
          <w:color w:val="auto"/>
        </w:rPr>
      </w:pPr>
      <w:r>
        <w:rPr>
          <w:rFonts w:ascii="Arial" w:cs="Arial" w:eastAsia="Arial" w:hAnsi="Arial"/>
          <w:sz w:val="15"/>
          <w:szCs w:val="15"/>
          <w:color w:val="auto"/>
        </w:rPr>
        <w:t>During 2007, the following new accounting standards were issued under Mexican FRS the application of which is required as indicated. The Company will adopt these standards as of January 1, 2008 and has not fully assessed the effect of adopting these new standards on its consolidated financial information.</w:t>
      </w:r>
    </w:p>
    <w:p>
      <w:pPr>
        <w:spacing w:after="0" w:line="1" w:lineRule="exact"/>
        <w:rPr>
          <w:rFonts w:ascii="Arial" w:cs="Arial" w:eastAsia="Arial" w:hAnsi="Arial"/>
          <w:sz w:val="18"/>
          <w:szCs w:val="18"/>
          <w:b w:val="1"/>
          <w:bCs w:val="1"/>
          <w:color w:val="auto"/>
        </w:rPr>
      </w:pPr>
    </w:p>
    <w:p>
      <w:pPr>
        <w:ind w:left="900" w:hanging="446"/>
        <w:spacing w:after="0"/>
        <w:tabs>
          <w:tab w:leader="none" w:pos="90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NIF B-2, “Statement of Cash Flows”</w:t>
      </w:r>
    </w:p>
    <w:p>
      <w:pPr>
        <w:spacing w:after="0" w:line="96"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This NIF establishes general rules for the presentation, structure and preparation of cash flow statement, as well as the disclosures supplementing such statement, which replaces the statement of changes in financial position. NIF B-2 requires that the statement show a company’s cash inflows and outflows during the period. Line items should be preferably presented gross. Cash flows from financing activities are now presented below those from investing activities (a departure from the statement of changes in financial position). In addition, NIF B-2 allows entities to determine and present their cash flows from operating activities using either the direct or indirect method.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NIF B-10, “Effects of Inflation”</w:t>
      </w:r>
    </w:p>
    <w:p>
      <w:pPr>
        <w:spacing w:after="0" w:line="9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CINIF defines two economic environments: a) inflationary environment, when cumulative inflation of three preceding years is 26% or more, in which case, the effects of inflation should be recognized using the comprehensive method; and b) non-inflationary environment, when cumulative inflation of the three preceding years is less than 26%, in which case, no inflationary effects should be recognized in the financial statements. Additionally, NIF B-10 eliminates the replacement cost and specific indexation methods for inventories and fixed assets, respectively, and requires that the cumulative gain or loss from holding non-monetary assets be reclassified to retained earnings, if such gain or loss is realized; the gain or loss that is not realized will be maintained in stockholders’ equity and charged to current earnings of the period in which the originating item is realized.</w:t>
      </w:r>
    </w:p>
    <w:p>
      <w:pPr>
        <w:spacing w:after="0" w:line="155"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NIF B-15, “Translation of Foreign Currencies”</w:t>
      </w:r>
    </w:p>
    <w:p>
      <w:pPr>
        <w:spacing w:after="0" w:line="96"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NIF B-15 eliminates classification of integrated foreign operations and foreign entities and incorporates the concepts of accounting currency, functional currency and reporting currency. NIF B-15 establishes the procedures to translate the financial information of a foreign subsidiary: i) from the accounting to the functional currency, and ii) from the functional to the reporting currency, and allows entities to present their financial statements in a reporting currency other than their functional currency.</w:t>
      </w:r>
    </w:p>
    <w:p>
      <w:pPr>
        <w:spacing w:after="0" w:line="178"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NIF D-3, “Employee Benefits”</w:t>
      </w:r>
    </w:p>
    <w:p>
      <w:pPr>
        <w:spacing w:after="0" w:line="96" w:lineRule="exact"/>
        <w:rPr>
          <w:sz w:val="20"/>
          <w:szCs w:val="20"/>
          <w:color w:val="auto"/>
        </w:rPr>
      </w:pPr>
    </w:p>
    <w:p>
      <w:pPr>
        <w:ind w:left="920" w:right="580"/>
        <w:spacing w:after="0" w:line="332" w:lineRule="auto"/>
        <w:rPr>
          <w:sz w:val="20"/>
          <w:szCs w:val="20"/>
          <w:color w:val="auto"/>
        </w:rPr>
      </w:pPr>
      <w:r>
        <w:rPr>
          <w:rFonts w:ascii="Arial" w:cs="Arial" w:eastAsia="Arial" w:hAnsi="Arial"/>
          <w:sz w:val="16"/>
          <w:szCs w:val="16"/>
          <w:color w:val="auto"/>
        </w:rPr>
        <w:t>This NIF includes current and deferred PTU. Deferred PTU should be calculated using the same methodology establishes in NIF D-4. It also includes the career salary concept and the amortization period of most items reduced to five years, as follows:</w:t>
      </w:r>
    </w:p>
    <w:p>
      <w:pPr>
        <w:spacing w:after="0" w:line="4" w:lineRule="exact"/>
        <w:rPr>
          <w:sz w:val="20"/>
          <w:szCs w:val="20"/>
          <w:color w:val="auto"/>
        </w:rPr>
      </w:pPr>
    </w:p>
    <w:p>
      <w:pPr>
        <w:ind w:left="1460" w:hanging="547"/>
        <w:spacing w:after="0"/>
        <w:tabs>
          <w:tab w:leader="none" w:pos="14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Items will be amortized over a 5-year period, or less, if employees’ remaining labor life is less than the: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Beginning balance of the transition liability for severance and retirement benefits.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Beginning balance of past service cost and changes to the plan.</w:t>
      </w:r>
    </w:p>
    <w:p>
      <w:pPr>
        <w:spacing w:after="0" w:line="90" w:lineRule="exact"/>
        <w:rPr>
          <w:rFonts w:ascii="Arial" w:cs="Arial" w:eastAsia="Arial" w:hAnsi="Arial"/>
          <w:sz w:val="18"/>
          <w:szCs w:val="18"/>
          <w:color w:val="auto"/>
        </w:rPr>
      </w:pPr>
    </w:p>
    <w:p>
      <w:pPr>
        <w:ind w:left="1920" w:right="260" w:hanging="440"/>
        <w:spacing w:after="0" w:line="268" w:lineRule="auto"/>
        <w:tabs>
          <w:tab w:leader="none" w:pos="19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Beginning balance of gains and losses from severance benefits, according to actuarial calculations, should be amortized against the results of 2008.</w:t>
      </w:r>
    </w:p>
    <w:p>
      <w:pPr>
        <w:spacing w:after="0" w:line="50" w:lineRule="exact"/>
        <w:rPr>
          <w:rFonts w:ascii="Arial" w:cs="Arial" w:eastAsia="Arial" w:hAnsi="Arial"/>
          <w:sz w:val="18"/>
          <w:szCs w:val="18"/>
          <w:color w:val="auto"/>
        </w:rPr>
      </w:pPr>
    </w:p>
    <w:p>
      <w:pPr>
        <w:ind w:left="1920" w:right="60" w:hanging="440"/>
        <w:spacing w:after="0" w:line="330" w:lineRule="auto"/>
        <w:tabs>
          <w:tab w:leader="none" w:pos="1920" w:val="left"/>
        </w:tabs>
        <w:numPr>
          <w:ilvl w:val="2"/>
          <w:numId w:val="135"/>
        </w:numPr>
        <w:rPr>
          <w:rFonts w:ascii="Arial" w:cs="Arial" w:eastAsia="Arial" w:hAnsi="Arial"/>
          <w:sz w:val="16"/>
          <w:szCs w:val="16"/>
          <w:color w:val="auto"/>
        </w:rPr>
      </w:pPr>
      <w:r>
        <w:rPr>
          <w:rFonts w:ascii="Arial" w:cs="Arial" w:eastAsia="Arial" w:hAnsi="Arial"/>
          <w:sz w:val="16"/>
          <w:szCs w:val="16"/>
          <w:color w:val="auto"/>
        </w:rPr>
        <w:t>Beginning balance of gains and losses from retirement benefits, according to actuarial calculations, should be amortized over a 5-year period (net transition liability), with the option to fully amortize such item against the results of 2008.</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NIF D-4, “Income Taxes”</w:t>
      </w:r>
    </w:p>
    <w:p>
      <w:pPr>
        <w:spacing w:after="0" w:line="96"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This NIF relocates accounting for current and deferred PTU to NIF D-3, eliminates the permanent difference concept, redefines and incorporates various definitions.</w:t>
      </w:r>
    </w:p>
    <w:p>
      <w:pPr>
        <w:spacing w:after="0" w:line="248"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U.S. GAAP:</w:t>
      </w:r>
    </w:p>
    <w:p>
      <w:pPr>
        <w:spacing w:after="0" w:line="96" w:lineRule="exact"/>
        <w:rPr>
          <w:sz w:val="20"/>
          <w:szCs w:val="20"/>
          <w:color w:val="auto"/>
        </w:rPr>
      </w:pPr>
    </w:p>
    <w:p>
      <w:pPr>
        <w:ind w:left="460" w:right="340"/>
        <w:spacing w:after="0" w:line="330" w:lineRule="auto"/>
        <w:rPr>
          <w:sz w:val="20"/>
          <w:szCs w:val="20"/>
          <w:color w:val="auto"/>
        </w:rPr>
      </w:pPr>
      <w:r>
        <w:rPr>
          <w:rFonts w:ascii="Arial" w:cs="Arial" w:eastAsia="Arial" w:hAnsi="Arial"/>
          <w:sz w:val="16"/>
          <w:szCs w:val="16"/>
          <w:color w:val="auto"/>
        </w:rPr>
        <w:t>The following new accounting standards have been issued under U.S. GAAP, the application of which is required as indicated. The Company does not anticipate that those new standards will have a significant impact on its consolidated financial position or results of operations.</w:t>
      </w:r>
    </w:p>
    <w:p>
      <w:pPr>
        <w:spacing w:after="0" w:line="1"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FASB Staff Position (“FSP”) FASB Interpretation No. 39 “Offsetting of Amounts Related to Certain Contracts,” or FSP FIN No. 39</w:t>
      </w:r>
    </w:p>
    <w:p>
      <w:pPr>
        <w:spacing w:after="0" w:line="119"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This FSP amends paragraph 3 of FASB Interpretation No. 39, to replace the terms conditional contracts and exchange contracts with the term derivative instruments as defined in SFAS No. 133. It also amends paragraph 10 of FASB Interpretation No. 39 to permit a reporting entity to offset fair value amounts recognized for the right to reclaim cash collateral (a receivable) or the obligation to return cash collateral (a payable) against fair value amounts recognized for derivative instruments executed with the same counterparty under the same master netting arrangement that have been offset in accordance with that paragraph. This FSP is effective for fiscal years beginning after November 15, 2007.</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“The Fair Value Option for Financial Assets and Financial Liabilities,” or SFAS No. 159</w:t>
      </w:r>
    </w:p>
    <w:p>
      <w:pPr>
        <w:spacing w:after="0" w:line="96" w:lineRule="exact"/>
        <w:rPr>
          <w:sz w:val="20"/>
          <w:szCs w:val="20"/>
          <w:color w:val="auto"/>
        </w:rPr>
      </w:pPr>
    </w:p>
    <w:p>
      <w:pPr>
        <w:ind w:left="920" w:right="40"/>
        <w:spacing w:after="0" w:line="287" w:lineRule="auto"/>
        <w:rPr>
          <w:sz w:val="20"/>
          <w:szCs w:val="20"/>
          <w:color w:val="auto"/>
        </w:rPr>
      </w:pPr>
      <w:r>
        <w:rPr>
          <w:rFonts w:ascii="Arial" w:cs="Arial" w:eastAsia="Arial" w:hAnsi="Arial"/>
          <w:sz w:val="16"/>
          <w:szCs w:val="16"/>
          <w:color w:val="auto"/>
        </w:rPr>
        <w:t>This standard permits entities to choose to measure financial instruments and certain other items at fair value to mitigate volatility in reported earnings. According to this Statement, these are eligible items for the use of the fair value measurement: (1) Recognized financial assets and financial liabilities; (2) Firm commitments that would otherwise not be recognized at inception and that involve only financial instruments; (3) Non-financial insurance contracts and warranties that the insurer can settle by paying a third party to provide those goods or services; and (4) Host financial instruments resulting from separation of an embedded non-financial derivative instrument from a non-financial hybrid instrument. The fair value option established by SFAS No. 159 permits all entities to choose to measure eligible items at fair value at specified election dates. A business entity shall report unrealized gains and losses on items for which the fair value option has been elected in earnings (or another performance indicator if the business entity does not report earnings) at each subsequent reporting date. SFAS No. 159 is effective as of the beginning of an entity’s first fiscal year that begins after November 15, 2007. The Company is in the process of determining the impact of adopting this new accounting principle on its consolidated financial position and results of operations.</w:t>
      </w:r>
    </w:p>
    <w:p>
      <w:pPr>
        <w:spacing w:after="0" w:line="238"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 amendment of SFAS No. 141, or SFAS No. 141(R)</w:t>
      </w:r>
    </w:p>
    <w:p>
      <w:pPr>
        <w:spacing w:after="0" w:line="9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This statement requires (a) a company to recognize the assets acquired, the liabilities assumed, and any non-controlling interest in the acquiree at fair value as of the acquisition date; and (b) an acquirer in preacquisition periods to expense all acquisition-related costs. SFAS No. 141(R) requires that any adjustments to an acquired entity’s deferred tax asset and liability balance that occur after the measurement period be recorded as a component of income tax expense. This accounting treatment is required for business combinations consummated before the effective date of SFAS No. 141(R) (non-prospective) otherwise SFAS No. 141(R) must be applied prospectively. Early adoption is prohibited. SFAS No. 141(R) is effective for fiscal years, and interim periods within those fiscal years, beginning on or after December 15, 2008.</w:t>
      </w:r>
    </w:p>
    <w:p>
      <w:pPr>
        <w:spacing w:after="0" w:line="236"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or SFAS No. 157</w:t>
      </w:r>
    </w:p>
    <w:p>
      <w:pPr>
        <w:spacing w:after="0" w:line="96" w:lineRule="exact"/>
        <w:rPr>
          <w:sz w:val="20"/>
          <w:szCs w:val="20"/>
          <w:color w:val="auto"/>
        </w:rPr>
      </w:pPr>
    </w:p>
    <w:p>
      <w:pPr>
        <w:ind w:left="920" w:right="60"/>
        <w:spacing w:after="0" w:line="287" w:lineRule="auto"/>
        <w:rPr>
          <w:sz w:val="20"/>
          <w:szCs w:val="20"/>
          <w:color w:val="auto"/>
        </w:rPr>
      </w:pPr>
      <w:r>
        <w:rPr>
          <w:rFonts w:ascii="Arial" w:cs="Arial" w:eastAsia="Arial" w:hAnsi="Arial"/>
          <w:sz w:val="16"/>
          <w:szCs w:val="16"/>
          <w:color w:val="auto"/>
        </w:rPr>
        <w:t>This statement establishes a framework for measuring fair value and expands disclosures about fair value measurements. SFAS No. 157 clarifies the definition of exchange price as the price between market participants in an orderly transaction to sell an asset or transfer a liability in the market in which the reporting entity would transact for the asset or liability, that is, the principal or most advantageous market for the asset or liability. The changes to current practice resulting from the application of this statement relate to the definition of fair value, the methods used to measure fair value, and the expanded disclosures about fair value measurements. SFAS No. 157 is effective for fiscal years beginning after November 15, 2007 and interim periods within those fiscal years. On February 12, 2008, the FASB issued FSP FAS 157-1 and FSP FAS 157-2, which remove leasing transactions accounted for under SFAS No. 13 “Accounting for Leases” from the scope of SFAS No. 157 and partially defer the effective date of SFAS No. 157 as it relates all non-recurring fair value measurement of non-financial assets and non-financial liabilities until fiscal years beginning after November 15, 2008. The Company is in the process of determining the impact of adopting this new accounting principle on its consolidated financial position and results of operations.</w:t>
      </w:r>
    </w:p>
    <w:p>
      <w:pPr>
        <w:spacing w:after="0" w:line="238"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“Non-controling Interest in Consolidated Financial Statements,” or SFAS No. 160</w:t>
      </w:r>
    </w:p>
    <w:p>
      <w:pPr>
        <w:spacing w:after="0" w:line="9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This statement has the following effects on an entity’s financial statements: (a) amends ARB No. 51 to establish accounting and reporting standards for the non-controlling interest in a subsidiary and the deconsolidation of a subsidiary; (b) changes the way the consolidated income statement is presented; (c) establishes a single method of accounting for changes in a parent’s ownership interest in a subsidiary that do not result in deconsolidation; (d) requires that a parent recognize a gain or loss in net income when a subsidiary is deconsolidated; and (e) requires expanded disclosures in the consolidated financial statements that clearly identify and distinguish between the interests of the parent company and the interests of the non-controlling owners of a subsidiary. SFAS No. 160 must be applied prospectively and early adoption is prohibited. SFAS No. 160 is effective for fiscal years, and interim periods within those fiscal years, beginning on or after December 15, 2008. The Company is in the process of determining the impact of adopting this new accounting principle on its consolidated financial position and results of operations.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Relevant Events.</w:t>
      </w:r>
    </w:p>
    <w:p>
      <w:pPr>
        <w:spacing w:after="0" w:line="9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Coca-Cola FEMSA reached an understanding with The Coca-Cola Company to acquire its wholly owned bottling franchise Minas Gerais Ltda., “REMIL” in Brazil. The closing, terms and conditions of the transaction are subject to a confirmatory due-diligence process, negotiation and execution of a definitive agreement and approval by the Boards of Directors of both companies. The transaction is expected to close during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30. Subsequent Events.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FEMSA’s ordinary shareholders was held on April 22, 2008. During this meeting, shareholders approved a proposal to amend FEMSA’s bylaws in order to preserve the unit structure for FEMSA’s shares that has been in place since May 1998, and to maintain the existing share structure beyond May 11, 2008. FEMSA’s bylaws previously provided that on May 11, 2008 Series D-B Shares would convert into Series B Shares, and Series D-L Shares would convert into Series L Shares with limited voting rights. In addition, FEMSA’s bylaws provided that the current unit structure would cease to exist and each of B Units would be unbundled into five Series B Shares, while each BD Unit would unbundle into three Series B Shares and two newly issued Series L Shares. Following April 22, 2008 shareholder approvals, the automatic conversion of the share and unit structures will no longer exist, and, absent shareholder action, the share structure will continue to be comprised of Series B Shares, which must represent up to 51% of FEMSA’s outstanding capital stock, and Series D-B and Series D-L Shares, which together may represent up to 49% of the Company outstanding capital stock. FEMSA Unit structure will continue to consist of B Units, which bundle five Series B Shares, and BD Units, which bundle one Series B Share, two Series D-B Shares and two Series D-L Shares.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ordinary stockholders’ meeting of FEMSA held on April 22, 2008, the stockholders approved a dividend of Ps. 0.0807 Mexican pesos (nominal value) per series “B” share and Ps. 0.1009 Mexican pesos (nominal value) per series “D” share that was paid in May 2008. Additionally, the stockholders approved a maximum of Ps. 3,000 for a stock repurchase program.</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At an ordinary stockholders meeting of Coca-Cola FEMSA held on April 8, 2008, the stockholders approved a dividend of Ps.945 million that was paid in May 2008. The corresponding payment to the minority interest was Ps. 437.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 S.A. de C.V.</w:t>
      </w:r>
    </w:p>
    <w:p>
      <w:pPr>
        <w:spacing w:after="0" w:line="15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 xml:space="preserve">We have audited the consolidated balance sheets of </w:t>
      </w:r>
      <w:r>
        <w:rPr>
          <w:rFonts w:ascii="Arial" w:cs="Arial" w:eastAsia="Arial" w:hAnsi="Arial"/>
          <w:sz w:val="16"/>
          <w:szCs w:val="16"/>
          <w:b w:val="1"/>
          <w:bCs w:val="1"/>
          <w:color w:val="auto"/>
        </w:rPr>
        <w:t>FEMSA COMERCIO, S.A. de C.V. and Subsidiaries (a wholly-owned subsidiary of FOMENTO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ECONÓMICO MEXICANO, S.A. de C.V.) </w:t>
      </w:r>
      <w:r>
        <w:rPr>
          <w:rFonts w:ascii="Arial" w:cs="Arial" w:eastAsia="Arial" w:hAnsi="Arial"/>
          <w:sz w:val="16"/>
          <w:szCs w:val="16"/>
          <w:color w:val="auto"/>
        </w:rPr>
        <w:t>as of December 31, 2007 and 2006, and the related consolidated statements of income, stockholders’ equity and</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in financial position for each of the three years in the period ended December 31, 2007 (not presented separately herein). These financial statements are the responsibility of the Company’s management. Our responsibility is to express an opinion on these financial statements based on our audits.</w:t>
      </w:r>
    </w:p>
    <w:p>
      <w:pPr>
        <w:spacing w:after="0" w:line="1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auditing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consolidated financial position of </w:t>
      </w:r>
      <w:r>
        <w:rPr>
          <w:rFonts w:ascii="Arial" w:cs="Arial" w:eastAsia="Arial" w:hAnsi="Arial"/>
          <w:sz w:val="16"/>
          <w:szCs w:val="16"/>
          <w:b w:val="1"/>
          <w:bCs w:val="1"/>
          <w:color w:val="auto"/>
        </w:rPr>
        <w:t>FEMSA COMERCIO,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S.A. de C.V. and Subsidiaries </w:t>
      </w:r>
      <w:r>
        <w:rPr>
          <w:rFonts w:ascii="Arial" w:cs="Arial" w:eastAsia="Arial" w:hAnsi="Arial"/>
          <w:sz w:val="16"/>
          <w:szCs w:val="16"/>
          <w:color w:val="auto"/>
        </w:rPr>
        <w:t>at December 31, 2007 and 2006, and the consolidated results of their operations and the changes in their financial position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three years in the period ended December 31, 2007, in conformity with Mexican financial reporting standards , which differ in certain significant respects from accounting principles generally accepted in the United States of America, as described in Notes 21 and 22 to the consolidated financial statements.</w:t>
      </w:r>
    </w:p>
    <w:p>
      <w:pPr>
        <w:spacing w:after="0" w:line="144"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Mancera, S. C.,</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Ernst &amp; Young Global</w:t>
      </w:r>
    </w:p>
    <w:p>
      <w:pPr>
        <w:spacing w:after="0" w:line="200" w:lineRule="exact"/>
        <w:rPr>
          <w:sz w:val="20"/>
          <w:szCs w:val="20"/>
          <w:color w:val="auto"/>
        </w:rPr>
      </w:pPr>
    </w:p>
    <w:p>
      <w:pPr>
        <w:spacing w:after="0" w:line="256"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 Aldo Villarreal Robledo</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C.P.C. Aldo Villarreal Robledo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Pedro Garza García, N.L.,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12, 2008</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60" w:right="29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UNOFFICIAL TRANSLATION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BY-LAWS OF FOMENTO ECONOMICO MEXICANO, S.A.B DE C.V.</w:t>
      </w:r>
    </w:p>
    <w:p>
      <w:pPr>
        <w:spacing w:after="0" w:line="159"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u w:val="single" w:color="auto"/>
          <w:color w:val="auto"/>
        </w:rPr>
        <w:t>ARTICLE 1. NAME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be named “FOMENTO ECONOMICO MEXICANO”, and this name shall always be followed by the words</w:t>
      </w:r>
      <w:r>
        <w:rPr>
          <w:rFonts w:ascii="Arial" w:cs="Arial" w:eastAsia="Arial" w:hAnsi="Arial"/>
          <w:sz w:val="18"/>
          <w:szCs w:val="18"/>
          <w:b w:val="1"/>
          <w:bCs w:val="1"/>
          <w:color w:val="auto"/>
        </w:rPr>
        <w:t xml:space="preserve"> </w:t>
      </w:r>
      <w:r>
        <w:rPr>
          <w:rFonts w:ascii="Arial" w:cs="Arial" w:eastAsia="Arial" w:hAnsi="Arial"/>
          <w:sz w:val="18"/>
          <w:szCs w:val="18"/>
          <w:color w:val="auto"/>
        </w:rPr>
        <w:t>“SOCIEDAD ANONIMA BURSATIL DE CAPITAL VARIABLE” or their abbreviation, “S.A.B. de C.V.”.</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2. CORPORATE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company is: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To incorporate, organize, promote, and establish all types of commercial and civil companies and associations, and acquire any type of shares or interest thereon.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 To acquire, own and sell any bonds, shares, interest, or a participation in or any type of securities, as well as alienating and negotiating those securities or participation and in general to execute any type of transactions with securities.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 To provide or receive advising services, consulting or other services regarding, industrial, accounting, financial, legal and tax matters, as well as any other matters concerning the promotion or management of companies.</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d). To acquire, build, produce, import, dispose, export and, in general, negotiate with any type of industrial equipment, supplies or any other necessary elements for the pursuit of its corporate purpose or of its subsidiaries or the companies with which it has commercial relation.</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 To solicit, obtain, register, purchase, lease, assign, or in any other way use and dispose of trademarks, patents, trade names, copyrights, inventions and processes.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 To acquire, build, lease or by any other means possess and operate all types of fixed or movable assets as well as real estate, which might be necessary or convenient to the company’s corporate purpose, as and to establish or by any other means to possess plants, workshops, warehouses, facilities, offices and agencies as well as any property necessary to pursue the company’s corporate purpose.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g). To draw, accept, subscribe, endorse or guarantee any securities; to issue bonds with or without specific guarantees, become joint and several debtor or guarantor in any form permitted by law, with respect to obligations of the company or contracted by third parties.</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h). In general, to carry out all types of trade actions and execute all types of contracts and agreements, as well as transactions of any type that are convenient to pursue the aforementioned purposes.</w:t>
      </w:r>
    </w:p>
    <w:p>
      <w:pPr>
        <w:spacing w:after="0" w:line="126"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u w:val="single" w:color="auto"/>
          <w:color w:val="auto"/>
        </w:rPr>
        <w:t>ARTICLE 3. DURATION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duration of the company shall be 99 (ninety nine) years, beginning on May 30, 1936, which is the date of inscription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charter of incorporation of the company in the Public Register of Commerce, and therefore will end on the same date on the year 2035.</w:t>
      </w:r>
    </w:p>
    <w:p>
      <w:pPr>
        <w:spacing w:after="0" w:line="74"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u w:val="single" w:color="auto"/>
          <w:color w:val="auto"/>
        </w:rPr>
        <w:t>ARTICLE 4. DOMICILE</w:t>
      </w:r>
      <w:r>
        <w:rPr>
          <w:rFonts w:ascii="Arial" w:cs="Arial" w:eastAsia="Arial" w:hAnsi="Arial"/>
          <w:sz w:val="18"/>
          <w:szCs w:val="18"/>
          <w:b w:val="1"/>
          <w:bCs w:val="1"/>
          <w:color w:val="auto"/>
        </w:rPr>
        <w:t xml:space="preserve">. </w:t>
      </w:r>
      <w:r>
        <w:rPr>
          <w:rFonts w:ascii="Arial" w:cs="Arial" w:eastAsia="Arial" w:hAnsi="Arial"/>
          <w:sz w:val="18"/>
          <w:szCs w:val="18"/>
          <w:color w:val="auto"/>
        </w:rPr>
        <w:t>The domicile of the company is Monterrey, N.L., which domicile shall not be deemed to have changed if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establishes branches or offices in any other place within the Mexican Republic or abroad.</w:t>
      </w:r>
    </w:p>
    <w:p>
      <w:pPr>
        <w:spacing w:after="0" w:line="12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ARTICLE 5. JURISDICTION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Mexican. Any foreigner, that at the time of incorporation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acquires a participation or becomes the owner of one or more shares of the company shall be considered as Mexican with respect to that participation or ownership, and may not invoke the protection of its own government. Failure to comply with the foregoing paragraph may result in the forfeiture of such participation or ownership in favor of the Mexican State.</w:t>
      </w:r>
    </w:p>
    <w:p>
      <w:pPr>
        <w:sectPr>
          <w:pgSz w:w="11900" w:h="16838" w:orient="portrait"/>
          <w:cols w:equalWidth="0" w:num="1">
            <w:col w:w="11420"/>
          </w:cols>
          <w:pgMar w:left="240" w:top="125" w:right="239" w:bottom="1440" w:gutter="0" w:footer="0" w:header="0"/>
        </w:sectPr>
      </w:pPr>
    </w:p>
    <w:bookmarkStart w:id="205" w:name="page206"/>
    <w:bookmarkEnd w:id="205"/>
    <w:p>
      <w:pPr>
        <w:jc w:val="both"/>
        <w:ind w:right="460" w:firstLine="456"/>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a). The capital stock is variable. The minimum fixed capital that may not to be withdrawn shall be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$300,000,000 (Three Hundred Million Pesos). The variable portion of the capital stock shall be unlimited. All shares shall be registered, freely subscribable shares, none of which will have a face value.</w:t>
      </w:r>
    </w:p>
    <w:p>
      <w:pPr>
        <w:spacing w:after="0" w:line="13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 The capital stock of the company may be represented by the following series of shares: (i) series “B” shares, ordinary, with full voting rights; (ii) series “L” shares with limited voting rights; and (iii) series “D” shares with limited voting rights, and with a right of a superior non-accumulative dividend in accordance with the following terms: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While the shares are outstanding, the series “D” shares shall grant its holders the right to receive a non-accumulative superior dividend equivalent to 125% (one hundred twenty five percent) of the dividend corresponding to the ordinary Series B shares.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 Series “B” shares, shall at all times represent at least 51% of the capital stock of the company; series “L” shares may represent up to 25% of the capital stock of the company; and, series “D” shares either separately or jointly with the series “L” shares may represent up to 49% of the capital stock of the company. Series “D” shares may de divided in sub-series “D-L” representing up to 25% of the capital stock, and sub-series “D-B” which may represent the remaining outstanding series “D” shares.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 Shareholders of the series “D” and “L” shares shall only have the right to vote at extraordinary shareholders’ meetings dealing with the following matters: (i) transformation of the company, other than a transformation from a company with variable capital stock to a company without variable capital stock or vice versa, (ii) merger of the company when the company is not the surviving entity, or merger, as surviving entity, with entities with different corporate purpose that the company or its subsidiaries, (iii) change of jurisdiction of incorporation, (iv) dissolution or liquidation and (v) cancellation of the registration of the series “L” shares or series “D” shares in The National Register of Securities and in other foreign stock markets where listed, except in the case of conversion of the series “D” shares as provided herein. The holders of series “D” or “L” shares shall have the right to designate board members in accordance with the provisions of article 25 of these by-laws.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Holders of series “D” and “L” shares are also entitled to vote in the extraordinary shareholders meetings that are held to consider the matters specified in subsections f) and g) of article 6 of this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06" w:name="page207"/>
    <w:bookmarkEnd w:id="2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of series “D” and “L” are also entitled to vote in the matters expressly approved by the Securities Market Law.</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Holders of series “D” and “L” shall have neither the right to determine the management of the company nor any other rights other than the ones expressly identified in this article 6.</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e). The company may issue shares in the form of bundled units. The bundled units may represent: (i) 5 series “B” shares, or its multiples, and which shall be defined in these bylaws as “B” Units; (ii) 1 series “B” shares, 2 sub-series “D-B” shares and 2 sub-series “D-L” shares, or its multiples, and which shall be defined in these bylaws as “BD” Units; (iii) or any other share combination that shareholders decide pursuant to these bylaws.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shares that are issued in the form of bundled units may be disposed, sold, transferred, assigned, alienated or pledged exclusively in the form of bundled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16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 The shareholders of the company may agree that the totality of the outstanding series “D” shares be converted in series “L” shares with limited voting rights and series “B” shares, ordinary, through an extraordinary shareholders meeting pursuant to the terms of sub-section c) of these bylaws, as follows: sub-series “D-L” shares shall be converted into series “L” shares and sub-series “D-B” shares shall be converted into series “B” shares. Once the series “D-L” and “D-B” shares are converted, the capital stock of the company will be represented by ordinary series “B” shares, which shall represent at least 75% of the capital stock, and series “L” shares with limited voting rights, which may represent up to 25% of the capital stock of the company.</w:t>
      </w:r>
    </w:p>
    <w:p>
      <w:pPr>
        <w:spacing w:after="0" w:line="1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conversion of sub-series “D-L” shares into series “L” shares and sub-series “D-B” shares into ordinary series “B” shares shall be effective with the passing of two years from the date in which the shareholders of the company agree their conversion, pursuant to the afore-mentioned paragraph.</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g). The shareholders of the company, through an extraordinary shareholders meeting pursuant to the terms of sub-section c) of these bylaws, may agree to unbundled the shares in order for them to be exchanged for their underlying shares comprising the bundled units.</w:t>
      </w:r>
    </w:p>
    <w:p>
      <w:pPr>
        <w:spacing w:after="0" w:line="132"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unbundling of the shares shall be effective with the passing of two years from the date in which the shareholders of the company agree their unbundling, pursuant to the afore-mentioned paragraph.</w:t>
      </w:r>
    </w:p>
    <w:p>
      <w:pPr>
        <w:spacing w:after="0" w:line="126"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u w:val="single" w:color="auto"/>
          <w:color w:val="auto"/>
        </w:rPr>
        <w:t>ARTICLE 7. ISSUANCE OF SHARES WITH LIMITED VOTING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limited voting series “D” and “L” shares as provided herein,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considered as neutral investment and shall not be calculated for the purpose of determining the amount and proportion of participation of the foreign investors in the capital of the company as permitted by the provisions of The Law of Foreign Investment and its regulations, they shall be considered to be issued in accordance with the applicable provisions of The Securities Market Law and the corresponding authorizations; shall not be subject to the restrictions of article 198 of The General Law of Commercial Companies, and shall have the limitations on corporate rights mentioned herein.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07" w:name="page208"/>
    <w:bookmarkEnd w:id="207"/>
    <w:p>
      <w:pPr>
        <w:ind w:right="100" w:firstLine="456"/>
        <w:spacing w:after="0" w:line="301"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8. INCREASES OR REDUCTIONS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or reductions to the minimum fixed portion of the capital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resulting modification of clause third of the charter of organization and of article 6 of these by-laws shall be made by resolution of the extraordinary general shareholders meeting. In addition, in accordance with article 53 of the Mexican Securities Market Law, it will be matter for the extraordinary shareholders meeting, any capital increase approved by means of issuance of non-subscribed shares kept in treasury of the Company.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Increases or reductions of the variable portion of the capital stock shall be made by the resolution of the ordinary general shareholders meeting.</w:t>
      </w:r>
    </w:p>
    <w:p>
      <w:pPr>
        <w:spacing w:after="0" w:line="188"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b w:val="1"/>
          <w:bCs w:val="1"/>
          <w:u w:val="single" w:color="auto"/>
          <w:color w:val="auto"/>
        </w:rPr>
        <w:t>ARTICLE 9. INCREASES OF CAPITAL STOCK BY ISSUANCE OR PLACEMENT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may increase the variable part of</w:t>
      </w:r>
      <w:r>
        <w:rPr>
          <w:rFonts w:ascii="Arial" w:cs="Arial" w:eastAsia="Arial" w:hAnsi="Arial"/>
          <w:sz w:val="15"/>
          <w:szCs w:val="15"/>
          <w:b w:val="1"/>
          <w:bCs w:val="1"/>
          <w:color w:val="auto"/>
        </w:rPr>
        <w:t xml:space="preserve"> </w:t>
      </w:r>
      <w:r>
        <w:rPr>
          <w:rFonts w:ascii="Arial" w:cs="Arial" w:eastAsia="Arial" w:hAnsi="Arial"/>
          <w:sz w:val="15"/>
          <w:szCs w:val="15"/>
          <w:color w:val="auto"/>
        </w:rPr>
        <w:t>its capital stock by issuing new shares or placing shares kept in treasury for that purpose. In the case of increases of capital stock with new shares to be paid in cash, the shareholders shall have preference to subscribe the new shares that are issued in proportion to the number of shares that they hold within the respective series. In accordance with Article 53 of the Securities Market Law, and regarding treasury shares, such shares shall only be subscribed by means of a public offer.</w:t>
      </w:r>
    </w:p>
    <w:p>
      <w:pPr>
        <w:spacing w:after="0" w:line="9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right of preference must be exercised within the 15 calendar days beginning the date of publication of the corresponding notice in the Official State Gazette of the corporate domicile.</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the event that following the expiration of the term during which the shareholders shall exercise the right of preference granted in this article, not all of the shares would have been subscribed, such shares may be offered for subscription and payment, under the terms and conditions determined by the meeting that approved the capital stock increase, or under the terms established by the board of directors or the delegates appointed by the meeting for such purpose.</w:t>
      </w:r>
    </w:p>
    <w:p>
      <w:pPr>
        <w:spacing w:after="0" w:line="10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right of preference referred to in this article shall not be applicable with respect to shares that are issued or held in the treasury which are to be used for: (i) merger of the company; (ii) conversion of obligations issued in accordance with The General Law of Credit Securities and Transactions; (iii), public offerings pursuant to article 53, 56 and other applicable provisions of the Securities Market Law, (iv) capital stock increases to be paid in kind or with cancellation of debt owed by the company, and (v) placement of shares of the company acquired by the same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08" w:name="page209"/>
    <w:bookmarkEnd w:id="208"/>
    <w:p>
      <w:pPr>
        <w:ind w:right="280" w:firstLine="456"/>
        <w:spacing w:after="0" w:line="339"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10. WITHDRAWAL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 provisions of article 50 of the Securities Market Law, shares representing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variable portion of the capital stock shall not have the withdrawal rights referred to in article 220 of the General Law of Commercial Companies.</w:t>
      </w:r>
    </w:p>
    <w:p>
      <w:pPr>
        <w:spacing w:after="0" w:line="74"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b w:val="1"/>
          <w:bCs w:val="1"/>
          <w:u w:val="single" w:color="auto"/>
          <w:color w:val="auto"/>
        </w:rPr>
        <w:t>ARTICLE 11. ACQUISITION OF SHARES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acquire shares representative of its own capital stock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provisions of the Securities Market Law and with the regulations of The National Banking and Securities Commission.</w:t>
      </w:r>
    </w:p>
    <w:p>
      <w:pPr>
        <w:spacing w:after="0" w:line="74"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u w:val="single" w:color="auto"/>
          <w:color w:val="auto"/>
        </w:rPr>
        <w:t>ARTICLE 12. LIMITATIONS FOR CONTROLLED ENTITIES TO ACQUIRE SHARES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Article 56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Market Law, companies controlled by the Company shall not acquire, directly or indirectly, shares of stock issued by the Company or other securities representing such shares. It will be exempted from this rule, acquisitions made by investment companies (sociedades de Inversión).</w:t>
      </w:r>
    </w:p>
    <w:p>
      <w:pPr>
        <w:spacing w:after="0" w:line="9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u w:val="single" w:color="auto"/>
          <w:color w:val="auto"/>
        </w:rPr>
        <w:t>ARTICLE 13. REGISTER OF CHANGES IN THE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register all increases and decreases of its capital stock in</w:t>
      </w:r>
      <w:r>
        <w:rPr>
          <w:rFonts w:ascii="Arial" w:cs="Arial" w:eastAsia="Arial" w:hAnsi="Arial"/>
          <w:sz w:val="18"/>
          <w:szCs w:val="18"/>
          <w:b w:val="1"/>
          <w:bCs w:val="1"/>
          <w:color w:val="auto"/>
        </w:rPr>
        <w:t xml:space="preserve"> </w:t>
      </w:r>
      <w:r>
        <w:rPr>
          <w:rFonts w:ascii="Arial" w:cs="Arial" w:eastAsia="Arial" w:hAnsi="Arial"/>
          <w:sz w:val="18"/>
          <w:szCs w:val="18"/>
          <w:color w:val="auto"/>
        </w:rPr>
        <w:t>its register for capital stock changes.</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u w:val="single" w:color="auto"/>
          <w:color w:val="auto"/>
        </w:rPr>
        <w:t>ARTICLE 14. AMORTIZATION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redeem shares of part of its capital stock with available profits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rules: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extraordinary shareholders’ meeting shall authorize the 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Only fully paid shares may be redeemed.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The acquisition of shares to be redeemed shall be made in accordance with article 136 of The General Law of Commercial Companies.</w:t>
      </w:r>
    </w:p>
    <w:p>
      <w:pPr>
        <w:spacing w:after="0" w:line="19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 No redemption of shares shall be made if, as a consequence thereof, the series “D” and/or series “L” shares exceed the maximum percentages established by article 6 of these by-laws.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Amortized shares shall be null and the corresponding certificates shall be canceled.</w:t>
      </w:r>
    </w:p>
    <w:p>
      <w:pPr>
        <w:spacing w:after="0" w:line="165"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u w:val="single" w:color="auto"/>
          <w:color w:val="auto"/>
        </w:rPr>
        <w:t>ARTICLE 15. TITLES AND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definitive or provisional certificates representing the shares or the bundled units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nominative, and may cover one or more shares of the same or different series or sub-series; they shall contain the references specified in article 125 of The General Law of Commercial Companies; they shall identify the series or sub-series to which they belong; and they shall contain the text of article 5 of these by-laws and shall be signed by any two series “B” members or alternate members of the board of directors.</w:t>
      </w:r>
    </w:p>
    <w:p>
      <w:pPr>
        <w:spacing w:after="0" w:line="10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signatures of the directors may be manual or facsimile thereof. When facsimile signatures are used, the original of the respective signatures shall be deposited with The Public Register of Commerce of the corporate domicile. The definitive share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4" w:right="39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certificates shall have attached the serial numbered coupons determined by the board of directors.</w:t>
      </w:r>
    </w:p>
    <w:p>
      <w:pPr>
        <w:spacing w:after="0" w:line="17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shareholders meeting approving the respective capital stock increase or the extraordinary shareholders meeting may resolve that any shares of any series or sub-series may be represented by bundled units, that without being ordinary, non-redeemable certificates of participation, may represent units and aggregate shares from the same series or from different series, in accordance with article 6 above.</w:t>
      </w:r>
    </w:p>
    <w:p>
      <w:pPr>
        <w:spacing w:after="0" w:line="10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u w:val="single" w:color="auto"/>
          <w:color w:val="auto"/>
        </w:rPr>
        <w:t>ARTICLE 16. REGISTER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a register of shares, and shall only consider as shareholders those appearing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w:t>
      </w:r>
    </w:p>
    <w:p>
      <w:pPr>
        <w:spacing w:after="0" w:line="120" w:lineRule="exact"/>
        <w:rPr>
          <w:sz w:val="20"/>
          <w:szCs w:val="20"/>
          <w:color w:val="auto"/>
        </w:rPr>
      </w:pPr>
    </w:p>
    <w:p>
      <w:pPr>
        <w:jc w:val="both"/>
        <w:ind w:right="20" w:firstLine="456"/>
        <w:spacing w:after="0" w:line="296" w:lineRule="auto"/>
        <w:rPr>
          <w:sz w:val="20"/>
          <w:szCs w:val="20"/>
          <w:color w:val="auto"/>
        </w:rPr>
      </w:pPr>
      <w:r>
        <w:rPr>
          <w:rFonts w:ascii="Arial" w:cs="Arial" w:eastAsia="Arial" w:hAnsi="Arial"/>
          <w:sz w:val="16"/>
          <w:szCs w:val="16"/>
          <w:b w:val="1"/>
          <w:bCs w:val="1"/>
          <w:u w:val="single" w:color="auto"/>
          <w:color w:val="auto"/>
        </w:rPr>
        <w:t>ARTICLE 17. CANCELLATION OF INSCRIPTION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cancellation of the inscription of the shares of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National Register of Securities, either by the request of the Company with the prior consent of the extraordinary shareholders meeting and the favorable vote of the shareholders, including the shareholders with restricted votes or non-voting shares, representing 95% of the capital stock outstanding, or by a resolution of the National Banking and Securities Commission, in both cases, in accordance with the provisions of article 108 of the Securities Market Law, the Company shall effect, prior to such cancellation, a tender offer subject to the provisions of the Securities Market Law.</w:t>
      </w:r>
    </w:p>
    <w:p>
      <w:pPr>
        <w:spacing w:after="0" w:line="11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shall affect in a trust for a period of at least 6 months from the cancellation of the shares, the necessary resources to acquire at the same price than during the tender offer, the shares of stock from the shareholders that did not participate in the tender offer.</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order to comply with the provisions of the Securities Market Law, the board of directors of the Company shall disclose to the public, its opinion with respect to the price of the tender offer.</w:t>
      </w:r>
    </w:p>
    <w:p>
      <w:pPr>
        <w:spacing w:after="0" w:line="126"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u w:val="single" w:color="auto"/>
          <w:color w:val="auto"/>
        </w:rPr>
        <w:t>ARTICLE 18. MEETINGS OF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shareholders’ meeting is the highest governing body of the company.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may be ordinary, extraordinary or special, and they will be held at the company’s domicile.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Extraordinary meetings shall be those that are called to address:</w:t>
      </w:r>
    </w:p>
    <w:p>
      <w:pPr>
        <w:spacing w:after="0" w:line="171" w:lineRule="exact"/>
        <w:rPr>
          <w:sz w:val="20"/>
          <w:szCs w:val="20"/>
          <w:color w:val="auto"/>
        </w:rPr>
      </w:pPr>
    </w:p>
    <w:p>
      <w:pPr>
        <w:ind w:right="100" w:firstLine="464"/>
        <w:spacing w:after="0" w:line="268"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of the matters specified in article 182 of The General Law of Commercial Companies (with the exception of increases or reductions in the variable portion of the capital stock, pursuant to article 8 hereof) and 228 bis of The General Law of Commercial Companies;</w:t>
      </w:r>
    </w:p>
    <w:p>
      <w:pPr>
        <w:spacing w:after="0" w:line="13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cancellation of the inscription of shares of the company in The Securities Section of The National Register of Securities or in any other domestic or foreign stock markets on which they may be registered.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10" w:name="page211"/>
    <w:bookmarkEnd w:id="21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The amortization by the Company of shares of its capital stock with distributable earnings and, if applicable, issuance of working shares (acciones de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goce).</w:t>
      </w:r>
    </w:p>
    <w:p>
      <w:pPr>
        <w:spacing w:after="0" w:line="165" w:lineRule="exact"/>
        <w:rPr>
          <w:sz w:val="20"/>
          <w:szCs w:val="20"/>
          <w:color w:val="auto"/>
        </w:rPr>
      </w:pPr>
    </w:p>
    <w:p>
      <w:pPr>
        <w:ind w:left="720" w:hanging="256"/>
        <w:spacing w:after="0"/>
        <w:tabs>
          <w:tab w:leader="none" w:pos="7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Capital increase in accordance with article 53 of the Securities Market Law;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other matter in which applicable law or these by-laws require a special quorum.</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other meetings shall be ordinary. The ordinary shareholders meeting, in addition to the provisions of the General Law of Commercial Companies, will gather to approve any transaction to be entered by the Company or its control entities, within one fiscal year, if such transaction represents 20% or more of the consolidated assets of the Company based on the amounts corresponding to the end of the immediately ended quarter, regardless of the way such transactions are structured, either simultaneously or successive, but can be construed as one transaction. In such shareholders meeting, restricted or non-voting shares shall be entitled to vote during such meetings.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meetings shall be those that are held to address matters that could affect the rights of a particular series of shares.</w:t>
      </w:r>
    </w:p>
    <w:p>
      <w:pPr>
        <w:spacing w:after="0" w:line="165"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u w:val="single" w:color="auto"/>
          <w:color w:val="auto"/>
        </w:rPr>
        <w:t>ARTICLE 19. TIME AND PLACE FOR THE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meetings shall be held at the corporate domicile whenever called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Directors through its secretary or alternate secretary; the audit and the corporate practices committees, through their respective chairman, can call a shareholders meeting.</w:t>
      </w:r>
    </w:p>
    <w:p>
      <w:pPr>
        <w:spacing w:after="0" w:line="13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Shareholders holding voting shares, including restricted voting shares, that individually or collectively hold 10% or more of the capital stock outstanding will be entitled to require the chairman of the board, the chairman of the audit committee or the chairman of the corporate practices committee, to call a shareholders meeting, and the percentage set forth in article 184 of the General Law of Commercial Companies shall not be applicable.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ordinary shareholders meeting shall be held at least once a year, whenever called by the board of directors within the first four months following the end of the fiscal year.</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shareholders meeting shall be held at the request of the shareholders in any of the cases referred to in articles 184 and 185 of The General Law of Commercial Companies, and other applicable provisions of the Securities Market Law.</w:t>
      </w:r>
    </w:p>
    <w:p>
      <w:pPr>
        <w:spacing w:after="0" w:line="126"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u w:val="single" w:color="auto"/>
          <w:color w:val="auto"/>
        </w:rPr>
        <w:t>ARTICLE 20. SUMMONS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calls for shareholders’ meetings shall be published in the Official State Gazette of the corporate domicile or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in one of the newspapers with a broad circulation in said domicile, at least 15 days prior to the date set for the meeting and with at least 8 days on second or subsequent call.</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211" w:name="page212"/>
    <w:bookmarkEnd w:id="211"/>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notices for shareholders’ meetings shall comply with the requirements of articles 186 and 187 of The General Law of Commercial Companies, and the applicable requirements of the Securities Market Law.</w:t>
      </w:r>
    </w:p>
    <w:p>
      <w:pPr>
        <w:spacing w:after="0" w:line="12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u w:val="single" w:color="auto"/>
          <w:color w:val="auto"/>
        </w:rPr>
        <w:t>ARTICLE 21. ATTENDANCE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To obtain the entrance ticket to attend the meetings, the shareholders must be registered in the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registry of the company, and shall deposit their shares with the secretary of the company, at least 48 hours prior to the time set for the meeting to be held. For shares deposited with institutions for the deposit of securities, where shares may be deposited, such institutions shall communicate to the secretary of the company the number of shares deposited by each one of the depositors, indicating if the shares are deposited at its own name or of any third party, such communication must be accompanied with the list of names of the depositors that have accounts in such institution for the deposit of securities; such list must be delivered to the secretary of the company within the above-mentioned time frame, with the purpose of obtaining an entrance ticket to attend the meeting. Shareholders may be represented in the meetings by a person or persons appointed by them by a power of attorney issued in the formats that meet the requirements set forth in the Securities Market Law, which shall be received by the secretary of the company within the time specified above.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Shares deposited to attend the shareholders meetings, shall be returned after the meetings are held, against delivery to the company of the receipt issued to the shareholder.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ARTICLE 22. ATTENDANCE-QUORUM AND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shareholders’ meetings shall have the following quorum and resolution rules:</w:t>
      </w:r>
    </w:p>
    <w:p>
      <w:pPr>
        <w:spacing w:after="0" w:line="20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The ordinary shareholders meetings shall be deemed to be legally held on a first call if, more than 50% of the series “B” shares are represented therein, and in the case of second or subsequent call, ordinary shareholders meetings shall be validly held whatever number of series “B” shares are present. The resolutions of the ordinary shareholders meeting shall be valid when approved by at least the majority of the subscribed and fully paid series “B” shares represented in the meeting.</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 The extraordinary shareholders meetings shall be deemed legally held on first call to address matters on which series “D” shares and series “L” shares do not have the right to vote, if at least seventy-five percent of the series “B” shares are represented therein and in the case of second or subsequent calls if at least the majority of the series “B” shares are represented therein.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both cases, the resolutions of the extraordinary shareholders meeting shall be valid when approved by, at least the majority of the series “B” shares.</w:t>
      </w:r>
    </w:p>
    <w:p>
      <w:pPr>
        <w:spacing w:after="0" w:line="194"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 xml:space="preserve">c). The extraordinary shareholders meeting called to address matters on which series “D” or “L” shares have the right to vote shall be deemed to be legally held on first call, if at least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xml:space="preserve"> of the fully paid and subscribed shares of the total capital stock are represented therein and in the event of second or subsequent call, with the majority of the fully paid and subscribed shares of the total capital stock, except in the event of second or subsequent call for extraordinary shareholders meeting that are held to address any of the issues specified in sub-sections f) and g) of article 6 of these bylaws, for which it will always be required the presence of the shareholders representing at least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xml:space="preserve"> of the fully paid and subscribed capital stock in order for the shareholders meeting to be legally held.</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12" w:name="page213"/>
    <w:bookmarkEnd w:id="2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resolutions shall be valid in all cases, when approved by the vote of the majority of the shares of the total capital stock.</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 The special shareholders meetings (including those meetings called to appoint series “D” or series “L” directors) shall follow the same rules applicable by this article 22, to extraordinary shareholders meetings, but referred exclusively to the applicable series of shares.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 The ordinary shareholders meetings to deal with the approval of the financial statements for the previous fiscal year, shall also know of the reports referred to in Article 28 section IV of the Securities Market Law.</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u w:val="single" w:color="auto"/>
          <w:color w:val="auto"/>
        </w:rPr>
        <w:t>ARTICLE 23. MEETINGS OF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meetings shall be presided by the chairman of the board of directors and, in his</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by the person that must take his place; or in the absence of both by the shareholder appointed by those shareholders attending the meeting. The secretary of the board shall act as secretary of the shareholders’ meeting or in his absence, the person appointed by the shareholders attending the meeting. The chairman shall appoint two of the shareholders attending the meeting to verify the attendance list. The votes shall be oral, unless 3 of the shareholders attending the meeting request that the votes be counted. Shareholders holding 10% of the shares outstanding (including shareholders of limited or restricted voting rights shares) shall have the right to request that the decision to a particular item in which they are not sufficiently informed be postponed for 3 days without need of an additional call and the percentage set forth in Article 199 of the General Law of Commercial Companies shall not be applicable. Such right shall only be exercised once for the same matter.</w:t>
      </w:r>
    </w:p>
    <w:p>
      <w:pPr>
        <w:spacing w:after="0" w:line="11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u w:val="single" w:color="auto"/>
          <w:color w:val="auto"/>
        </w:rPr>
        <w:t>ARTICLE 24.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administration of the Company shall be the responsibility of a board of directors and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board of directors shall be comprised of a maximum of 21 (twenty-one) members and the alternates designated in accordance with these by-laws, and at least 25% of the members of the board of directors shall be independent.</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u w:val="single" w:color="auto"/>
          <w:color w:val="auto"/>
        </w:rPr>
        <w:t>ARTICLE 25. APPOINTMENT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series “B” shareholders, by a majority vote of such shares represented at the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shall appoint at least 11 (eleven) directors and series “D” shareholders, shall appoint 5 directors by the majority of the shares represented at the respective meeting. Upon conversion of the sub-series “D-L” shares into series “L” shares, pursuant to article 6 f) above of these bylaws, the series “L” shareholders shall have the right to appoint 2 directors by the majority of the shares represented at the respective meeting.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13" w:name="page214"/>
    <w:bookmarkEnd w:id="213"/>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shareholders may designate alternate directors, which shall specifically cover the absences of the member of the board designated, in accordance to the applicable legal provisions.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board of directors shall hold their position for one year; however, in accordance with article 24 of the Securities Market Law, they shall continue in their duties notwithstanding the termination of their duty or have resigned, up to a term of 30 calendar days; if no substitution has been made or the designated person has not taken office, they will not be subject to the provisions of article 154 of the General Law of Commercial Companies. The members of the board and secretaries shall receive the compensation as the ordinary shareholders meeting determines, and shall have the rights and obligations set forth in the Securities Market Law and the General Law of Commercial Companies.</w:t>
      </w:r>
    </w:p>
    <w:p>
      <w:pPr>
        <w:spacing w:after="0" w:line="11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board of directors shall be entitled to appoint interim members of the board, without need of intervention of the shareholders meeting, to cover the absences of any board members, or the appointed members has not taken office, and no alternate was appointed or such alternate has not taken office. The shareholders meeting shall ratify such appointments or shall designate a substitute director in the immediate following meeting after such event.</w:t>
      </w:r>
    </w:p>
    <w:p>
      <w:pPr>
        <w:spacing w:after="0" w:line="10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u w:val="single" w:color="auto"/>
          <w:color w:val="auto"/>
        </w:rPr>
        <w:t>ARTICLE 26. SUMMONS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calls for the meetings of the board of directors (or the right to include any item of the agenda for the meeting) may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the Chairman of the Board, or by any of the presidents of the audit or corporate practices committees, or by at least 25% of the members of the board of directors, and shall be sent by mail, fax, messenger by any other means, to the members of the board of directors at least 7 days prior to the date of the meeting, and shall be signed by the chairman or by the secretary.</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external auditor may be called for meetings of the Board of Directors, and if called, the external auditor shall participate with voice, but shall have no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vote.</w:t>
      </w:r>
    </w:p>
    <w:p>
      <w:pPr>
        <w:spacing w:after="0" w:line="15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u w:val="single" w:color="auto"/>
          <w:color w:val="auto"/>
        </w:rPr>
        <w:t>ARTICLE 27. BOARD OF DIRECTORS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shall hold meetings at least once every 3 months. The appointing annual</w:t>
      </w:r>
      <w:r>
        <w:rPr>
          <w:rFonts w:ascii="Arial" w:cs="Arial" w:eastAsia="Arial" w:hAnsi="Arial"/>
          <w:sz w:val="16"/>
          <w:szCs w:val="16"/>
          <w:b w:val="1"/>
          <w:bCs w:val="1"/>
          <w:color w:val="auto"/>
        </w:rPr>
        <w:t xml:space="preserve"> </w:t>
      </w:r>
      <w:r>
        <w:rPr>
          <w:rFonts w:ascii="Arial" w:cs="Arial" w:eastAsia="Arial" w:hAnsi="Arial"/>
          <w:sz w:val="16"/>
          <w:szCs w:val="16"/>
          <w:color w:val="auto"/>
        </w:rPr>
        <w:t>ordinary shareholders meeting or the board of directors in its first meeting after such shareholders’ meeting, shall appoint, from among the directors appointed by the series “B” shareholders a chairman and, if deemed appropriate a vice-chairman of the board of directors. In the same terms, it shall also appoint the secretary and alternate secretary, provided, however, that the secretary and its alternate shall be required to be non-directors. The board shall also appoint such officers as the board may deem convenient. The chairman of the board shall also be chairman at the shareholders’ meetings and shall be substituted in his absences by the vice-chairman, and in the absence of both by the other series “B” directors in the order of their appointment.</w:t>
      </w:r>
    </w:p>
    <w:p>
      <w:pPr>
        <w:spacing w:after="0" w:line="111"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b w:val="1"/>
          <w:bCs w:val="1"/>
          <w:u w:val="single" w:color="auto"/>
          <w:color w:val="auto"/>
        </w:rPr>
        <w:t>ARTICLE 28. QUORUM AND RESOLUTIONS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The meetings of the board of directors shall be considered legally held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attendance of a majority of its members, and its resolutions shall be valid if approved by the majority of votes of the members present at the meeting.</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14" w:name="page215"/>
    <w:bookmarkEnd w:id="214"/>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Resolutions adopted outside of meetings shall be valid if adopted by unanimity of its members, and if the written resolutions thereof are signed by all of the members of the board or their alternates.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Minutes shall be taken for all meetings; same that shall be approved by at least the majority of the attending directors to the respective meeting, and shall be signed by the chairman and the secretary.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29. POWERS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shall have the following powers and duties: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 The broadest power for business and real estate administration, in accordance with the second paragraph of Article 2554 of The Federal Civil Code, and the corresponding articles of the Civil Code of the Federal District and the civil codes of the other states of the Mexican Federation.</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 The power for acts of ownership over all types of movable and immovable assets of the company as well as its real and corporate rights according to the terms of the third paragraph of Article 2554 of The Federal Civil Code, and the corresponding articles of the Civil Code of the Federal District and the civil codes of the other states of the Mexican Federation, and to grant guarantees of any kind for the obligations of the company, for any securities issued or accepted by third parties.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 The broadest power to represent the company before all types of administrative and judicial authorities, with either federal, state or municipal jurisdiction, as well as before labor authorities, arbitrators or amicable mediators, with all the general and special powers that require a special clause according to Law, which are conferred upon it without limitation, pursuant to the first paragraph of Article 2554 of The Federal Civil Code, and the corresponding articles of the Civil Code of the Federal District and the civil codes of the other states of the Mexican federation, to articulate and absolve depositions, and to renounce the right of filing amparo suits, and carry out all acts expressly determined by Law, among which are included to represent the corporation before judicial and administrative, criminal, civil or other authorities, with the power to present criminal complaints and accusations, grant pardons, to act as plaintiff or coadjuvant with the Public Ministry in criminal proceedings, before work authorities and courts.</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d). The power to issue, subscribe, guarantee, and in any other manner trade all types of credit instruments and issue bonds with or without guarantees or collateral, and the power to invest any fixed, real estate or movable assets in any company and the power to subscribe shares, equity interests or participation in any company and generally to perform or execute any actions required for the performance of the corporate purpose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15" w:name="page216"/>
    <w:bookmarkEnd w:id="215"/>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The power to subscribe any guarantee on behalf of the company as joint and several debtor or guarantor, to grant bails or any other payment guarantee of any type regarding any obligation contracted by the company or any third party as well as from any obligation arising from any securities issued or accepted by the company or any third party.</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f). The power to approve, with the opinion of the competent committee, the appointment, selection and/or removal of the chief executive officer of the Company and its integral compensation, and the policies for the appointment and remuneration of the relevant officers, and establish their duties and responsibilities, and to form committees required by applicable law, these bylaws, or considered advisable, establishing the duties and manner of operation of such committees; if no procedures are established, such committees shall proceed in accordance with the rules set forth for the executive committee.</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g). The power to grant and revoke the powers deemed appropriate, with or without powers of substitution, including powers granted to the board of directors.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 The power to execute all the resolutions of the shareholders meetings, and to perform all actions required or convenient for the better performance of the corporate purpose, so long as they are not reserved to the shareholders meeting by law or by these by-laws.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Any other power or duty set forth by these by-laws or the Securities Market Law.</w:t>
      </w:r>
    </w:p>
    <w:p>
      <w:pPr>
        <w:spacing w:after="0" w:line="165" w:lineRule="exact"/>
        <w:rPr>
          <w:sz w:val="20"/>
          <w:szCs w:val="20"/>
          <w:color w:val="auto"/>
        </w:rPr>
      </w:pPr>
    </w:p>
    <w:p>
      <w:pPr>
        <w:jc w:val="both"/>
        <w:ind w:right="420" w:firstLine="456"/>
        <w:spacing w:after="0" w:line="262" w:lineRule="auto"/>
        <w:rPr>
          <w:sz w:val="20"/>
          <w:szCs w:val="20"/>
          <w:color w:val="auto"/>
        </w:rPr>
      </w:pPr>
      <w:r>
        <w:rPr>
          <w:rFonts w:ascii="Arial" w:cs="Arial" w:eastAsia="Arial" w:hAnsi="Arial"/>
          <w:sz w:val="18"/>
          <w:szCs w:val="18"/>
          <w:b w:val="1"/>
          <w:bCs w:val="1"/>
          <w:u w:val="single" w:color="auto"/>
          <w:color w:val="auto"/>
        </w:rPr>
        <w:t>ARTICLE 29 BIS. AUTHORITY AND OBLIGATIONS OF THE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Day to day operations and execution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of the Company and its controlled entities shall be the responsibility of the chief executive officer, following the strategies, policies and guidelines approved the board of directors, having the authority, obligations and duties set forth in the Securities Market Law.</w:t>
      </w:r>
    </w:p>
    <w:p>
      <w:pPr>
        <w:spacing w:after="0" w:line="132"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b w:val="1"/>
          <w:bCs w:val="1"/>
          <w:u w:val="single" w:color="auto"/>
          <w:color w:val="auto"/>
        </w:rPr>
        <w:t>ARTICLE 30.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secretaries and other administrators of the company shall not be required, to post a guarantee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of their duties. The latter unless the ordinary shareholders meeting deems it appropriate, or the board of directors in the case of officers and other executives designated by this body.</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u w:val="single" w:color="auto"/>
          <w:color w:val="auto"/>
        </w:rPr>
        <w:t>ARTICLE 31. EXECUTIVE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ordinary shareholders meeting may form any committee that is deemed convenient, and</w:t>
      </w:r>
      <w:r>
        <w:rPr>
          <w:rFonts w:ascii="Arial" w:cs="Arial" w:eastAsia="Arial" w:hAnsi="Arial"/>
          <w:sz w:val="16"/>
          <w:szCs w:val="16"/>
          <w:b w:val="1"/>
          <w:bCs w:val="1"/>
          <w:color w:val="auto"/>
        </w:rPr>
        <w:t xml:space="preserve"> </w:t>
      </w:r>
      <w:r>
        <w:rPr>
          <w:rFonts w:ascii="Arial" w:cs="Arial" w:eastAsia="Arial" w:hAnsi="Arial"/>
          <w:sz w:val="16"/>
          <w:szCs w:val="16"/>
          <w:color w:val="auto"/>
        </w:rPr>
        <w:t>may appoint an executive committee, comprised of an odd number of members or alternates from the board of directors of the company, and which shall form an associated delegate body of the board. The general ordinary shareholders meeting or the board of directors may appoint an alternate for every member of the executive committee for the case of absences of any of the members. Members of the executive committee shall hold their positions for one year, unless they are relieved of their duties by the ordinary shareholders’ meeting, or the board of directors that appointed them, but in any event they shall remain in their positions for a term of thirty (30) calendar days or until the individuals appointed to succeed them take possession of the same; they may be reelected and shall receive compensation to be determined by the ordinary shareholders meeting or the board of directors.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6" w:name="page217"/>
    <w:bookmarkEnd w:id="216"/>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executive committee shall meet on the dates fixed in the first yearly meeting of the executive committee, in the understanding that it may be called by the secretary at the request of the chairman or any two of its members. The meetings shall be called and the committee shall be conducted following the same procedure that for meetings of the Board of Directors in accordance with articles 26 and 28 above, but referred to the executive committee.</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order for meetings of the executive committee to be valid, the presence of at least the majority of its members shall be required. Resolutions of the executive committee shall be approved by the favorable vote of a majority of its members that are present.</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chairman of the executive committee shall be one of its members and shall be appointed by the executive committee. In his absences the chairman shall be substituted by one of the members of the executive committee appointed thereby. The executive committee may appoint a secretary who may be the secretary of the board and who does not need to be a director. The external auditor may be invited to the meetings of the executive committee and may deliberate but they will not have the right to vote.</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executive committee shall have any of the powers granted to the board of directors under paragraphs a), b), c), d) and e) of article 29 above which shall not be delegated to any person, provided however that such committee is authorized to appoint representatives for the execution of certain specific acts.</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executive committee, through its chairman or its secretary, shall inform the board of directors of its resolutions in the next board meeting following such executive committee meeting, or whenever in the judgment of the executive committee there are facts or acts that are important to the company. For each meeting of the executive committee the secretary shall prepare the minutes that shall be transcribed into a special book. The minutes shall include the attendance list and the resolutions adopted and shall be signed by those individuals acting as chairman and as secretary.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32. SURVEILLANCE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surveillance of the Company and its controlled entities shall be entrusted to the board of directors.</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board of directors, to comply with its surveillance duties, shall be assisted by the corporate practices and audit committees, and by the company hired to perform the external auditing services for the Company, each of them in accordance with their respective competence, as set forth in the Securities Market Law.</w:t>
      </w:r>
    </w:p>
    <w:p>
      <w:pPr>
        <w:spacing w:after="0" w:line="6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corporate practices and audit committees shall perform the duties set forth in the Securities Market Law, and shall be integrated exclusively by independent directors, and each such committees shall be form by at least 3 board members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by the shareholders meeting or by the board of directors, as proposed by the chairman of the board.</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chairpersons of the corporate practices and audit committees shall be designated and removed exclusively the shareholders meeting. Such chairpersons shall not be chairman of the board of directors, and shall be selected taken into consideration their experience, recognized capacity and professional prestige.</w:t>
      </w:r>
    </w:p>
    <w:p>
      <w:pPr>
        <w:spacing w:after="0" w:line="56"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u w:val="single" w:color="auto"/>
          <w:color w:val="auto"/>
        </w:rPr>
        <w:t>ARTICLE 33.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of the company shall be of 12 months, beginning the first day of January and ending the last day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of each year.</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u w:val="single" w:color="auto"/>
          <w:color w:val="auto"/>
        </w:rPr>
        <w:t>ARTICLE 34. PROFITS</w:t>
      </w:r>
      <w:r>
        <w:rPr>
          <w:rFonts w:ascii="Arial" w:cs="Arial" w:eastAsia="Arial" w:hAnsi="Arial"/>
          <w:sz w:val="18"/>
          <w:szCs w:val="18"/>
          <w:b w:val="1"/>
          <w:bCs w:val="1"/>
          <w:color w:val="auto"/>
        </w:rPr>
        <w:t xml:space="preserve">. </w:t>
      </w:r>
      <w:r>
        <w:rPr>
          <w:rFonts w:ascii="Arial" w:cs="Arial" w:eastAsia="Arial" w:hAnsi="Arial"/>
          <w:sz w:val="18"/>
          <w:szCs w:val="18"/>
          <w:color w:val="auto"/>
        </w:rPr>
        <w:t>The net profits of each fiscal year, after deduction of the necessary amounts for income tax and any amount that according to</w:t>
      </w:r>
      <w:r>
        <w:rPr>
          <w:rFonts w:ascii="Arial" w:cs="Arial" w:eastAsia="Arial" w:hAnsi="Arial"/>
          <w:sz w:val="18"/>
          <w:szCs w:val="18"/>
          <w:b w:val="1"/>
          <w:bCs w:val="1"/>
          <w:color w:val="auto"/>
        </w:rPr>
        <w:t xml:space="preserve"> </w:t>
      </w:r>
      <w:r>
        <w:rPr>
          <w:rFonts w:ascii="Arial" w:cs="Arial" w:eastAsia="Arial" w:hAnsi="Arial"/>
          <w:sz w:val="18"/>
          <w:szCs w:val="18"/>
          <w:color w:val="auto"/>
        </w:rPr>
        <w:t>law shall de deducted or segregated shall be applied as follows:</w:t>
      </w:r>
    </w:p>
    <w:p>
      <w:pPr>
        <w:spacing w:after="0" w:line="1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Five percent shall be deducted to establish, increase or where appropriate replace the reserve fund, until said fund is equal to twenty percent of the paid capital stock.</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 The remainder shall be distributed as dividend proportionately to the shareholders pursuant to these by-laws, or if resolved by the shareholders’ meeting it shall be applied partially or totally to create any reserve or fund that the shareholders’ meeting may resolve (including any reserve to acquire shares of its own capital stock in accordance with the provisions of the Securities Market Law).</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35. FOUNDERS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founders of this company do not reserve any special participation in the profits of the company.</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u w:val="single" w:color="auto"/>
          <w:color w:val="auto"/>
        </w:rPr>
        <w:t>ARTICLE 36. LOSSES</w:t>
      </w:r>
      <w:r>
        <w:rPr>
          <w:rFonts w:ascii="Arial" w:cs="Arial" w:eastAsia="Arial" w:hAnsi="Arial"/>
          <w:sz w:val="18"/>
          <w:szCs w:val="18"/>
          <w:b w:val="1"/>
          <w:bCs w:val="1"/>
          <w:color w:val="auto"/>
        </w:rPr>
        <w:t xml:space="preserve">. </w:t>
      </w:r>
      <w:r>
        <w:rPr>
          <w:rFonts w:ascii="Arial" w:cs="Arial" w:eastAsia="Arial" w:hAnsi="Arial"/>
          <w:sz w:val="18"/>
          <w:szCs w:val="18"/>
          <w:color w:val="auto"/>
        </w:rPr>
        <w:t>Losses if any shall be reported by all shareholders in proportion to the number of their shares, taking into consideration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article 87 of The General Law of Commercial Companies.</w:t>
      </w:r>
    </w:p>
    <w:p>
      <w:pPr>
        <w:spacing w:after="0" w:line="1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ARTICLE 37. ADVANCED DISSOLUTION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be dissolved in anticipation, in any of the cases contemplated in paragraphs II, III, IV</w:t>
      </w:r>
      <w:r>
        <w:rPr>
          <w:rFonts w:ascii="Arial" w:cs="Arial" w:eastAsia="Arial" w:hAnsi="Arial"/>
          <w:sz w:val="18"/>
          <w:szCs w:val="18"/>
          <w:b w:val="1"/>
          <w:bCs w:val="1"/>
          <w:color w:val="auto"/>
        </w:rPr>
        <w:t xml:space="preserve"> </w:t>
      </w:r>
      <w:r>
        <w:rPr>
          <w:rFonts w:ascii="Arial" w:cs="Arial" w:eastAsia="Arial" w:hAnsi="Arial"/>
          <w:sz w:val="18"/>
          <w:szCs w:val="18"/>
          <w:color w:val="auto"/>
        </w:rPr>
        <w:t>and V of article 229 of The General Law of Commercial Companies.</w:t>
      </w:r>
    </w:p>
    <w:p>
      <w:pPr>
        <w:spacing w:after="0" w:line="12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u w:val="single" w:color="auto"/>
          <w:color w:val="auto"/>
        </w:rPr>
        <w:t>ARTICLE 38. LIQUIDATOR</w:t>
      </w:r>
      <w:r>
        <w:rPr>
          <w:rFonts w:ascii="Arial" w:cs="Arial" w:eastAsia="Arial" w:hAnsi="Arial"/>
          <w:sz w:val="18"/>
          <w:szCs w:val="18"/>
          <w:b w:val="1"/>
          <w:bCs w:val="1"/>
          <w:color w:val="auto"/>
        </w:rPr>
        <w:t xml:space="preserve">. </w:t>
      </w:r>
      <w:r>
        <w:rPr>
          <w:rFonts w:ascii="Arial" w:cs="Arial" w:eastAsia="Arial" w:hAnsi="Arial"/>
          <w:sz w:val="18"/>
          <w:szCs w:val="18"/>
          <w:color w:val="auto"/>
        </w:rPr>
        <w:t>Once the company is dissolved, the extraordinary shareholders’ meeting shall appoint one or more liquidators, fixing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limits for the liquidation and the compensation they will receive.</w:t>
      </w:r>
    </w:p>
    <w:p>
      <w:pPr>
        <w:spacing w:after="0" w:line="120"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u w:val="single" w:color="auto"/>
          <w:color w:val="auto"/>
        </w:rPr>
        <w:t>ARTICLE 39. LIQUIDATION PROCEDURE</w:t>
      </w:r>
      <w:r>
        <w:rPr>
          <w:rFonts w:ascii="Arial" w:cs="Arial" w:eastAsia="Arial" w:hAnsi="Arial"/>
          <w:sz w:val="18"/>
          <w:szCs w:val="18"/>
          <w:b w:val="1"/>
          <w:bCs w:val="1"/>
          <w:color w:val="auto"/>
        </w:rPr>
        <w:t xml:space="preserve">. </w:t>
      </w:r>
      <w:r>
        <w:rPr>
          <w:rFonts w:ascii="Arial" w:cs="Arial" w:eastAsia="Arial" w:hAnsi="Arial"/>
          <w:sz w:val="18"/>
          <w:szCs w:val="18"/>
          <w:color w:val="auto"/>
        </w:rPr>
        <w:t>The liquidators shall implement the liquidation pursuant to the resolutions of the extraordinary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meeting, and in the absence thereof, pursuant to the following rules:</w:t>
      </w:r>
    </w:p>
    <w:p>
      <w:pPr>
        <w:spacing w:after="0" w:line="1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They shall conclude the business in the manner that he deems the most convenient, collecting the amounts payable, paying the debts and selling the assets of the company that may be necessary for such purpose;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18" w:name="page219"/>
    <w:bookmarkEnd w:id="2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They shall prepare the final liquidation balance; and will present it to the extraordinary shareholders meeting for its approval;</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 In accordance with the financial statements approved by the extraordinary shareholders’ meetings, they shall distribute the liquid assets among all of the company’s shareholders as provided by these by-laws and the applicable laws, against surrender and cancellation of the corresponding shares certificates.</w:t>
      </w:r>
    </w:p>
    <w:p>
      <w:pPr>
        <w:spacing w:after="0" w:line="79"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u w:val="single" w:color="auto"/>
          <w:color w:val="auto"/>
        </w:rPr>
        <w:t>ARTICLE 40. FUNCTIONS OF THE LIQUIDATORS WITH RESPECT TO SHAREHOLDERS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liquidation process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meeting shall meet in accordance with the chapter concerning the general shareholders meetings, and the liquidators shall have those duties and rights pertaining to the board of directors during the term of the company.</w:t>
      </w:r>
    </w:p>
    <w:p>
      <w:pPr>
        <w:spacing w:after="0" w:line="132"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u w:val="single" w:color="auto"/>
          <w:color w:val="auto"/>
        </w:rPr>
        <w:t>ARTICLE 41. GENERAL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provisions not included in these by-laws, shall be subject to the provisions of the Securities Market Law</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General Law of Commercial Companies. The defined terms used in these by-laws and defined by the Securities Market Law, shall have the meanings set forth in such law.</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ESTATUTOS</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ARTICULO 1o. DENOMINACIÓN</w:t>
      </w:r>
      <w:r>
        <w:rPr>
          <w:rFonts w:ascii="Arial" w:cs="Arial" w:eastAsia="Arial" w:hAnsi="Arial"/>
          <w:sz w:val="18"/>
          <w:szCs w:val="18"/>
          <w:color w:val="auto"/>
        </w:rPr>
        <w:t>. La sociedad se denomina “FOMENTO ECONÓMICO MEXICANO”, debiendo ser seguida esta denominación de</w:t>
      </w:r>
      <w:r>
        <w:rPr>
          <w:rFonts w:ascii="Arial" w:cs="Arial" w:eastAsia="Arial" w:hAnsi="Arial"/>
          <w:sz w:val="18"/>
          <w:szCs w:val="18"/>
          <w:b w:val="1"/>
          <w:bCs w:val="1"/>
          <w:color w:val="auto"/>
        </w:rPr>
        <w:t xml:space="preserve"> </w:t>
      </w:r>
      <w:r>
        <w:rPr>
          <w:rFonts w:ascii="Arial" w:cs="Arial" w:eastAsia="Arial" w:hAnsi="Arial"/>
          <w:sz w:val="18"/>
          <w:szCs w:val="18"/>
          <w:color w:val="auto"/>
        </w:rPr>
        <w:t>las palabras “SOCIEDAD ANÓNIMA BURSÁTIL DE CAPITAL VARIABLE” o de las iniciales “S.A.B. DE C.V.”</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ARTICULO 2o. OBJETO SOCIAL</w:t>
      </w:r>
      <w:r>
        <w:rPr>
          <w:rFonts w:ascii="Arial" w:cs="Arial" w:eastAsia="Arial" w:hAnsi="Arial"/>
          <w:sz w:val="18"/>
          <w:szCs w:val="18"/>
          <w:color w:val="auto"/>
        </w:rPr>
        <w:t>. El objeto de la sociedad 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Constituir, promover y organizar toda clase de sociedades mercantiles o civiles; así como adquirir y poseer acciones o participaciones en las mismas;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 Adquirir, poseer y enajenar bonos, acciones, participaciones y valores de cualquier clase, hacer reportos, entrar en comandita y, en general, celebrar toda clase de operaciones activas o pasivas con dichos valores;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 Proporcionar o recibir servicios de asesoría, consultoría y otros servicios en materia industrial, contable, mercantil, financiera, legal, fiscal y cualquier otra materia relacionada con la promoción o manejo de sociedades;</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d). Adquirir, construir, fabricar, importar, disponer, exportar y, en general, negociar con toda clase de maquinaria, equipo, materias primas y cualesquiera otros elementos necesarios a su objeto social o para el de las empresas en la que tenga participación social o relación comercial;</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 Solicitar, obtener, registrar, comprar, arrendar, ceder o en cualquier otra forma, disponer de y adquirir marcas, nombres comerciales, derechos de autor, patentes, invenciones y procesos;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 Adquirir, construir, tomar en arrendamiento o alquiler, o por cualquier otro título, poseer y operar los inmuebles y muebles necesarios o convenientes a su objeto, así como instalar o por cualquier otro título operar plantas, talleres, almacenes, expendios, bodegas o depósitos, así como los derechos reales necesarios a su objeto social;</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g). Girar, aceptar, suscribir, endosar o avalar títulos de crédito, emitir obligaciones con o sin garantía específica, constituirse en deudora solidaria así como otorgar garantías de cualquier clase, respecto a las obligaciones contraídas por la sociedad o por terceros;</w:t>
      </w:r>
    </w:p>
    <w:p>
      <w:pPr>
        <w:spacing w:after="0" w:line="132" w:lineRule="exact"/>
        <w:rPr>
          <w:sz w:val="20"/>
          <w:szCs w:val="20"/>
          <w:color w:val="auto"/>
        </w:rPr>
      </w:pPr>
    </w:p>
    <w:p>
      <w:pPr>
        <w:jc w:val="center"/>
        <w:ind w:right="80"/>
        <w:spacing w:after="0" w:line="440" w:lineRule="auto"/>
        <w:rPr>
          <w:sz w:val="20"/>
          <w:szCs w:val="20"/>
          <w:color w:val="auto"/>
        </w:rPr>
      </w:pPr>
      <w:r>
        <w:rPr>
          <w:rFonts w:ascii="Arial" w:cs="Arial" w:eastAsia="Arial" w:hAnsi="Arial"/>
          <w:sz w:val="18"/>
          <w:szCs w:val="18"/>
          <w:color w:val="auto"/>
        </w:rPr>
        <w:t>h). En general, ejecutar los actos, celebrar los contratos y realizar las demás operaciones que sean necesarias o conducentes al objeto de la sociedad. 1</w:t>
      </w:r>
    </w:p>
    <w:p>
      <w:pPr>
        <w:sectPr>
          <w:pgSz w:w="11900" w:h="16838" w:orient="portrait"/>
          <w:cols w:equalWidth="0" w:num="1">
            <w:col w:w="11400"/>
          </w:cols>
          <w:pgMar w:left="240" w:top="274" w:right="259" w:bottom="1440" w:gutter="0" w:footer="0" w:header="0"/>
        </w:sectPr>
      </w:pPr>
    </w:p>
    <w:bookmarkStart w:id="220" w:name="page221"/>
    <w:bookmarkEnd w:id="220"/>
    <w:p>
      <w:pPr>
        <w:ind w:right="100" w:firstLine="456"/>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ARTICULO 3o. DURACIÓN</w:t>
      </w:r>
      <w:r>
        <w:rPr>
          <w:rFonts w:ascii="Arial" w:cs="Arial" w:eastAsia="Arial" w:hAnsi="Arial"/>
          <w:sz w:val="18"/>
          <w:szCs w:val="18"/>
          <w:color w:val="auto"/>
        </w:rPr>
        <w:t>.- La duración de la sociedad es de 99 (noventa y nueve) años, que empezaron a contarse el día 30 (treinta) de Mayo de</w:t>
      </w:r>
      <w:r>
        <w:rPr>
          <w:rFonts w:ascii="Arial" w:cs="Arial" w:eastAsia="Arial" w:hAnsi="Arial"/>
          <w:sz w:val="18"/>
          <w:szCs w:val="18"/>
          <w:b w:val="1"/>
          <w:bCs w:val="1"/>
          <w:color w:val="auto"/>
        </w:rPr>
        <w:t xml:space="preserve"> </w:t>
      </w:r>
      <w:r>
        <w:rPr>
          <w:rFonts w:ascii="Arial" w:cs="Arial" w:eastAsia="Arial" w:hAnsi="Arial"/>
          <w:sz w:val="18"/>
          <w:szCs w:val="18"/>
          <w:color w:val="auto"/>
        </w:rPr>
        <w:t>1936 (mil novecientos treinta y seis), fecha de inscripción de la escritura constitutiva en el Registro de Comercio y concluirá en consecuencia, en la misma fecha del año 2035 (dos mil treinta y cinco).</w:t>
      </w:r>
    </w:p>
    <w:p>
      <w:pPr>
        <w:spacing w:after="0" w:line="13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u w:val="single" w:color="auto"/>
          <w:color w:val="auto"/>
        </w:rPr>
        <w:t>ARTICULO 4o. DOMICILIO</w:t>
      </w:r>
      <w:r>
        <w:rPr>
          <w:rFonts w:ascii="Arial" w:cs="Arial" w:eastAsia="Arial" w:hAnsi="Arial"/>
          <w:sz w:val="18"/>
          <w:szCs w:val="18"/>
          <w:color w:val="auto"/>
        </w:rPr>
        <w:t>.- El domicilio de la sociedad será la ciudad de Monterrey, Nuevo León, México, y no se entenderá cambiado si la sociedad</w:t>
      </w:r>
      <w:r>
        <w:rPr>
          <w:rFonts w:ascii="Arial" w:cs="Arial" w:eastAsia="Arial" w:hAnsi="Arial"/>
          <w:sz w:val="18"/>
          <w:szCs w:val="18"/>
          <w:b w:val="1"/>
          <w:bCs w:val="1"/>
          <w:color w:val="auto"/>
        </w:rPr>
        <w:t xml:space="preserve"> </w:t>
      </w:r>
      <w:r>
        <w:rPr>
          <w:rFonts w:ascii="Arial" w:cs="Arial" w:eastAsia="Arial" w:hAnsi="Arial"/>
          <w:sz w:val="18"/>
          <w:szCs w:val="18"/>
          <w:color w:val="auto"/>
        </w:rPr>
        <w:t>establece agencias o sucursales en cualquier lugar de la República o del extranjero.</w:t>
      </w:r>
    </w:p>
    <w:p>
      <w:pPr>
        <w:spacing w:after="0" w:line="120" w:lineRule="exact"/>
        <w:rPr>
          <w:sz w:val="20"/>
          <w:szCs w:val="20"/>
          <w:color w:val="auto"/>
        </w:rPr>
      </w:pPr>
    </w:p>
    <w:p>
      <w:pPr>
        <w:ind w:right="100" w:firstLine="456"/>
        <w:spacing w:after="0" w:line="339" w:lineRule="auto"/>
        <w:rPr>
          <w:sz w:val="20"/>
          <w:szCs w:val="20"/>
          <w:color w:val="auto"/>
        </w:rPr>
      </w:pPr>
      <w:r>
        <w:rPr>
          <w:rFonts w:ascii="Arial" w:cs="Arial" w:eastAsia="Arial" w:hAnsi="Arial"/>
          <w:sz w:val="15"/>
          <w:szCs w:val="15"/>
          <w:b w:val="1"/>
          <w:bCs w:val="1"/>
          <w:u w:val="single" w:color="auto"/>
          <w:color w:val="auto"/>
        </w:rPr>
        <w:t>ARTICULO 5o. NACIONALIDAD</w:t>
      </w:r>
      <w:r>
        <w:rPr>
          <w:rFonts w:ascii="Arial" w:cs="Arial" w:eastAsia="Arial" w:hAnsi="Arial"/>
          <w:sz w:val="15"/>
          <w:szCs w:val="15"/>
          <w:color w:val="auto"/>
        </w:rPr>
        <w:t>.- La sociedad es mexicana. Todo extranjero que en el acto de la constitución o en cualquier tiempo ulterior adquiera</w:t>
      </w:r>
      <w:r>
        <w:rPr>
          <w:rFonts w:ascii="Arial" w:cs="Arial" w:eastAsia="Arial" w:hAnsi="Arial"/>
          <w:sz w:val="15"/>
          <w:szCs w:val="15"/>
          <w:b w:val="1"/>
          <w:bCs w:val="1"/>
          <w:color w:val="auto"/>
        </w:rPr>
        <w:t xml:space="preserve"> </w:t>
      </w:r>
      <w:r>
        <w:rPr>
          <w:rFonts w:ascii="Arial" w:cs="Arial" w:eastAsia="Arial" w:hAnsi="Arial"/>
          <w:sz w:val="15"/>
          <w:szCs w:val="15"/>
          <w:color w:val="auto"/>
        </w:rPr>
        <w:t>un interés o participación social en la sociedad, se considerará por ese simple hecho como mexicano respecto de uno y otra, y se entenderá que conviene en no invocar la protección de su gobierno bajo la pena, en caso de faltar a su convenio, de perder dicho interés o participación en beneficio de la nación mexicana.</w:t>
      </w:r>
    </w:p>
    <w:p>
      <w:pPr>
        <w:spacing w:after="0" w:line="7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u w:val="single" w:color="auto"/>
          <w:color w:val="auto"/>
        </w:rPr>
        <w:t>ARTICULO 6o. CAPITAL SOCIAL.</w:t>
      </w:r>
      <w:r>
        <w:rPr>
          <w:rFonts w:ascii="Arial" w:cs="Arial" w:eastAsia="Arial" w:hAnsi="Arial"/>
          <w:sz w:val="18"/>
          <w:szCs w:val="18"/>
          <w:b w:val="1"/>
          <w:bCs w:val="1"/>
          <w:color w:val="auto"/>
        </w:rPr>
        <w:t xml:space="preserve"> </w:t>
      </w:r>
      <w:r>
        <w:rPr>
          <w:rFonts w:ascii="Arial" w:cs="Arial" w:eastAsia="Arial" w:hAnsi="Arial"/>
          <w:sz w:val="18"/>
          <w:szCs w:val="18"/>
          <w:color w:val="auto"/>
        </w:rPr>
        <w:t>a). El capital social es variable. El capital social mínimo fijo no sujeto a retiro, es de $300’000,000.00 (trescientos</w:t>
      </w:r>
      <w:r>
        <w:rPr>
          <w:rFonts w:ascii="Arial" w:cs="Arial" w:eastAsia="Arial" w:hAnsi="Arial"/>
          <w:sz w:val="18"/>
          <w:szCs w:val="18"/>
          <w:b w:val="1"/>
          <w:bCs w:val="1"/>
          <w:color w:val="auto"/>
        </w:rPr>
        <w:t xml:space="preserve"> </w:t>
      </w:r>
      <w:r>
        <w:rPr>
          <w:rFonts w:ascii="Arial" w:cs="Arial" w:eastAsia="Arial" w:hAnsi="Arial"/>
          <w:sz w:val="18"/>
          <w:szCs w:val="18"/>
          <w:color w:val="auto"/>
        </w:rPr>
        <w:t>millones de pesos moneda nacional). La parte variable del capital social es ilimitada. Todas las acciones serán nominativas, de libre suscripción y sin expresión de valor nominal.</w:t>
      </w:r>
    </w:p>
    <w:p>
      <w:pPr>
        <w:spacing w:after="0" w:line="13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 El capital social podrá estar representado por las siguientes series de acciones: (i) acciones serie “B”, ordinarias, que otorgan a sus tenedores derechos de voto sin restricción alguna; (ii) acciones serie “L” de voto limitado; y (iii) acciones serie “D”, de voto limitado, las cuales darán derecho a percibir un dividendo superior, no acumulativo, en los siguientes términos: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Mientras se encuentren en circulación, las acciones de la serie “D”, otorgarán a sus tenedores el derecho a recibir un dividendo superior, no acumulativo, equivalente a 125% (ciento veinticinco por ciento) del dividendo que se asigne para las acciones ordinarias serie “B”.</w:t>
      </w:r>
    </w:p>
    <w:p>
      <w:pPr>
        <w:spacing w:after="0" w:line="85"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c). Las acciones serie “B” en todo momento representarán por lo menos el 51% (cincuenta y un por ciento) del capital social; las acciones serie “L” podrán representar hasta el 25% (veinticinco por ciento) del capital social; y las acciones serie “D” en forma individual o conjuntamente con las acciones de la serie “L”, podrán representar hasta el 49% (cuarenta y nueve por ciento) del capital social. Las acciones serie “D” podrán dividirse en acciones subserie “D-L” hasta por un máximo del 25% (veinticinco por ciento) del capital social y en acciones subserie “D-B” por el resto de las acciones serie “D” en circulación.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21" w:name="page222"/>
    <w:bookmarkEnd w:id="221"/>
    <w:p>
      <w:pPr>
        <w:ind w:right="120" w:firstLine="456"/>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Los titulares de las acciones serie “D” y “L” sólo tendrán derecho de voto en las asambleas extraordinarias que se reúnan para tratar los siguientes asuntos: (i) transformación de la sociedad, distinta a la transformación de sociedad anónima bursátil de capital variable a sociedad anónima bursátil o viceversa;</w:t>
      </w:r>
    </w:p>
    <w:p>
      <w:pPr>
        <w:ind w:firstLine="8"/>
        <w:spacing w:after="0" w:line="290" w:lineRule="auto"/>
        <w:tabs>
          <w:tab w:leader="none" w:pos="25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fusión con otra sociedad, en carácter de fusionada, o fusión con otra u otras sociedades en carácter de fusionante, cuando el objeto principal de la o las fusionadas no esté relacionado o conexo con el de la sociedad o sus subsidiarias; (iii) cambio de nacionalidad de la sociedad; (iv) disolución o liquidación de la sociedad; y (v) la cancelación de la inscripción de las acciones series “D” y “L” que emita la sociedad, en la Sección de Valores del Registro Nacional de Valores y en las bolsas de valores nacionales o extranjeras, en las cuales se encuentren inscritas, salvo que se trate de la cancelación de la inscripción de las acciones serie “D” como consecuencia de la conversión de dichas acciones conforme a estos estatutos. Los titulares de acciones serie “D” y/o “L” tendrán derecho de designar consejeros conforme a lo señalado en el artículo 25o. de estos estatutos sociales.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Los titulares de acciones serie “D” y “L” también podrán votar en las asambleas extraordinarias que se reúnan para tratar los asuntos establecidos en los incisos f) y g) del articulo 6º de estos estatutos.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 titulares de las acciones Serie “D” y “L” también podrán votar en los asuntos que expresamente autorice la Ley del Mercado de Valores.</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Los titulares de acciones series “D” y “L” por ningún título tendrán la facultad de determinar el manejo de la sociedad, ni tendrán otros derechos que los que expresamente se les confiere de acuerdo con este artículo 6o.</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e). La sociedad podrá emitir acciones con la característica de estar integradas en unidades vinculadas. Las unidades vinculadas podrán amparar: (i) 5 (cinco) acciones serie “B” o sus múltiplos y que serán denominadas en estos estatutos como “unidades B”; (ii) 1 (una) acción serie “B” y 2 acciones serie “D” subserie “D-L” y 2 acciones serie “D” subserie “D-B” o sus múltiplos y que serán denominadas en estos estatutos como “unidades BD”; o (iii) cualquiera otra combinación de acciones que decidan sus accionistas conforme a estos estatutos.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Las acciones que emita la sociedad con la característica de estar integradas en unidades vinculadas, sólo podrán circular, venderse, trasmitirse, cederse, pignorarse, o enajenarse por cualquier título, en la forma de las unidades vinculadas que las integren.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 Mediante asamblea extraordinaria de accionistas que se reúna conforme a lo que se establece en el inciso c) del artículo 22o de estos estatutos, los accionistas de la sociedad podrán acordar que la totalidad de las acciones serie “D” que se encuentren en circulación, sean convertidas en acciones serie “L” de voto limitado y en acciones serie “B” ordinarias, como sigue: las acciones de la subserie “D-L” se convertirían en acciones serie “L” y las acciones de la subserie “D-B”, se convertirían en acciones ordinarias serie “B”. Una vez que las acciones serie “D”, subserie “D-L” y subserie “D-B” sean convertidas, el capital social de la sociedad estará representado por acciones ordinarias serie “B”, las cuales representarán cuando menos el 75% del capital social y en acciones de voto limitado serie “L”, las cuales podrán representar hasta el 25% del capital social de la sociedad.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222" w:name="page223"/>
    <w:bookmarkEnd w:id="22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 conversión de las acciones serie “D”, subserie “D-L” en acciones serie “L” y de las acciones serie “D”, subserie “D-B”, en acciones ordinarias serie “B” será efectiva al transcurrir un plazo de 2 (dos) años contados a partir de la fecha en la que los accionistas de la sociedad hubieran acordado su conversión, conforme al párrafo anterior.</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g). Mediante asamblea extraordinaria de accionistas que se reúna conforme a lo que se establece en el inciso c) del artículo 22o de estos estatutos, los accionistas de la sociedad podrán acordar la desvinculación de sus acciones para ser canjeadas por los títulos correspondientes que amparen las acciones integradas en dichas unidades vinculadas.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La desvinculación será efectiva al transcurrir un plazo de 2 (dos) años contados a partir de la fecha en la que los accionistas de la sociedad hubieran acordado su desvinculación, conforme al párrafo anterior.</w:t>
      </w:r>
    </w:p>
    <w:p>
      <w:pPr>
        <w:spacing w:after="0" w:line="126" w:lineRule="exact"/>
        <w:rPr>
          <w:sz w:val="20"/>
          <w:szCs w:val="20"/>
          <w:color w:val="auto"/>
        </w:rPr>
      </w:pPr>
    </w:p>
    <w:p>
      <w:pPr>
        <w:ind w:right="40" w:firstLine="456"/>
        <w:spacing w:after="0" w:line="320" w:lineRule="auto"/>
        <w:rPr>
          <w:sz w:val="20"/>
          <w:szCs w:val="20"/>
          <w:color w:val="auto"/>
        </w:rPr>
      </w:pPr>
      <w:r>
        <w:rPr>
          <w:rFonts w:ascii="Arial" w:cs="Arial" w:eastAsia="Arial" w:hAnsi="Arial"/>
          <w:sz w:val="15"/>
          <w:szCs w:val="15"/>
          <w:b w:val="1"/>
          <w:bCs w:val="1"/>
          <w:u w:val="single" w:color="auto"/>
          <w:color w:val="auto"/>
        </w:rPr>
        <w:t>ARTICULO 7o. EMISIÓN DE ACCIONES DE VOTO LIMITADO</w:t>
      </w:r>
      <w:r>
        <w:rPr>
          <w:rFonts w:ascii="Arial" w:cs="Arial" w:eastAsia="Arial" w:hAnsi="Arial"/>
          <w:sz w:val="15"/>
          <w:szCs w:val="15"/>
          <w:b w:val="1"/>
          <w:bCs w:val="1"/>
          <w:color w:val="auto"/>
        </w:rPr>
        <w:t xml:space="preserve">. </w:t>
      </w:r>
      <w:r>
        <w:rPr>
          <w:rFonts w:ascii="Arial" w:cs="Arial" w:eastAsia="Arial" w:hAnsi="Arial"/>
          <w:sz w:val="15"/>
          <w:szCs w:val="15"/>
          <w:color w:val="auto"/>
        </w:rPr>
        <w:t>Las acciones de voto limitado, de las denominadas en estos estatutos series “D” y</w:t>
      </w:r>
      <w:r>
        <w:rPr>
          <w:rFonts w:ascii="Arial" w:cs="Arial" w:eastAsia="Arial" w:hAnsi="Arial"/>
          <w:sz w:val="15"/>
          <w:szCs w:val="15"/>
          <w:b w:val="1"/>
          <w:bCs w:val="1"/>
          <w:color w:val="auto"/>
        </w:rPr>
        <w:t xml:space="preserve"> </w:t>
      </w:r>
      <w:r>
        <w:rPr>
          <w:rFonts w:ascii="Arial" w:cs="Arial" w:eastAsia="Arial" w:hAnsi="Arial"/>
          <w:sz w:val="15"/>
          <w:szCs w:val="15"/>
          <w:color w:val="auto"/>
        </w:rPr>
        <w:t>“L”, se considerarán inversión neutra; no computarán para el efecto de determinar el monto y proporción de la participación extranjera en el capital social de la sociedad, en los términos de la Ley de Inversión Extranjera y sus disposiciones reglamentarias; se considerarán emitidas en los términos de las disposiciones aplicables de la Ley del Mercado de Valores y de las autorizaciones correspondientes de la Comisión Nacional Bancaria y de Valores; no les será aplicable lo dispuesto en el Artículo 198 de la Ley General de Sociedades Mercantiles; y tendrán las limitantes sobre derechos corporativos, que se señalan en estos estatutos.</w:t>
      </w:r>
    </w:p>
    <w:p>
      <w:pPr>
        <w:spacing w:after="0" w:line="9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ARTICULO 8o. AUMENTO O REDUCCIÓN DEL CAPITAL SOCIAL.</w:t>
      </w:r>
      <w:r>
        <w:rPr>
          <w:rFonts w:ascii="Arial" w:cs="Arial" w:eastAsia="Arial" w:hAnsi="Arial"/>
          <w:sz w:val="18"/>
          <w:szCs w:val="18"/>
          <w:color w:val="auto"/>
        </w:rPr>
        <w:t>- El aumento o la reducción del capital social fijo y la consecuente reforma de</w:t>
      </w:r>
      <w:r>
        <w:rPr>
          <w:rFonts w:ascii="Arial" w:cs="Arial" w:eastAsia="Arial" w:hAnsi="Arial"/>
          <w:sz w:val="18"/>
          <w:szCs w:val="18"/>
          <w:b w:val="1"/>
          <w:bCs w:val="1"/>
          <w:color w:val="auto"/>
        </w:rPr>
        <w:t xml:space="preserve"> </w:t>
      </w:r>
      <w:r>
        <w:rPr>
          <w:rFonts w:ascii="Arial" w:cs="Arial" w:eastAsia="Arial" w:hAnsi="Arial"/>
          <w:sz w:val="18"/>
          <w:szCs w:val="18"/>
          <w:color w:val="auto"/>
        </w:rPr>
        <w:t>la cláusula tercera de la escritura constitutiva y del artículo 6o. de los estatutos sociales, serán objeto de acuerdo de la asamblea general extraordinaria. Asimismo de conformidad con el artículo 53 de la Ley del Mercado de Valores, será objeto de acuerdo de asamblea general extraordinaria, el aumento de capital que se decrete para la emisión de acciones no suscritas que se conserven en tesorería.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23" w:name="page224"/>
    <w:bookmarkEnd w:id="2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 aumento o la reducción del capital social variable, lo acordará la asamblea general ordinaria de accionistas.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u w:val="single" w:color="auto"/>
          <w:color w:val="auto"/>
        </w:rPr>
        <w:t>ARTICULO 9o</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AUMENTO MEDIANTE EMISIÓN O COLOCACIÓN DE ACCIONES</w:t>
      </w:r>
      <w:r>
        <w:rPr>
          <w:rFonts w:ascii="Arial" w:cs="Arial" w:eastAsia="Arial" w:hAnsi="Arial"/>
          <w:sz w:val="18"/>
          <w:szCs w:val="18"/>
          <w:color w:val="auto"/>
        </w:rPr>
        <w:t>.- El aumento de capital social en su parte variable podrá</w:t>
      </w:r>
      <w:r>
        <w:rPr>
          <w:rFonts w:ascii="Arial" w:cs="Arial" w:eastAsia="Arial" w:hAnsi="Arial"/>
          <w:sz w:val="18"/>
          <w:szCs w:val="18"/>
          <w:b w:val="1"/>
          <w:bCs w:val="1"/>
          <w:color w:val="auto"/>
        </w:rPr>
        <w:t xml:space="preserve"> </w:t>
      </w:r>
      <w:r>
        <w:rPr>
          <w:rFonts w:ascii="Arial" w:cs="Arial" w:eastAsia="Arial" w:hAnsi="Arial"/>
          <w:sz w:val="18"/>
          <w:szCs w:val="18"/>
          <w:color w:val="auto"/>
        </w:rPr>
        <w:t>efectuarse mediante emisión de nuevas acciones o colocación de acciones de tesorería que se conserven para este fin</w:t>
      </w:r>
      <w:r>
        <w:rPr>
          <w:rFonts w:ascii="Arial" w:cs="Arial" w:eastAsia="Arial" w:hAnsi="Arial"/>
          <w:sz w:val="18"/>
          <w:szCs w:val="18"/>
          <w:b w:val="1"/>
          <w:bCs w:val="1"/>
          <w:color w:val="auto"/>
        </w:rPr>
        <w:t>.</w:t>
      </w:r>
      <w:r>
        <w:rPr>
          <w:rFonts w:ascii="Arial" w:cs="Arial" w:eastAsia="Arial" w:hAnsi="Arial"/>
          <w:sz w:val="18"/>
          <w:szCs w:val="18"/>
          <w:color w:val="auto"/>
        </w:rPr>
        <w:t xml:space="preserve"> Tratándose de la emisión de nuevas acciones, los accionistas tendrán el derecho de preferencia para suscribir las acciones dentro de su respectiva serie, siempre que la asamblea decrete que deban ser pagadas en efectivo. De conformidad con el articulo 53 de la Ley del Mercado de Valores, cuando se trate de acciones de tesorería, éstas deberán ser suscritas mediante oferta pública.</w:t>
      </w:r>
    </w:p>
    <w:p>
      <w:pPr>
        <w:spacing w:after="0" w:line="14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El derecho de preferencia deberá ejercerse dentro del término de 15 (quince) días naturales, contados a partir de la fecha de la publicación del aviso correspondiente en el Periódico Oficial del domicilio de la sociedad.</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En caso de que después de la expiración del plazo durante el cual los accionistas debieran de ejercitar el derecho de preferencia que se les otorga en el presente artículo, aún quedasen sin suscribir algunas acciones, éstas podrán ser ofrecidas para su suscripción y pago, en las condiciones y plazos que determine la propia asamblea que hubiere decretado el aumento de capital, o en los términos en que disponga el consejo de administración o los delegados designados por la asamblea para dicho efecto.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Los accionistas no gozarán del derecho de preferencia a que se hace mención en este artículo cuando se trate de emisión de nuevas acciones o colocación de acciones de tesorería para: (i) fusión de la sociedad; (ii) conversión de obligaciones emitidas en términos de la Ley General de Títulos y Operaciones de Crédito, (iii) oferta pública en los términos de lo previsto por los artículos 53, 56 y demás relativos de la Ley del Mercado de Valores; (iv) aumento de capital social mediante el pago en especie de las acciones que se emitan, o mediante la cancelación de pasivos a cargo de la sociedad; y (v) colocación de acciones propias adquiridas por la sociedad.</w:t>
      </w:r>
    </w:p>
    <w:p>
      <w:pPr>
        <w:spacing w:after="0" w:line="137"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u w:val="single" w:color="auto"/>
          <w:color w:val="auto"/>
        </w:rPr>
        <w:t>ARTICULO 10o. RETIRO</w:t>
      </w:r>
      <w:r>
        <w:rPr>
          <w:rFonts w:ascii="Arial" w:cs="Arial" w:eastAsia="Arial" w:hAnsi="Arial"/>
          <w:sz w:val="16"/>
          <w:szCs w:val="16"/>
          <w:color w:val="auto"/>
        </w:rPr>
        <w:t>. De acuerdo con lo dispuesto por el artículo 50 de la Ley del Mercado de Valores, los accionistas titulares de acciones de la</w:t>
      </w:r>
      <w:r>
        <w:rPr>
          <w:rFonts w:ascii="Arial" w:cs="Arial" w:eastAsia="Arial" w:hAnsi="Arial"/>
          <w:sz w:val="16"/>
          <w:szCs w:val="16"/>
          <w:b w:val="1"/>
          <w:bCs w:val="1"/>
          <w:color w:val="auto"/>
        </w:rPr>
        <w:t xml:space="preserve"> </w:t>
      </w:r>
      <w:r>
        <w:rPr>
          <w:rFonts w:ascii="Arial" w:cs="Arial" w:eastAsia="Arial" w:hAnsi="Arial"/>
          <w:sz w:val="16"/>
          <w:szCs w:val="16"/>
          <w:color w:val="auto"/>
        </w:rPr>
        <w:t>parte variable del capital social de la sociedad no tendrán el derecho de retiro a que se refiere el artículo 220 de la Ley General de Sociedades Mercantiles.</w:t>
      </w:r>
    </w:p>
    <w:p>
      <w:pPr>
        <w:spacing w:after="0" w:line="74" w:lineRule="exact"/>
        <w:rPr>
          <w:sz w:val="20"/>
          <w:szCs w:val="20"/>
          <w:color w:val="auto"/>
        </w:rPr>
      </w:pPr>
    </w:p>
    <w:p>
      <w:pPr>
        <w:ind w:right="380" w:firstLine="456"/>
        <w:spacing w:after="0" w:line="378" w:lineRule="auto"/>
        <w:rPr>
          <w:sz w:val="20"/>
          <w:szCs w:val="20"/>
          <w:color w:val="auto"/>
        </w:rPr>
      </w:pPr>
      <w:r>
        <w:rPr>
          <w:rFonts w:ascii="Arial" w:cs="Arial" w:eastAsia="Arial" w:hAnsi="Arial"/>
          <w:sz w:val="15"/>
          <w:szCs w:val="15"/>
          <w:b w:val="1"/>
          <w:bCs w:val="1"/>
          <w:u w:val="single" w:color="auto"/>
          <w:color w:val="auto"/>
        </w:rPr>
        <w:t>ARTICULO 11o. ADQUISICIÓN DE ACCIONES PROPIAS</w:t>
      </w:r>
      <w:r>
        <w:rPr>
          <w:rFonts w:ascii="Arial" w:cs="Arial" w:eastAsia="Arial" w:hAnsi="Arial"/>
          <w:sz w:val="15"/>
          <w:szCs w:val="15"/>
          <w:color w:val="auto"/>
        </w:rPr>
        <w:t>. La sociedad, conforme a lo previsto en la Ley del Mercado de Valores y en las</w:t>
      </w:r>
      <w:r>
        <w:rPr>
          <w:rFonts w:ascii="Arial" w:cs="Arial" w:eastAsia="Arial" w:hAnsi="Arial"/>
          <w:sz w:val="15"/>
          <w:szCs w:val="15"/>
          <w:b w:val="1"/>
          <w:bCs w:val="1"/>
          <w:color w:val="auto"/>
        </w:rPr>
        <w:t xml:space="preserve"> </w:t>
      </w:r>
      <w:r>
        <w:rPr>
          <w:rFonts w:ascii="Arial" w:cs="Arial" w:eastAsia="Arial" w:hAnsi="Arial"/>
          <w:sz w:val="15"/>
          <w:szCs w:val="15"/>
          <w:color w:val="auto"/>
        </w:rPr>
        <w:t>disposiciones de carácter general expedidas por la Comisión Nacional Bancaria y de Valores, podrá adquirir las acciones representativas de su capital social.</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24" w:name="page225"/>
    <w:bookmarkEnd w:id="224"/>
    <w:p>
      <w:pPr>
        <w:ind w:right="80" w:firstLine="456"/>
        <w:spacing w:after="0" w:line="258"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ARTICULO 12o. LIMITACIONES PARA LA ADQUISICIÓN DE ACCIONES DE LA SOCIEDAD POR PERSONAS MORALES CONTROLADAS.</w:t>
      </w:r>
      <w:r>
        <w:rPr>
          <w:rFonts w:ascii="Arial" w:cs="Arial" w:eastAsia="Arial" w:hAnsi="Arial"/>
          <w:sz w:val="18"/>
          <w:szCs w:val="18"/>
          <w:b w:val="1"/>
          <w:bCs w:val="1"/>
          <w:color w:val="auto"/>
        </w:rPr>
        <w:t xml:space="preserve"> </w:t>
      </w:r>
      <w:r>
        <w:rPr>
          <w:rFonts w:ascii="Arial" w:cs="Arial" w:eastAsia="Arial" w:hAnsi="Arial"/>
          <w:sz w:val="18"/>
          <w:szCs w:val="18"/>
          <w:color w:val="auto"/>
        </w:rPr>
        <w:t>Conforme a lo previsto en el artículo 56 de la Ley del Mercado de Valores, las personas morales que sean controladas por la sociedad no</w:t>
      </w:r>
      <w:r>
        <w:rPr>
          <w:rFonts w:ascii="Arial" w:cs="Arial" w:eastAsia="Arial" w:hAnsi="Arial"/>
          <w:sz w:val="18"/>
          <w:szCs w:val="18"/>
          <w:b w:val="1"/>
          <w:bCs w:val="1"/>
          <w:color w:val="auto"/>
        </w:rPr>
        <w:t xml:space="preserve"> </w:t>
      </w:r>
      <w:r>
        <w:rPr>
          <w:rFonts w:ascii="Arial" w:cs="Arial" w:eastAsia="Arial" w:hAnsi="Arial"/>
          <w:sz w:val="18"/>
          <w:szCs w:val="18"/>
          <w:color w:val="auto"/>
        </w:rPr>
        <w:t>podrán adquirir, directa o indirectamente, acciones representativas del capital de la sociedad o títulos de crédito que representen dichas acciones. Se exceptúan de la prohibición anterior las adquisiciones que se realicen a través de sociedades de inversión.</w:t>
      </w:r>
    </w:p>
    <w:p>
      <w:pPr>
        <w:spacing w:after="0" w:line="13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u w:val="single" w:color="auto"/>
          <w:color w:val="auto"/>
        </w:rPr>
        <w:t>ARTICULO 13o. REGISTRO DE VARIACIONES DE CAPITAL</w:t>
      </w:r>
      <w:r>
        <w:rPr>
          <w:rFonts w:ascii="Arial" w:cs="Arial" w:eastAsia="Arial" w:hAnsi="Arial"/>
          <w:sz w:val="18"/>
          <w:szCs w:val="18"/>
          <w:color w:val="auto"/>
        </w:rPr>
        <w:t>.- Todo aumento o disminución del capital social deberá inscribirse en un registro que</w:t>
      </w:r>
      <w:r>
        <w:rPr>
          <w:rFonts w:ascii="Arial" w:cs="Arial" w:eastAsia="Arial" w:hAnsi="Arial"/>
          <w:sz w:val="18"/>
          <w:szCs w:val="18"/>
          <w:b w:val="1"/>
          <w:bCs w:val="1"/>
          <w:color w:val="auto"/>
        </w:rPr>
        <w:t xml:space="preserve"> </w:t>
      </w:r>
      <w:r>
        <w:rPr>
          <w:rFonts w:ascii="Arial" w:cs="Arial" w:eastAsia="Arial" w:hAnsi="Arial"/>
          <w:sz w:val="18"/>
          <w:szCs w:val="18"/>
          <w:color w:val="auto"/>
        </w:rPr>
        <w:t>llevará la sociedad para tal efecto.</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u w:val="single" w:color="auto"/>
          <w:color w:val="auto"/>
        </w:rPr>
        <w:t>ARTICULO 14o. AMORTIZACIÓN DE ACCIONES</w:t>
      </w:r>
      <w:r>
        <w:rPr>
          <w:rFonts w:ascii="Arial" w:cs="Arial" w:eastAsia="Arial" w:hAnsi="Arial"/>
          <w:sz w:val="18"/>
          <w:szCs w:val="18"/>
          <w:color w:val="auto"/>
        </w:rPr>
        <w:t>.- La sociedad podrá amortizar parte de sus acciones con utilidades repartibles, de acuerdo con las</w:t>
      </w:r>
      <w:r>
        <w:rPr>
          <w:rFonts w:ascii="Arial" w:cs="Arial" w:eastAsia="Arial" w:hAnsi="Arial"/>
          <w:sz w:val="18"/>
          <w:szCs w:val="18"/>
          <w:b w:val="1"/>
          <w:bCs w:val="1"/>
          <w:color w:val="auto"/>
        </w:rPr>
        <w:t xml:space="preserve"> </w:t>
      </w:r>
      <w:r>
        <w:rPr>
          <w:rFonts w:ascii="Arial" w:cs="Arial" w:eastAsia="Arial" w:hAnsi="Arial"/>
          <w:sz w:val="18"/>
          <w:szCs w:val="18"/>
          <w:color w:val="auto"/>
        </w:rPr>
        <w:t>siguientes reglas: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La amortización deberá ser decretada por la asamblea general extraordinaria de accionistas.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Sólo podrán amortizarse las acciones íntegramente pagadas.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 La adquisición de acciones para amortizarlas se hará conforme a las reglas que establece el artículo 136 de la Ley General de Sociedades Mercantiles.</w:t>
      </w:r>
    </w:p>
    <w:p>
      <w:pPr>
        <w:spacing w:after="0" w:line="20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 En ningún caso se podrán amortizar acciones si como consecuencia de la amortización las acciones series “D” y/o “L” exceden los porcentajes máximos que establece el artículo 6o. de estos estatutos.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Los títulos de las acciones amortizadas quedarán anulados.</w:t>
      </w:r>
    </w:p>
    <w:p>
      <w:pPr>
        <w:spacing w:after="0" w:line="165"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u w:val="single" w:color="auto"/>
          <w:color w:val="auto"/>
        </w:rPr>
        <w:t>ARTICULO 15o. TÍTULOS Y CERTIFICADOS DE LAS ACCIONES</w:t>
      </w:r>
      <w:r>
        <w:rPr>
          <w:rFonts w:ascii="Arial" w:cs="Arial" w:eastAsia="Arial" w:hAnsi="Arial"/>
          <w:sz w:val="16"/>
          <w:szCs w:val="16"/>
          <w:color w:val="auto"/>
        </w:rPr>
        <w:t>.- Los títulos definitivos o los certificados provisionales que representen a las</w:t>
      </w:r>
      <w:r>
        <w:rPr>
          <w:rFonts w:ascii="Arial" w:cs="Arial" w:eastAsia="Arial" w:hAnsi="Arial"/>
          <w:sz w:val="16"/>
          <w:szCs w:val="16"/>
          <w:b w:val="1"/>
          <w:bCs w:val="1"/>
          <w:color w:val="auto"/>
        </w:rPr>
        <w:t xml:space="preserve"> </w:t>
      </w:r>
      <w:r>
        <w:rPr>
          <w:rFonts w:ascii="Arial" w:cs="Arial" w:eastAsia="Arial" w:hAnsi="Arial"/>
          <w:sz w:val="16"/>
          <w:szCs w:val="16"/>
          <w:color w:val="auto"/>
        </w:rPr>
        <w:t>acciones o a las unidades vinculadas serán nominativos y podrán amparar una o más acciones de igual o diferente serie o subserie; contendrán las menciones a que se refiere el artículo 125 de la Ley General de Sociedades Mercantiles, la indicación de la serie, series y/o subserie a la que correspondan; llevarán inserto el texto del artículo 5o. de estos estatutos y serán suscritos por dos consejeros propietarios o suplentes de la serie “B”.</w:t>
      </w:r>
    </w:p>
    <w:p>
      <w:pPr>
        <w:spacing w:after="0" w:line="10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Las firmas de los mencionados administradores podrán ser autógrafas o bien impresas en facsímil, a condición en este último caso, de que se deposite el original de las firmas respectivas en el Registro Público de Comercio del domicilio social de la sociedad. En el caso de los títulos definitivos, éstos deberán llevar adheridos los cupones nominativos numerados que determine el consejo de administración.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25" w:name="page226"/>
    <w:bookmarkEnd w:id="225"/>
    <w:p>
      <w:pPr>
        <w:jc w:val="both"/>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 asamblea de accionistas que decrete el aumento de capital respectivo o la asamblea extraordinaria podrán establecer, que algunas de las acciones de la sociedad, de cualquier serie o series estén amparadas por unidades vinculadas, que sin ser certificados de participación ordinarios no amortizables, representen unidades y vinculen acciones de la misma serie o de diversas series, en los términos del artículo 6o. de estos estatutos.</w:t>
      </w:r>
    </w:p>
    <w:p>
      <w:pPr>
        <w:spacing w:after="0" w:line="10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u w:val="single" w:color="auto"/>
          <w:color w:val="auto"/>
        </w:rPr>
        <w:t>ARTICULO 16o. REGISTRO DE ACCIONES</w:t>
      </w:r>
      <w:r>
        <w:rPr>
          <w:rFonts w:ascii="Arial" w:cs="Arial" w:eastAsia="Arial" w:hAnsi="Arial"/>
          <w:sz w:val="18"/>
          <w:szCs w:val="18"/>
          <w:color w:val="auto"/>
        </w:rPr>
        <w:t>.- La sociedad llevará un registro de acciones y considerará como accionista a quien aparezca inscrito</w:t>
      </w:r>
      <w:r>
        <w:rPr>
          <w:rFonts w:ascii="Arial" w:cs="Arial" w:eastAsia="Arial" w:hAnsi="Arial"/>
          <w:sz w:val="18"/>
          <w:szCs w:val="18"/>
          <w:b w:val="1"/>
          <w:bCs w:val="1"/>
          <w:color w:val="auto"/>
        </w:rPr>
        <w:t xml:space="preserve"> </w:t>
      </w:r>
      <w:r>
        <w:rPr>
          <w:rFonts w:ascii="Arial" w:cs="Arial" w:eastAsia="Arial" w:hAnsi="Arial"/>
          <w:sz w:val="18"/>
          <w:szCs w:val="18"/>
          <w:color w:val="auto"/>
        </w:rPr>
        <w:t>como tal en dicho registro.</w:t>
      </w:r>
    </w:p>
    <w:p>
      <w:pPr>
        <w:spacing w:after="0" w:line="12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u w:val="single" w:color="auto"/>
          <w:color w:val="auto"/>
        </w:rPr>
        <w:t>ARTICULO 17o. CANCELACIÓN DE INSCRIPCIÓN DE ACCIONES</w:t>
      </w:r>
      <w:r>
        <w:rPr>
          <w:rFonts w:ascii="Arial" w:cs="Arial" w:eastAsia="Arial" w:hAnsi="Arial"/>
          <w:sz w:val="16"/>
          <w:szCs w:val="16"/>
          <w:color w:val="auto"/>
        </w:rPr>
        <w:t>.- En el evento de cancelación de la inscripción de las acciones representativas</w:t>
      </w:r>
      <w:r>
        <w:rPr>
          <w:rFonts w:ascii="Arial" w:cs="Arial" w:eastAsia="Arial" w:hAnsi="Arial"/>
          <w:sz w:val="16"/>
          <w:szCs w:val="16"/>
          <w:b w:val="1"/>
          <w:bCs w:val="1"/>
          <w:color w:val="auto"/>
        </w:rPr>
        <w:t xml:space="preserve"> </w:t>
      </w:r>
      <w:r>
        <w:rPr>
          <w:rFonts w:ascii="Arial" w:cs="Arial" w:eastAsia="Arial" w:hAnsi="Arial"/>
          <w:sz w:val="16"/>
          <w:szCs w:val="16"/>
          <w:color w:val="auto"/>
        </w:rPr>
        <w:t>del capital de la sociedad o de títulos que las representen en el Registro Nacional de Valores, ya sea por solicitud de la propia sociedad, previo acuerdo de la asamblea general extraordinaria de accionistas y con el voto favorable de los titulares de acciones, con o sin derecho de voto o de voto limitado, que representen el 95% (noventa y cinco por ciento) del capital social de la sociedad, o por resolución de la Comisión Nacional Bancaria y de Valores, en ambos casos, de conformidad con lo dispuesto en el artículo 108 de la Ley del Mercado de Valores, la sociedad deberá realizar, previo a dicha cancelación, una oferta pública de de adquisición, sujetándose para dichos efectos a lo que establezca la Ley del Mercado de Valores.</w:t>
      </w:r>
    </w:p>
    <w:p>
      <w:pPr>
        <w:spacing w:after="0" w:line="11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La sociedad deberá afectar en un fideicomiso por un período mínimo de seis meses, contados a partir de la fecha de la cancelación, los recursos necesarios para adquirir al mismo precio de la oferta, las acciones de los inversionistas que no acudieron a dicha oferta.</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fin de cumplir con lo dispuesto en el artículo 108 de la Ley del Mercado de Valores, el consejo de administración de la sociedad, deberá dar a conocer al público, su opinión respecto del precio de la oferta pública de adquisición.</w:t>
      </w:r>
    </w:p>
    <w:p>
      <w:pPr>
        <w:spacing w:after="0" w:line="12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u w:val="single" w:color="auto"/>
          <w:color w:val="auto"/>
        </w:rPr>
        <w:t>ARTICULO 18o. ASAMBLEAS DE ACCIONISTAS</w:t>
      </w:r>
      <w:r>
        <w:rPr>
          <w:rFonts w:ascii="Arial" w:cs="Arial" w:eastAsia="Arial" w:hAnsi="Arial"/>
          <w:sz w:val="18"/>
          <w:szCs w:val="18"/>
          <w:color w:val="auto"/>
        </w:rPr>
        <w:t>. La asamblea general de accionistas es el órgano supremo de la sociedad, estando subordinados a</w:t>
      </w:r>
      <w:r>
        <w:rPr>
          <w:rFonts w:ascii="Arial" w:cs="Arial" w:eastAsia="Arial" w:hAnsi="Arial"/>
          <w:sz w:val="18"/>
          <w:szCs w:val="18"/>
          <w:b w:val="1"/>
          <w:bCs w:val="1"/>
          <w:color w:val="auto"/>
        </w:rPr>
        <w:t xml:space="preserve"> </w:t>
      </w:r>
      <w:r>
        <w:rPr>
          <w:rFonts w:ascii="Arial" w:cs="Arial" w:eastAsia="Arial" w:hAnsi="Arial"/>
          <w:sz w:val="18"/>
          <w:szCs w:val="18"/>
          <w:color w:val="auto"/>
        </w:rPr>
        <w:t>ella todos los demás.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asambleas serán generales (ordinarias o extraordinarias) o especiales y se celebrarán en el domicilio de la sociedad.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Serán extraordinarias las que traten sobre:</w:t>
      </w:r>
    </w:p>
    <w:p>
      <w:pPr>
        <w:spacing w:after="0" w:line="171" w:lineRule="exact"/>
        <w:rPr>
          <w:sz w:val="20"/>
          <w:szCs w:val="20"/>
          <w:color w:val="auto"/>
        </w:rPr>
      </w:pPr>
    </w:p>
    <w:p>
      <w:pPr>
        <w:ind w:right="520" w:firstLine="464"/>
        <w:spacing w:after="0" w:line="268" w:lineRule="auto"/>
        <w:tabs>
          <w:tab w:leader="none" w:pos="63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Cualquiera de los asuntos enumerados en el artículo 182 (excepto para el caso de aumentos o reducciones de la parte variable del capital social de acuerdo con el artículo 8o. de estos estatutos) y 228 bis de la Ley General de Sociedades Mercantiles.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26" w:name="page227"/>
    <w:bookmarkEnd w:id="226"/>
    <w:p>
      <w:pPr>
        <w:ind w:right="120" w:firstLine="464"/>
        <w:spacing w:after="0" w:line="268" w:lineRule="auto"/>
        <w:tabs>
          <w:tab w:leader="none" w:pos="6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 cancelación o la inscripción de las acciones o de los títulos que las representen, emitidas o a ser emitidas por la sociedad, en el Registro Nacional de Valores o en bolsas de valores nacionales o extranjeras en las que estuvieren registradas.</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La amortización por parte de la sociedad de acciones del capital social con utilidades repartibles y, en su caso, emisión de acciones de goce.</w:t>
      </w:r>
    </w:p>
    <w:p>
      <w:pPr>
        <w:spacing w:after="0" w:line="194" w:lineRule="exact"/>
        <w:rPr>
          <w:rFonts w:ascii="Arial" w:cs="Arial" w:eastAsia="Arial" w:hAnsi="Arial"/>
          <w:sz w:val="16"/>
          <w:szCs w:val="16"/>
          <w:color w:val="auto"/>
        </w:rPr>
      </w:pPr>
    </w:p>
    <w:p>
      <w:pPr>
        <w:ind w:left="660" w:hanging="196"/>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El aumento del capital social en los términos del Artículo 53 (cincuenta y tres) de la Ley del Mercado de Valores.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Los demás asuntos para los que la legislación aplicable o los estatutos sociales expresamente exijan un quórum especial.</w:t>
      </w:r>
    </w:p>
    <w:p>
      <w:pPr>
        <w:spacing w:after="0" w:line="171"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Todas las demás asambleas generales serán ordinarias. La asamblea general ordinaria, en adición a lo previsto en la Ley General de Sociedades Mercantiles, se reunirá para aprobar las operaciones que pretenda llevar a cabo la sociedad o las personas morales que ésta controle, en el lapso de un ejercicio social, cuando representen el 20% (veinte por ciento) o más de los activos consolidados de la sociedad con base en cifras correspondientes al cierre del trimestre inmediato anterior, con independencia de la forma en que se ejecuten, sea simultánea o sucesiva, pero que por sus características puedan considerarse como una sola operación. En dichas asambleas podrán votar los accionistas titulares de acciones con derecho a voto, incluso limitado o restringido.</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asambleas especiales serán las que se reúnan para tratar asuntos que puedan afectar los derechos de una sola serie de acciones.</w:t>
      </w:r>
    </w:p>
    <w:p>
      <w:pPr>
        <w:spacing w:after="0" w:line="16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u w:val="single" w:color="auto"/>
          <w:color w:val="auto"/>
        </w:rPr>
        <w:t>ARTICULO 19o. REUNIONES DE LAS ASAMBLEAS DE ACCIONISTAS</w:t>
      </w:r>
      <w:r>
        <w:rPr>
          <w:rFonts w:ascii="Arial" w:cs="Arial" w:eastAsia="Arial" w:hAnsi="Arial"/>
          <w:sz w:val="18"/>
          <w:szCs w:val="18"/>
          <w:color w:val="auto"/>
        </w:rPr>
        <w:t>. Las asambleas de accionistas se reunirán en el domicilio social, cuando</w:t>
      </w:r>
      <w:r>
        <w:rPr>
          <w:rFonts w:ascii="Arial" w:cs="Arial" w:eastAsia="Arial" w:hAnsi="Arial"/>
          <w:sz w:val="18"/>
          <w:szCs w:val="18"/>
          <w:b w:val="1"/>
          <w:bCs w:val="1"/>
          <w:color w:val="auto"/>
        </w:rPr>
        <w:t xml:space="preserve"> </w:t>
      </w:r>
      <w:r>
        <w:rPr>
          <w:rFonts w:ascii="Arial" w:cs="Arial" w:eastAsia="Arial" w:hAnsi="Arial"/>
          <w:sz w:val="18"/>
          <w:szCs w:val="18"/>
          <w:color w:val="auto"/>
        </w:rPr>
        <w:t>sean convocadas por acuerdo del consejo de administración, por conducto del secretario del consejo o su suplente, también podrán ser convocadas por los comités de auditoría o de prácticas societarias, por conducto de su respectivo presidente.</w:t>
      </w:r>
    </w:p>
    <w:p>
      <w:pPr>
        <w:spacing w:after="0" w:line="13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Los accionistas titulares de acciones con derecho a voto, incluso limitado o restringido, que en lo individual o en conjunto tengan el 10% (diez por ciento) del capital social podrán requerir del presidente del consejo de administración, del comité de auditoria o del comité de prácticas societarias, que se convoque a una asamblea general de accionistas, sin que al efecto sea aplicable el porcentaje señalado en el Artículo 184 de la Ley General de Sociedades Mercantiles.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27" w:name="page228"/>
    <w:bookmarkEnd w:id="227"/>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 asamblea ordinaria de accionistas se reunirá por lo menos una vez al año, en la fecha que señale el consejo de administración, dentro de los 4 (cuatro) meses siguientes a la terminación del ejercicio social.</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La asamblea se reunirá a petición de los accionistas en los términos de los artículos 184 y 185 de la Ley General de Sociedades Mercantiles y demás disposiciones aplicables de la Ley del Mercado de Valores.</w:t>
      </w:r>
    </w:p>
    <w:p>
      <w:pPr>
        <w:spacing w:after="0" w:line="12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ARTICULO 20o. CONVOCATORIAS</w:t>
      </w:r>
      <w:r>
        <w:rPr>
          <w:rFonts w:ascii="Arial" w:cs="Arial" w:eastAsia="Arial" w:hAnsi="Arial"/>
          <w:sz w:val="18"/>
          <w:szCs w:val="18"/>
          <w:color w:val="auto"/>
        </w:rPr>
        <w:t>. Las convocatorias para las asambleas de accionistas, deberán publicarse en el Periódico Oficial del Estado o en</w:t>
      </w:r>
      <w:r>
        <w:rPr>
          <w:rFonts w:ascii="Arial" w:cs="Arial" w:eastAsia="Arial" w:hAnsi="Arial"/>
          <w:sz w:val="18"/>
          <w:szCs w:val="18"/>
          <w:b w:val="1"/>
          <w:bCs w:val="1"/>
          <w:color w:val="auto"/>
        </w:rPr>
        <w:t xml:space="preserve"> </w:t>
      </w:r>
      <w:r>
        <w:rPr>
          <w:rFonts w:ascii="Arial" w:cs="Arial" w:eastAsia="Arial" w:hAnsi="Arial"/>
          <w:sz w:val="18"/>
          <w:szCs w:val="18"/>
          <w:color w:val="auto"/>
        </w:rPr>
        <w:t>cuando menos uno de los periódicos de mayor circulación de la entidad del domicilio de la sociedad, con 15 (quince) días de anticipación por lo menos, a la fecha señalada para la asamblea, tratándose de la primera convocatoria y de 8 (ocho) días de anticipación por lo menos, a la fecha señalada para la asamblea, tratándose de ulteriores convocatorias.</w:t>
      </w:r>
    </w:p>
    <w:p>
      <w:pPr>
        <w:spacing w:after="0" w:line="14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Las convocatorias para asambleas generales cumplirán además con los requisitos señalados en los artículos 186 y 187 de la Ley General de Sociedades Mercantiles, y demás disposiciones aplicables de la Ley del Mercado de Valores.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u w:val="single" w:color="auto"/>
          <w:color w:val="auto"/>
        </w:rPr>
        <w:t>ARTICULO 21o. DERECHO DE ASISTENCIA</w:t>
      </w:r>
      <w:r>
        <w:rPr>
          <w:rFonts w:ascii="Arial" w:cs="Arial" w:eastAsia="Arial" w:hAnsi="Arial"/>
          <w:sz w:val="16"/>
          <w:szCs w:val="16"/>
          <w:color w:val="auto"/>
        </w:rPr>
        <w:t>. Para asistir a las asambleas, los accionistas deberán estar inscritos en el registro de accionistas de la</w:t>
      </w:r>
      <w:r>
        <w:rPr>
          <w:rFonts w:ascii="Arial" w:cs="Arial" w:eastAsia="Arial" w:hAnsi="Arial"/>
          <w:sz w:val="16"/>
          <w:szCs w:val="16"/>
          <w:b w:val="1"/>
          <w:bCs w:val="1"/>
          <w:color w:val="auto"/>
        </w:rPr>
        <w:t xml:space="preserve"> </w:t>
      </w:r>
      <w:r>
        <w:rPr>
          <w:rFonts w:ascii="Arial" w:cs="Arial" w:eastAsia="Arial" w:hAnsi="Arial"/>
          <w:sz w:val="16"/>
          <w:szCs w:val="16"/>
          <w:color w:val="auto"/>
        </w:rPr>
        <w:t>sociedad, depositar sus acciones en la secretaría de la sociedad para obtener la tarjeta de entrada a la asamblea, por lo menos con 48 (cuarenta y ocho) horas de anticipación al día y hora señalados para la celebración de la asamblea. En el caso de acciones depositadas en una institución para depósito de valores, ésta deberá comunicar oportunamente a la secretaría de la sociedad el número de acciones que cada uno de sus depositantes mantenga en dicha institución, indicando si el depósito se hace por cuenta propia o ajena, debiendo esta constancia complementarse con el listado de nombres de los depositantes y haber sido previamente entregada a la secretaría de la sociedad, dentro del plazo antes mencionado, a fin de obtener una tarjeta de entrada. Los accionistas podrán hacerse representar en las asambleas por apoderados designados mediante simple carta poder, o mediante poder otorgado en formularios que cumplan con los requisitos establecidos en la Ley del Mercado de Valores, mismos que deberá recibir la secretaría de la sociedad con la anticipación señalada.</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Las acciones que se depositen en la sociedad para que sus titulares tengan derecho a asistir a las asambleas, no se devolverán sino después de celebradas éstas, contra la entrega del resguardo o constancia que por aquellas se hubiese expedido al accionista.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28" w:name="page229"/>
    <w:bookmarkEnd w:id="228"/>
    <w:p>
      <w:pPr>
        <w:ind w:right="520" w:firstLine="456"/>
        <w:spacing w:after="0" w:line="275"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ARTICULO 22o. INSTALACIÓN Y RESOLUCIONES DE LA ASAMBLEA</w:t>
      </w:r>
      <w:r>
        <w:rPr>
          <w:rFonts w:ascii="Arial" w:cs="Arial" w:eastAsia="Arial" w:hAnsi="Arial"/>
          <w:sz w:val="18"/>
          <w:szCs w:val="18"/>
          <w:color w:val="auto"/>
        </w:rPr>
        <w:t>. Las asambleas se instalarán y resolverán de conformidad con las</w:t>
      </w:r>
      <w:r>
        <w:rPr>
          <w:rFonts w:ascii="Arial" w:cs="Arial" w:eastAsia="Arial" w:hAnsi="Arial"/>
          <w:sz w:val="18"/>
          <w:szCs w:val="18"/>
          <w:b w:val="1"/>
          <w:bCs w:val="1"/>
          <w:color w:val="auto"/>
        </w:rPr>
        <w:t xml:space="preserve"> </w:t>
      </w:r>
      <w:r>
        <w:rPr>
          <w:rFonts w:ascii="Arial" w:cs="Arial" w:eastAsia="Arial" w:hAnsi="Arial"/>
          <w:sz w:val="18"/>
          <w:szCs w:val="18"/>
          <w:color w:val="auto"/>
        </w:rPr>
        <w:t>siguientes reglas:</w:t>
      </w:r>
    </w:p>
    <w:p>
      <w:pPr>
        <w:spacing w:after="0" w:line="12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La asamblea general ordinaria de accionistas, se considerará legítimamente instalada en virtud de primera convocatoria, si a ella concurren accionistas que representen más del 50% (cincuenta por ciento) del capital social ordinario suscrito y pagado, dividido en acciones serie “B”. En caso de segunda o ulterior convocatoria, la asamblea ordinaria se instalará legítimamente cualquiera que sea el capital social ordinario suscrito y pagado, dividido en acciones serie “B” que representen los concurrentes. Las resoluciones de las asambleas ordinarias serán válidas si se toman cuando menos por la mayoría del capital social ordinario suscrito y pagado, dividido en acciones serie “B”, representado en la asamblea.</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 Las asambleas extraordinarias de accionistas que se celebren para tratar asuntos en los que no tengan derecho de voto los titulares de acciones serie “D” o de acciones serie “L”, se instalarán legalmente en virtud de primera convocatoria, si en ellas están representadas por lo menos las tres cuartas partes del capital social ordinario, suscrito y pagado, dividido en acciones serie “B”, y en caso de ulterior convocatoria, se instalarán legalmente con la presencia de accionistas que representen la mayoría de las acciones de dicho capital social ordinario, suscrito y pagado.</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En ambos casos, las resoluciones en asambleas extraordinarias de accionistas serán válidas si se toman por lo menos por la mayoría del capital social ordinario, suscrito y pagado, dividido en acciones serie “B”.</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 En las asambleas extraordinarias de accionistas que se reúnan en virtud de primera convocatoria, para tratar los asuntos en los que tengan derecho de voto los accionistas de la series “D” y “L”, se considerarán legalmente instaladas si están representadas por lo menos las tres cuartas partes del capital social suscrito y pagado; en caso de segunda o ulterior convocatoria, se instalará legalmente con la presencia de accionistas que representan la mayoría de las acciones del capital social suscrito y pagado, salvo en el caso de segunda o ulterior convocatoria para asambleas extraordinarias que se reúnan para resolver sobre cualquiera de los asuntos establecidos en los incisos f) y g) del artículo 6º de estos estatutos, para lo cual siempre se requerirá la presencia de accionistas que representen por lo menos las tres cuartas partes del capital social suscrito y pagado para que la asamblea se considere legalmente instalada.</w:t>
      </w:r>
    </w:p>
    <w:p>
      <w:pPr>
        <w:spacing w:after="0" w:line="120"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En todos los casos las resoluciones serán válidas, si se adoptan cuando menos por la mayoría de las acciones del capital social suscrito y pagado. 10</w:t>
      </w:r>
    </w:p>
    <w:p>
      <w:pPr>
        <w:sectPr>
          <w:pgSz w:w="11900" w:h="16838" w:orient="portrait"/>
          <w:cols w:equalWidth="0" w:num="1">
            <w:col w:w="11380"/>
          </w:cols>
          <w:pgMar w:left="240" w:top="274" w:right="279" w:bottom="1440" w:gutter="0" w:footer="0" w:header="0"/>
        </w:sectPr>
      </w:pPr>
    </w:p>
    <w:bookmarkStart w:id="229" w:name="page230"/>
    <w:bookmarkEnd w:id="229"/>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Para las asambleas especiales, (incluyendo cualquier asamblea especial que se reúna para elección o destitución de consejeros de la serie “D” y/o consejeros de la serie “L”) se aplicarán las mismas reglas previstas en este artículo 22o. para las asambleas generales extraordinarias, pero referidas a la categoría especial de acciones de que se trate.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 En la asamblea general ordinaria que conozca de los estados financieros del ejercicio anterior, deberá presentarse también a los accionistas los informes a que se refiere la fracción IV del artículo 28 de la Ley del Mercado de Valores.</w:t>
      </w:r>
    </w:p>
    <w:p>
      <w:pPr>
        <w:spacing w:after="0" w:line="126"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b w:val="1"/>
          <w:bCs w:val="1"/>
          <w:u w:val="single" w:color="auto"/>
          <w:color w:val="auto"/>
        </w:rPr>
        <w:t>ARTICULO 23o. DESARROLLO DE LA ASAMBLEA</w:t>
      </w:r>
      <w:r>
        <w:rPr>
          <w:rFonts w:ascii="Arial" w:cs="Arial" w:eastAsia="Arial" w:hAnsi="Arial"/>
          <w:sz w:val="15"/>
          <w:szCs w:val="15"/>
          <w:color w:val="auto"/>
        </w:rPr>
        <w:t>. Presidirá las asambleas el presidente del consejo de administración o quien deba sustituirlo en</w:t>
      </w:r>
      <w:r>
        <w:rPr>
          <w:rFonts w:ascii="Arial" w:cs="Arial" w:eastAsia="Arial" w:hAnsi="Arial"/>
          <w:sz w:val="15"/>
          <w:szCs w:val="15"/>
          <w:b w:val="1"/>
          <w:bCs w:val="1"/>
          <w:color w:val="auto"/>
        </w:rPr>
        <w:t xml:space="preserve"> </w:t>
      </w:r>
      <w:r>
        <w:rPr>
          <w:rFonts w:ascii="Arial" w:cs="Arial" w:eastAsia="Arial" w:hAnsi="Arial"/>
          <w:sz w:val="15"/>
          <w:szCs w:val="15"/>
          <w:color w:val="auto"/>
        </w:rPr>
        <w:t>sus funciones; en su defecto, la asamblea será presidida por el accionista que designen los concurrentes. Actuará como secretario, el del consejo o, en su defecto, la persona que designen los asistentes. El presidente nombrará escrutadores a dos de los accionistas presentes. Las votaciones serán económicas a menos que por lo menos 3 (tres) de los concurrentes, con derecho a voto en el asunto de que se trate, pidan que sean nominales. Asimismo, a solicitud de accionistas con derecho de voto, incluso limitado o restringido que reúnan el 10% (diez por ciento) del capital social de la sociedad, se aplazará para dentro de 3 (tres) días y sin necesidad de nueva convocatoria, la votación de cualquier asunto respecto del cual no se consideren suficientemente informados, sin que resulte aplicable el porcentaje señalado en el artículo 199 de la Ley General de Sociedades Mercantiles. Este derecho no podrá ejercitarse sino una sola vez para el mismo asunto.</w:t>
      </w:r>
    </w:p>
    <w:p>
      <w:pPr>
        <w:spacing w:after="0" w:line="100" w:lineRule="exact"/>
        <w:rPr>
          <w:sz w:val="20"/>
          <w:szCs w:val="20"/>
          <w:color w:val="auto"/>
        </w:rPr>
      </w:pPr>
    </w:p>
    <w:p>
      <w:pPr>
        <w:ind w:right="540" w:firstLine="456"/>
        <w:spacing w:after="0" w:line="310" w:lineRule="auto"/>
        <w:rPr>
          <w:sz w:val="20"/>
          <w:szCs w:val="20"/>
          <w:color w:val="auto"/>
        </w:rPr>
      </w:pPr>
      <w:r>
        <w:rPr>
          <w:rFonts w:ascii="Arial" w:cs="Arial" w:eastAsia="Arial" w:hAnsi="Arial"/>
          <w:sz w:val="16"/>
          <w:szCs w:val="16"/>
          <w:b w:val="1"/>
          <w:bCs w:val="1"/>
          <w:u w:val="single" w:color="auto"/>
          <w:color w:val="auto"/>
        </w:rPr>
        <w:t>ARTICULO 24o. CONSEJO DE ADMINISTRACIÓN</w:t>
      </w:r>
      <w:r>
        <w:rPr>
          <w:rFonts w:ascii="Arial" w:cs="Arial" w:eastAsia="Arial" w:hAnsi="Arial"/>
          <w:sz w:val="16"/>
          <w:szCs w:val="16"/>
          <w:color w:val="auto"/>
        </w:rPr>
        <w:t>. La dirección y administración de los asuntos sociales será confiada a un consejo de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administración y a un director general. El consejo de administración estará integrado hasta por 21 (veintiún) consejeros propietarios, y los suplentes que se designen conforme a estos estatutos, de los cuales, cuando menos el 25% (veinticinco por ciento) de los consejeros deberán ser independientes.</w:t>
      </w:r>
    </w:p>
    <w:p>
      <w:pPr>
        <w:spacing w:after="0" w:line="9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u w:val="single" w:color="auto"/>
          <w:color w:val="auto"/>
        </w:rPr>
        <w:t>ARTICULO 25o. ELECCIÓN DEL CONSEJO</w:t>
      </w:r>
      <w:r>
        <w:rPr>
          <w:rFonts w:ascii="Arial" w:cs="Arial" w:eastAsia="Arial" w:hAnsi="Arial"/>
          <w:sz w:val="18"/>
          <w:szCs w:val="18"/>
          <w:color w:val="auto"/>
        </w:rPr>
        <w:t>. Los accionistas de la Serie “B” por mayoría de votos de las acciones de dicha serie representadas en la</w:t>
      </w:r>
      <w:r>
        <w:rPr>
          <w:rFonts w:ascii="Arial" w:cs="Arial" w:eastAsia="Arial" w:hAnsi="Arial"/>
          <w:sz w:val="18"/>
          <w:szCs w:val="18"/>
          <w:b w:val="1"/>
          <w:bCs w:val="1"/>
          <w:color w:val="auto"/>
        </w:rPr>
        <w:t xml:space="preserve"> </w:t>
      </w:r>
      <w:r>
        <w:rPr>
          <w:rFonts w:ascii="Arial" w:cs="Arial" w:eastAsia="Arial" w:hAnsi="Arial"/>
          <w:sz w:val="18"/>
          <w:szCs w:val="18"/>
          <w:color w:val="auto"/>
        </w:rPr>
        <w:t>asamblea, designarán como mínimo 11 (once) consejeros y los accionistas de la serie “D”, por mayoría de votos de las acciones de dicha serie representadas en la asamblea respectiva designarán 5 (cinco) consejeros. Una vez que las acciones serie “D”, subserie “D-L” sean convertidas en acciones serie “L”, conforme a lo que establece el artículo 6o f), de estos estatutos, los accionistas de la serie “L” por mayoría de votos de las acciones de dicha serie representadas en la asamblea respectiva, designarán a 2 (dos) consejeros.</w:t>
      </w:r>
    </w:p>
    <w:p>
      <w:pPr>
        <w:spacing w:after="0" w:line="14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Los accionistas podrán designar consejeros suplentes, quienes suplirán específicamente a los consejeros propietarios para los cuales hubieren sido designados, conforme a las disposiciones legales aplicables.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30" w:name="page231"/>
    <w:bookmarkEnd w:id="230"/>
    <w:p>
      <w:pPr>
        <w:ind w:right="1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 consejeros durarán en su encargo un año, sin embargo, conforme a lo dispuesto por el artículo 24 de la Ley del Mercado de Valores, continuarán en funciones aún y cuando el término por el que fueran designados haya concluido, o por renuncia al cargo, hasta por un plazo de 30 (treinta) días naturales, a falta de designación del sustituto, o cuando éste no tome posesión de su cargo, sin estar sujetos a lo dispuesto en el artículo 154 de la Ley General de Sociedades Mercantiles. Los miembros del consejo y secretarios recibirán anualmente la remuneración que acuerde la asamblea general ordinaria que los designe, y tendrán las obligaciones y responsabilidades que señalan estos estatutos, así como aquellas aplicables de la Ley del Mercado de Valores y de la Ley General de Sociedades Mercantiles.</w:t>
      </w:r>
    </w:p>
    <w:p>
      <w:pPr>
        <w:spacing w:after="0" w:line="144" w:lineRule="exact"/>
        <w:rPr>
          <w:sz w:val="20"/>
          <w:szCs w:val="20"/>
          <w:color w:val="auto"/>
        </w:rPr>
      </w:pPr>
    </w:p>
    <w:p>
      <w:pPr>
        <w:ind w:right="520" w:firstLine="456"/>
        <w:spacing w:after="0" w:line="335" w:lineRule="auto"/>
        <w:rPr>
          <w:sz w:val="20"/>
          <w:szCs w:val="20"/>
          <w:color w:val="auto"/>
        </w:rPr>
      </w:pPr>
      <w:r>
        <w:rPr>
          <w:rFonts w:ascii="Arial" w:cs="Arial" w:eastAsia="Arial" w:hAnsi="Arial"/>
          <w:sz w:val="15"/>
          <w:szCs w:val="15"/>
          <w:color w:val="auto"/>
        </w:rPr>
        <w:t>El consejo de administración podrá designar consejeros provisionales, sin intervención de la asamblea de accionistas, cuando faltare alguno de los consejeros, o en su caso el designado no tome posesión de su cargo, y no se hubiere designado suplente, o éste no tome posesión del cargo. La asamblea de accionistas de la sociedad ratificará dichos nombramientos o designará a los consejeros sustitutos en la asamblea siguiente a que ocurra tal evento.</w:t>
      </w:r>
    </w:p>
    <w:p>
      <w:pPr>
        <w:spacing w:after="0" w:line="8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u w:val="single" w:color="auto"/>
          <w:color w:val="auto"/>
        </w:rPr>
        <w:t>ARTICULO 26o. CONVOCATORIAS PARA SESIONES DEL CONSEJO</w:t>
      </w:r>
      <w:r>
        <w:rPr>
          <w:rFonts w:ascii="Arial" w:cs="Arial" w:eastAsia="Arial" w:hAnsi="Arial"/>
          <w:sz w:val="18"/>
          <w:szCs w:val="18"/>
          <w:color w:val="auto"/>
        </w:rPr>
        <w:t>. El presidente del consejo de administración, cualquiera de los presidentes</w:t>
      </w:r>
      <w:r>
        <w:rPr>
          <w:rFonts w:ascii="Arial" w:cs="Arial" w:eastAsia="Arial" w:hAnsi="Arial"/>
          <w:sz w:val="18"/>
          <w:szCs w:val="18"/>
          <w:b w:val="1"/>
          <w:bCs w:val="1"/>
          <w:color w:val="auto"/>
        </w:rPr>
        <w:t xml:space="preserve"> </w:t>
      </w:r>
      <w:r>
        <w:rPr>
          <w:rFonts w:ascii="Arial" w:cs="Arial" w:eastAsia="Arial" w:hAnsi="Arial"/>
          <w:sz w:val="18"/>
          <w:szCs w:val="18"/>
          <w:color w:val="auto"/>
        </w:rPr>
        <w:t>de los comités de prácticas societarias y de auditoría, o al menos el 25% (veinticinco por ciento) de los consejeros, podrán convocar a una sesión de consejo e insertar en el orden del día los puntos que estimen convenientes. Las convocatorias para las sesiones del consejo de administración serán firmadas por quien las haga o por el presidente o,en su defecto, por el secretario, y deberán enviarse por correo, telefax o entregarse personalmente o por cualquier otro medio, por lo menos con 7 (siete) días de anticipación a la fecha de la sesión.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El auditor externo de la sociedad podrá ser convocado a las sesiones del consejo de administración en calidad de invitado con voz y sin voto.</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u w:val="single" w:color="auto"/>
          <w:color w:val="auto"/>
        </w:rPr>
        <w:t>ARTICULO 27o. FUNCIONAMIENTO DEL CONSEJO</w:t>
      </w:r>
      <w:r>
        <w:rPr>
          <w:rFonts w:ascii="Arial" w:cs="Arial" w:eastAsia="Arial" w:hAnsi="Arial"/>
          <w:sz w:val="16"/>
          <w:szCs w:val="16"/>
          <w:color w:val="auto"/>
        </w:rPr>
        <w:t>. El consejo celebrará sesión por lo menos una vez cada 3 (tres) meses. La asamblea anual</w:t>
      </w:r>
      <w:r>
        <w:rPr>
          <w:rFonts w:ascii="Arial" w:cs="Arial" w:eastAsia="Arial" w:hAnsi="Arial"/>
          <w:sz w:val="16"/>
          <w:szCs w:val="16"/>
          <w:b w:val="1"/>
          <w:bCs w:val="1"/>
          <w:color w:val="auto"/>
        </w:rPr>
        <w:t xml:space="preserve"> </w:t>
      </w:r>
      <w:r>
        <w:rPr>
          <w:rFonts w:ascii="Arial" w:cs="Arial" w:eastAsia="Arial" w:hAnsi="Arial"/>
          <w:sz w:val="16"/>
          <w:szCs w:val="16"/>
          <w:color w:val="auto"/>
        </w:rPr>
        <w:t>ordinaria que lo hubiere designado o el consejo de administración en su primera sesión, inmediatamente después de dicha asamblea, nombrará de entre los consejeros designados por la serie “B”, a un presidente, pudiendo también nombrar a un vicepresidente y conferir los demás cargos que estime convenientes. De igual forma, nombrará al secretario y a su suplente, en el entendido que estos dos últimos no serán consejeros. El consejo de administración designará además a las personas que ocupen los demás cargos que se crearen para el mejor desempeño de sus funciones. El presidente, también lo será en las asambleas de accionistas y será sustituido en sus funciones, en caso de ausencia, por el vicepresidente y a falta de éste por los demás consejeros propietarios de la serie “B”, en el orden de su designación.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31" w:name="page232"/>
    <w:bookmarkEnd w:id="231"/>
    <w:p>
      <w:pPr>
        <w:jc w:val="both"/>
        <w:ind w:right="440" w:firstLine="456"/>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ARTICULO 28o. INSTALACIÓN Y RESOLUCIONES DEL CONSEJO</w:t>
      </w:r>
      <w:r>
        <w:rPr>
          <w:rFonts w:ascii="Arial" w:cs="Arial" w:eastAsia="Arial" w:hAnsi="Arial"/>
          <w:sz w:val="18"/>
          <w:szCs w:val="18"/>
          <w:color w:val="auto"/>
        </w:rPr>
        <w:t>. El consejo de administración se considerará legalmente instalado para</w:t>
      </w:r>
      <w:r>
        <w:rPr>
          <w:rFonts w:ascii="Arial" w:cs="Arial" w:eastAsia="Arial" w:hAnsi="Arial"/>
          <w:sz w:val="18"/>
          <w:szCs w:val="18"/>
          <w:b w:val="1"/>
          <w:bCs w:val="1"/>
          <w:color w:val="auto"/>
        </w:rPr>
        <w:t xml:space="preserve"> </w:t>
      </w:r>
      <w:r>
        <w:rPr>
          <w:rFonts w:ascii="Arial" w:cs="Arial" w:eastAsia="Arial" w:hAnsi="Arial"/>
          <w:sz w:val="18"/>
          <w:szCs w:val="18"/>
          <w:color w:val="auto"/>
        </w:rPr>
        <w:t>resolver cualquier asunto con la presencia de la mayoría de sus miembros y sus resoluciones serán válidas si son aprobadas por el voto de la mayoría de sus miembros presentes.</w:t>
      </w:r>
    </w:p>
    <w:p>
      <w:pPr>
        <w:spacing w:after="0" w:line="13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El consejo de administración, sin necesidad de reunirse en sesión, podrá tomar resoluciones por unanimidad de sus miembros, siempre y cuando dichas resoluciones se confirmen por escrito, por todos sus miembros propietarios o sus suplentes.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De toda sesión se levantará acta que deberá ser aprobada por lo menos por la mayoría de los consejeros asistentes a la sesión respectiva y firmada por el presidente y secretario.</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ARTICULO 29o. FACULTADES DEL CONSEJO</w:t>
      </w:r>
      <w:r>
        <w:rPr>
          <w:rFonts w:ascii="Arial" w:cs="Arial" w:eastAsia="Arial" w:hAnsi="Arial"/>
          <w:sz w:val="18"/>
          <w:szCs w:val="18"/>
          <w:color w:val="auto"/>
        </w:rPr>
        <w:t>. El consejo de administración tendrá las siguientes facultades y obligaciones:</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 Administrar los negocios y bienes de la sociedad, con el poder más amplio para actos de administración, en los términos del Artículo 2554, párrafo segundo, del Código Civil Federal y de sus correlativos de los Códigos Civiles vigentes en el Distrito Federal y en las diversas entidades federativas de los Estados Unidos Mexicanos.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 Ejercitar actos de dominio respecto de los bienes muebles e inmuebles de la sociedad, así como sus derechos reales y personales, en los términos del párrafo tercero del Artículo 2554 del Código Civil Federal, y de sus correlativos de los Códigos Civiles vigentes en el Distrito Federal y en las diversas entidades federativas de los Estados Unidos Mexicanos, otorgar garantías de cualquier clase respecto a obligaciones contraidas o de los títulos emitidos o aceptados por terceros.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 Representar a la sociedad con el más amplio poder, ante toda clase de autoridades administrativas o judiciales, ya sea federales, estatales o municipales, así como ante autoridades del trabajo o de cualquier otra índole o ante árbitros o amigables componedores, con el poder más amplio incluyendo las facultades que requieran cláusula especial conforme a la ley, para articular y absolver posiciones, aún para desistirse del juicio de amparo, en los términos del párrafo primero del Artículo 2554 del Código Civil Federal y de sus correlativos de los Códigos Civiles vigentes en el Distrito Federal y en las diversas entidades federativas de los Estados Unidos Mexicanos, así como representar a la sociedad ante toda clase de autoridades penales, federales y de los Estados y formular y presentar acusaciones, denuncias y querellas por delitos cometidos en perjuicio de la misma, para representar y constituir a la sociedad como parte civil coadyuvante del Ministerio Público en los procesos de esta índole y para otorgar el perdón.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32" w:name="page233"/>
    <w:bookmarkEnd w:id="232"/>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Otorgar, suscribir, avalar y endosar títulos de crédito en nombre de la sociedad, emitir obligaciones con o sin garantía real específica; aportar bienes muebles o inmuebles de la sociedad a otras sociedades y suscribir acciones o tomar participaciones o partes de interés en otras empresas y, en general, ejecutar los actos, celebrar los contratos y realizar las demás operaciones que sean necesarias o conducentes al objeto principal de la sociedad.</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 Constituir a la sociedad en deudora solidaria y otorgar avales, fianzas o cualquier otra garantía de pago de cualquier clase, respecto de las obligaciones contraídas o de los títulos emitidos o aceptados por la sociedad o por terceros.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 Aprobar, con la previa opinión del Comité que sea competente, el nombramiento, elección y, en su caso, destitución del director general de la sociedad y su retribución integral, así como las políticas para la designación y retribución integral de los demás directivos relevantes, asignándoles sus respectivas obligaciones y designar los comités que establece la ley, estos estatutos y los que crea convenientes, señalándoles sus atribuciones y reglas de funcionamiento; en su defecto, se regirán por las disposiciones previstas en estos estatutos, para el comité ejecutivo.</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 Otorgar y revocar los poderes que se crean convenientes, con o sin facultades de substitución, pudiendo otorgar en ellos las facultades que se consideren oportunas de las que estos estatutos confieren al consejo de administración.</w:t>
      </w:r>
    </w:p>
    <w:p>
      <w:pPr>
        <w:spacing w:after="0" w:line="132"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h). Ejecutar los acuerdos de la asamblea y, en general, llevar a cabo los actos y operaciones que sean necesarios o convenientes para el objeto de la sociedad hecha excepción de los expresamente reservados por la ley y por estos estatutos a la asamblea.</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Las demás facultades y obligaciones establecidas en estos estatutos y en la Ley del Mercado de Valores.</w:t>
      </w:r>
    </w:p>
    <w:p>
      <w:pPr>
        <w:spacing w:after="0" w:line="165" w:lineRule="exact"/>
        <w:rPr>
          <w:sz w:val="20"/>
          <w:szCs w:val="20"/>
          <w:color w:val="auto"/>
        </w:rPr>
      </w:pPr>
    </w:p>
    <w:p>
      <w:pPr>
        <w:ind w:right="80" w:firstLine="456"/>
        <w:spacing w:after="0" w:line="339" w:lineRule="auto"/>
        <w:rPr>
          <w:sz w:val="20"/>
          <w:szCs w:val="20"/>
          <w:color w:val="auto"/>
        </w:rPr>
      </w:pPr>
      <w:r>
        <w:rPr>
          <w:rFonts w:ascii="Arial" w:cs="Arial" w:eastAsia="Arial" w:hAnsi="Arial"/>
          <w:sz w:val="15"/>
          <w:szCs w:val="15"/>
          <w:b w:val="1"/>
          <w:bCs w:val="1"/>
          <w:u w:val="single" w:color="auto"/>
          <w:color w:val="auto"/>
        </w:rPr>
        <w:t>ARTICULO 29o. BIS FACULTADES Y OBLIGACIONES DEL DIRECTOR GENERAL</w:t>
      </w:r>
      <w:r>
        <w:rPr>
          <w:rFonts w:ascii="Arial" w:cs="Arial" w:eastAsia="Arial" w:hAnsi="Arial"/>
          <w:sz w:val="15"/>
          <w:szCs w:val="15"/>
          <w:color w:val="auto"/>
        </w:rPr>
        <w:t>. Las funciones de gestión, conducción y ejecución de los</w:t>
      </w:r>
      <w:r>
        <w:rPr>
          <w:rFonts w:ascii="Arial" w:cs="Arial" w:eastAsia="Arial" w:hAnsi="Arial"/>
          <w:sz w:val="15"/>
          <w:szCs w:val="15"/>
          <w:b w:val="1"/>
          <w:bCs w:val="1"/>
          <w:color w:val="auto"/>
        </w:rPr>
        <w:t xml:space="preserve"> </w:t>
      </w:r>
      <w:r>
        <w:rPr>
          <w:rFonts w:ascii="Arial" w:cs="Arial" w:eastAsia="Arial" w:hAnsi="Arial"/>
          <w:sz w:val="15"/>
          <w:szCs w:val="15"/>
          <w:color w:val="auto"/>
        </w:rPr>
        <w:t>negocios de la sociedad, y de las personas morales que ésta controle, serán responsabilidad del director general, sujetándose para ello a las estrategias, políticas y lineamientos aprobados por el consejo de administración, y teniendo las facultades y obligaciones que señalan estos estatutos y la Ley del Mercado de Valores.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33" w:name="page234"/>
    <w:bookmarkEnd w:id="233"/>
    <w:p>
      <w:pPr>
        <w:ind w:right="360" w:firstLine="456"/>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ARTICULO 30o. CAUCIÓN</w:t>
      </w:r>
      <w:r>
        <w:rPr>
          <w:rFonts w:ascii="Arial" w:cs="Arial" w:eastAsia="Arial" w:hAnsi="Arial"/>
          <w:sz w:val="18"/>
          <w:szCs w:val="18"/>
          <w:color w:val="auto"/>
        </w:rPr>
        <w:t>. No se requerirá que los administradores, secretarios, gerentes y demás funcionarios en ejercicio otorguen caución para</w:t>
      </w:r>
      <w:r>
        <w:rPr>
          <w:rFonts w:ascii="Arial" w:cs="Arial" w:eastAsia="Arial" w:hAnsi="Arial"/>
          <w:sz w:val="18"/>
          <w:szCs w:val="18"/>
          <w:b w:val="1"/>
          <w:bCs w:val="1"/>
          <w:color w:val="auto"/>
        </w:rPr>
        <w:t xml:space="preserve"> </w:t>
      </w:r>
      <w:r>
        <w:rPr>
          <w:rFonts w:ascii="Arial" w:cs="Arial" w:eastAsia="Arial" w:hAnsi="Arial"/>
          <w:sz w:val="18"/>
          <w:szCs w:val="18"/>
          <w:color w:val="auto"/>
        </w:rPr>
        <w:t>garantizar su gestión, salvo en los casos en que la asamblea general de accionistas lo considere conveniente y, en igual forma, el consejo de administración, cuando se trate de gerentes y demás funcionarios designados por este órgano social.</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u w:val="single" w:color="auto"/>
          <w:color w:val="auto"/>
        </w:rPr>
        <w:t>ARTICULO 31o. COMITÉ EJECUTIVO</w:t>
      </w:r>
      <w:r>
        <w:rPr>
          <w:rFonts w:ascii="Arial" w:cs="Arial" w:eastAsia="Arial" w:hAnsi="Arial"/>
          <w:sz w:val="16"/>
          <w:szCs w:val="16"/>
          <w:color w:val="auto"/>
        </w:rPr>
        <w:t>. La asamblea general ordinaria de accionistas podrá designar los comités que estime conveniente; asimismo,</w:t>
      </w:r>
      <w:r>
        <w:rPr>
          <w:rFonts w:ascii="Arial" w:cs="Arial" w:eastAsia="Arial" w:hAnsi="Arial"/>
          <w:sz w:val="16"/>
          <w:szCs w:val="16"/>
          <w:b w:val="1"/>
          <w:bCs w:val="1"/>
          <w:color w:val="auto"/>
        </w:rPr>
        <w:t xml:space="preserve"> </w:t>
      </w:r>
      <w:r>
        <w:rPr>
          <w:rFonts w:ascii="Arial" w:cs="Arial" w:eastAsia="Arial" w:hAnsi="Arial"/>
          <w:sz w:val="16"/>
          <w:szCs w:val="16"/>
          <w:color w:val="auto"/>
        </w:rPr>
        <w:t>podrá designar un comité ejecutivo que estará compuesto por el número impar de miembros del consejo de administración o sus suplentes que éstos determinen, los cuales se constituirán y actuarán invariablemente como órgano colegiado delegado del consejo de administración. La asamblea general ordinaria o el consejo de administración podrá designar además, para el caso de ausencia de algún miembro propietario, a un suplente por cada miembro del comité ejecutivo. Los miembros del comité ejecutivo durarán en su cargo un año, a menos que sean relevados por la asamblea general ordinaria o por el consejo de administración pero, en todo caso, continuarán en su puesto por el término de 30 (treinta) días naturales, mientras no se hicieren nuevas designaciones y las personas designadas para sustituirlos tomen posesión de sus cargos; podrán ser reelectos y recibirán la remuneración que determine la asamblea general ordinaria o el consejo de administración.</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El comité ejecutivo sesionará con la periodicidad que se determine en la primera sesión que celebre en un año calendario, en el entendido de que podrá sesionar asimismo, cuando sea convocado por el secretario, a petición de su presidente o cualesquiera dos de sus miembros. Las sesiones del comité ejecutivo serán convocadas y el comité operará siguiendo el mismo procedimiento que para las sesiones del consejo de administración prevén los artículos 26o. y 28o. de estos estatutos, pero referidas a los miembros del propio comité ejecutivo.</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El comité ejecutivo sesionará válidamente con la asistencia de la mayoría de sus miembros y tomará sus resoluciones por mayoría de votos de los presentes.</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El presidente del comité ejecutivo deberá ser uno de sus miembros y será designado por el propio comité. En ausencia del presidente, las sesiones del comité serán presididas por el miembro del comité designado por los miembros que estuvieren presentes. El comité ejecutivo podrá nombrar un secretario, que podrá ser el secretario del consejo de administración y no necesitara ser consejero. El auditor externo podrá ser invitado a las sesiones del comité, a las cuales podrá concurrir con voz, pero sin voto.</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El comité ejecutivo tendrá las facultades que se establecen en los incisos a), b), c), d), y e), del artículo 29o. de estos estatutos, las cuales no podrán ser delegadas, sin perjuicio de que el comité designe a alguna persona o personas para la ejecución de actos concretos.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34" w:name="page235"/>
    <w:bookmarkEnd w:id="234"/>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 presidente o el secretario del comité ejecutivo informarán de las actividades de éste al consejo de administración, en la sesión del propio consejo siguiente a la sesión correspondiente del comité, o bien cuando se susciten hechos o actos de trascendencia para la sociedad, que a juicio del comité, lo ameriten. De cada sesión el secretario levantará un acta que se transcribirá en el libro especial respectivo, en la cual constará la asistencia, así como las resoluciones adoptadas, y deberá ser firmada por el presidente y secretario de la reunión.</w:t>
      </w:r>
    </w:p>
    <w:p>
      <w:pPr>
        <w:spacing w:after="0" w:line="107"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b w:val="1"/>
          <w:bCs w:val="1"/>
          <w:u w:val="single" w:color="auto"/>
          <w:color w:val="auto"/>
        </w:rPr>
        <w:t>ARTICULO 32o. VIGILANCIA DE LA SOCIEDAD</w:t>
      </w:r>
      <w:r>
        <w:rPr>
          <w:rFonts w:ascii="Arial" w:cs="Arial" w:eastAsia="Arial" w:hAnsi="Arial"/>
          <w:sz w:val="16"/>
          <w:szCs w:val="16"/>
          <w:color w:val="auto"/>
        </w:rPr>
        <w:t>. La vigilancia de la gestión, conducción y ejecución de los negocios de la sociedad y de las</w:t>
      </w:r>
      <w:r>
        <w:rPr>
          <w:rFonts w:ascii="Arial" w:cs="Arial" w:eastAsia="Arial" w:hAnsi="Arial"/>
          <w:sz w:val="16"/>
          <w:szCs w:val="16"/>
          <w:b w:val="1"/>
          <w:bCs w:val="1"/>
          <w:color w:val="auto"/>
        </w:rPr>
        <w:t xml:space="preserve"> </w:t>
      </w:r>
      <w:r>
        <w:rPr>
          <w:rFonts w:ascii="Arial" w:cs="Arial" w:eastAsia="Arial" w:hAnsi="Arial"/>
          <w:sz w:val="16"/>
          <w:szCs w:val="16"/>
          <w:color w:val="auto"/>
        </w:rPr>
        <w:t>personas morales que ésta controle en los términos de la Ley del Mercado de Valores, estará a cargo del consejo de administración.</w:t>
      </w:r>
    </w:p>
    <w:p>
      <w:pPr>
        <w:spacing w:after="0" w:line="8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El consejo de administración, para el desempeño de sus funciones de vigilancia, se auxiliará de los comités de prácticas societarias y de auditoría, que constituya, así como por conducto de la persona moral que realice la auditoría externa de la sociedad, cada uno en el ámbito de sus respectivas competencias, según lo señalado por la Ley del Mercado de Valores.</w:t>
      </w:r>
    </w:p>
    <w:p>
      <w:pPr>
        <w:spacing w:after="0" w:line="14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Los comités de auditoría y de prácticas societarias desarrollarán las actividades que le establecen la Ley del Mercado de Valores y estarán integrados exclusivamente con consejeros independientes y por un mínimo de 3 (tres) miembros, designados por la asamblea general ordinaria de accionistas o por el consejo de administración, a propuesta de su presidente.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Los presidentes de los comités de auditoría y de prácticas societarias, serán designados y/o removidos de su cargo, exclusivamente por la asamblea general de accionistas. Dichos presidentes no podrán presidir el consejo de administración y deberán ser seleccionadas por su experiencia, por su reconocida capacidad y por su prestigio profesional.</w:t>
      </w:r>
    </w:p>
    <w:p>
      <w:pPr>
        <w:spacing w:after="0" w:line="13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u w:val="single" w:color="auto"/>
          <w:color w:val="auto"/>
        </w:rPr>
        <w:t>ARTICULO 33o. EJERCICIO SOCIAL</w:t>
      </w:r>
      <w:r>
        <w:rPr>
          <w:rFonts w:ascii="Arial" w:cs="Arial" w:eastAsia="Arial" w:hAnsi="Arial"/>
          <w:sz w:val="18"/>
          <w:szCs w:val="18"/>
          <w:color w:val="auto"/>
        </w:rPr>
        <w:t>. El ejercicio social será de doce meses, comenzará el día 1o.(primero) de enero y terminará el día 31 (treinta y</w:t>
      </w:r>
      <w:r>
        <w:rPr>
          <w:rFonts w:ascii="Arial" w:cs="Arial" w:eastAsia="Arial" w:hAnsi="Arial"/>
          <w:sz w:val="18"/>
          <w:szCs w:val="18"/>
          <w:b w:val="1"/>
          <w:bCs w:val="1"/>
          <w:color w:val="auto"/>
        </w:rPr>
        <w:t xml:space="preserve"> </w:t>
      </w:r>
      <w:r>
        <w:rPr>
          <w:rFonts w:ascii="Arial" w:cs="Arial" w:eastAsia="Arial" w:hAnsi="Arial"/>
          <w:sz w:val="18"/>
          <w:szCs w:val="18"/>
          <w:color w:val="auto"/>
        </w:rPr>
        <w:t>uno) de diciembre del mismo año.</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u w:val="single" w:color="auto"/>
          <w:color w:val="auto"/>
        </w:rPr>
        <w:t>ARTICULO 34o. APLICACIÓN DE UTILIDADES</w:t>
      </w:r>
      <w:r>
        <w:rPr>
          <w:rFonts w:ascii="Arial" w:cs="Arial" w:eastAsia="Arial" w:hAnsi="Arial"/>
          <w:sz w:val="18"/>
          <w:szCs w:val="18"/>
          <w:color w:val="auto"/>
        </w:rPr>
        <w:t>. Las utilidades netas anuales, una vez deducido el monto del impuesto sobre la renta y demás</w:t>
      </w:r>
      <w:r>
        <w:rPr>
          <w:rFonts w:ascii="Arial" w:cs="Arial" w:eastAsia="Arial" w:hAnsi="Arial"/>
          <w:sz w:val="18"/>
          <w:szCs w:val="18"/>
          <w:b w:val="1"/>
          <w:bCs w:val="1"/>
          <w:color w:val="auto"/>
        </w:rPr>
        <w:t xml:space="preserve"> </w:t>
      </w:r>
      <w:r>
        <w:rPr>
          <w:rFonts w:ascii="Arial" w:cs="Arial" w:eastAsia="Arial" w:hAnsi="Arial"/>
          <w:sz w:val="18"/>
          <w:szCs w:val="18"/>
          <w:color w:val="auto"/>
        </w:rPr>
        <w:t>conceptos que conforme a la ley deban deducirse o separarse, se aplicarán en la siguiente forma:</w:t>
      </w:r>
    </w:p>
    <w:p>
      <w:pPr>
        <w:spacing w:after="0" w:line="12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Se separará un mínimo del 5% (cinco por ciento) para constituir el fondo de reserva legal, hasta que éste ascienda cuando menos al 20% (veinte por ciento) del capital social.</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80" w:right="319" w:bottom="1440" w:gutter="0" w:footer="0" w:header="0"/>
        </w:sectPr>
      </w:pPr>
    </w:p>
    <w:bookmarkStart w:id="235" w:name="page236"/>
    <w:bookmarkEnd w:id="235"/>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El resto se podrá distribuir como dividendo entre los accionistas, en los términos de estos estatutos y en proporción al número de sus acciones, o si así lo acuerda la asamblea, se llevará total o parcialmente a fondos de previsión, de reserva (incluyendo, en su caso, la reserva para adquisición de acciones propias a que se refiere la Ley del Mercado de Valores), de reinversión, especiales y otros que la misma asamblea decida formar.</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ARTICULO 35o. DERECHOS DE LOS FUNDADORES</w:t>
      </w:r>
      <w:r>
        <w:rPr>
          <w:rFonts w:ascii="Arial" w:cs="Arial" w:eastAsia="Arial" w:hAnsi="Arial"/>
          <w:sz w:val="16"/>
          <w:szCs w:val="16"/>
          <w:color w:val="auto"/>
        </w:rPr>
        <w:t>. Los fundadores no se reservan participación especial en las utilidades de la sociedad.</w:t>
      </w:r>
    </w:p>
    <w:p>
      <w:pPr>
        <w:spacing w:after="0" w:line="19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u w:val="single" w:color="auto"/>
          <w:color w:val="auto"/>
        </w:rPr>
        <w:t>ARTICULO 36o. APLICACIÓN DE PERDIDAS</w:t>
      </w:r>
      <w:r>
        <w:rPr>
          <w:rFonts w:ascii="Arial" w:cs="Arial" w:eastAsia="Arial" w:hAnsi="Arial"/>
          <w:sz w:val="18"/>
          <w:szCs w:val="18"/>
          <w:color w:val="auto"/>
        </w:rPr>
        <w:t>. Si hubiere pérdidas, serán reportadas por los accionistas, en proporción al número de sus acciones,</w:t>
      </w:r>
      <w:r>
        <w:rPr>
          <w:rFonts w:ascii="Arial" w:cs="Arial" w:eastAsia="Arial" w:hAnsi="Arial"/>
          <w:sz w:val="18"/>
          <w:szCs w:val="18"/>
          <w:b w:val="1"/>
          <w:bCs w:val="1"/>
          <w:color w:val="auto"/>
        </w:rPr>
        <w:t xml:space="preserve"> </w:t>
      </w:r>
      <w:r>
        <w:rPr>
          <w:rFonts w:ascii="Arial" w:cs="Arial" w:eastAsia="Arial" w:hAnsi="Arial"/>
          <w:sz w:val="18"/>
          <w:szCs w:val="18"/>
          <w:color w:val="auto"/>
        </w:rPr>
        <w:t>teniéndose en cuenta lo que previene la parte final del artículo 87 de la Ley General de Sociedades Mercantiles.</w:t>
      </w:r>
    </w:p>
    <w:p>
      <w:pPr>
        <w:spacing w:after="0" w:line="12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u w:val="single" w:color="auto"/>
          <w:color w:val="auto"/>
        </w:rPr>
        <w:t>ARTICULO 37o. DISOLUCIÓN ANTICIPADA</w:t>
      </w:r>
      <w:r>
        <w:rPr>
          <w:rFonts w:ascii="Arial" w:cs="Arial" w:eastAsia="Arial" w:hAnsi="Arial"/>
          <w:sz w:val="18"/>
          <w:szCs w:val="18"/>
          <w:color w:val="auto"/>
        </w:rPr>
        <w:t>. La sociedad se disolverá anticipadamente en los casos a que se refieren las fracciones II, III, IV y V</w:t>
      </w:r>
      <w:r>
        <w:rPr>
          <w:rFonts w:ascii="Arial" w:cs="Arial" w:eastAsia="Arial" w:hAnsi="Arial"/>
          <w:sz w:val="18"/>
          <w:szCs w:val="18"/>
          <w:b w:val="1"/>
          <w:bCs w:val="1"/>
          <w:color w:val="auto"/>
        </w:rPr>
        <w:t xml:space="preserve"> </w:t>
      </w:r>
      <w:r>
        <w:rPr>
          <w:rFonts w:ascii="Arial" w:cs="Arial" w:eastAsia="Arial" w:hAnsi="Arial"/>
          <w:sz w:val="18"/>
          <w:szCs w:val="18"/>
          <w:color w:val="auto"/>
        </w:rPr>
        <w:t>del artículo 229 de la Ley General de Sociedades Mercantiles.</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u w:val="single" w:color="auto"/>
          <w:color w:val="auto"/>
        </w:rPr>
        <w:t>ARTICULO 38o. DESIGNACIÓN DE LIQUIDADOR</w:t>
      </w:r>
      <w:r>
        <w:rPr>
          <w:rFonts w:ascii="Arial" w:cs="Arial" w:eastAsia="Arial" w:hAnsi="Arial"/>
          <w:sz w:val="18"/>
          <w:szCs w:val="18"/>
          <w:color w:val="auto"/>
        </w:rPr>
        <w:t>. Disuelta la sociedad, la asamblea extraordinaria de accionistas designará, a mayoría de votos,</w:t>
      </w:r>
      <w:r>
        <w:rPr>
          <w:rFonts w:ascii="Arial" w:cs="Arial" w:eastAsia="Arial" w:hAnsi="Arial"/>
          <w:sz w:val="18"/>
          <w:szCs w:val="18"/>
          <w:b w:val="1"/>
          <w:bCs w:val="1"/>
          <w:color w:val="auto"/>
        </w:rPr>
        <w:t xml:space="preserve"> </w:t>
      </w:r>
      <w:r>
        <w:rPr>
          <w:rFonts w:ascii="Arial" w:cs="Arial" w:eastAsia="Arial" w:hAnsi="Arial"/>
          <w:sz w:val="18"/>
          <w:szCs w:val="18"/>
          <w:color w:val="auto"/>
        </w:rPr>
        <w:t>uno o más liquidadores, fijándoseles plazo para el ejercicio de su cargo, y la retribución que habrá de corresponderles.</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u w:val="single" w:color="auto"/>
          <w:color w:val="auto"/>
        </w:rPr>
        <w:t>ARTICULO 39o. PROCEDIMIENTO PARA LA LIQUIDACIÓN</w:t>
      </w:r>
      <w:r>
        <w:rPr>
          <w:rFonts w:ascii="Arial" w:cs="Arial" w:eastAsia="Arial" w:hAnsi="Arial"/>
          <w:sz w:val="18"/>
          <w:szCs w:val="18"/>
          <w:color w:val="auto"/>
        </w:rPr>
        <w:t>. El o lo los liquidadores practicarán la liquidación de la sociedad con arreglo a las</w:t>
      </w:r>
      <w:r>
        <w:rPr>
          <w:rFonts w:ascii="Arial" w:cs="Arial" w:eastAsia="Arial" w:hAnsi="Arial"/>
          <w:sz w:val="18"/>
          <w:szCs w:val="18"/>
          <w:b w:val="1"/>
          <w:bCs w:val="1"/>
          <w:color w:val="auto"/>
        </w:rPr>
        <w:t xml:space="preserve"> </w:t>
      </w:r>
      <w:r>
        <w:rPr>
          <w:rFonts w:ascii="Arial" w:cs="Arial" w:eastAsia="Arial" w:hAnsi="Arial"/>
          <w:sz w:val="18"/>
          <w:szCs w:val="18"/>
          <w:color w:val="auto"/>
        </w:rPr>
        <w:t>resoluciones de la asamblea extraordinaria y, en su defecto, con sujeción a las siguientes bases:</w:t>
      </w:r>
    </w:p>
    <w:p>
      <w:pPr>
        <w:spacing w:after="0" w:line="1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Concluirá los negocios de la manera que juzgue más conveniente, cobrando los créditos, pagando las deudas y enajenado los bienes de la sociedad, que sea necesario vender al efecto.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Formulará los estados financieros de la liquidación y los sujetará a la aprobación de la asamblea extraordinaria de accionistas.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 Distribuirá entre los accionistas, en los términos de la ley y de estos estatutos, y contra la entrega y cancelación de los títulos de acciones, el activo líquido que resulte, conforme a los estados financieros aprobados por la asamblea extraordinaria.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36" w:name="page237"/>
    <w:bookmarkEnd w:id="236"/>
    <w:p>
      <w:pPr>
        <w:jc w:val="both"/>
        <w:ind w:right="280" w:firstLine="456"/>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ARTICULO 40o. FUNCIONES DEL LIQUIDADOR CON RESPECTO A ASAMBLEAS</w:t>
      </w:r>
      <w:r>
        <w:rPr>
          <w:rFonts w:ascii="Arial" w:cs="Arial" w:eastAsia="Arial" w:hAnsi="Arial"/>
          <w:sz w:val="18"/>
          <w:szCs w:val="18"/>
          <w:color w:val="auto"/>
        </w:rPr>
        <w:t>. Durante la liquidación se reunirá la asamblea, en los</w:t>
      </w:r>
      <w:r>
        <w:rPr>
          <w:rFonts w:ascii="Arial" w:cs="Arial" w:eastAsia="Arial" w:hAnsi="Arial"/>
          <w:sz w:val="18"/>
          <w:szCs w:val="18"/>
          <w:b w:val="1"/>
          <w:bCs w:val="1"/>
          <w:color w:val="auto"/>
        </w:rPr>
        <w:t xml:space="preserve"> </w:t>
      </w:r>
      <w:r>
        <w:rPr>
          <w:rFonts w:ascii="Arial" w:cs="Arial" w:eastAsia="Arial" w:hAnsi="Arial"/>
          <w:sz w:val="18"/>
          <w:szCs w:val="18"/>
          <w:color w:val="auto"/>
        </w:rPr>
        <w:t>términos que previene el capítulo relativo a las asambleas generales de accionistas de estos estatutos, desempeñando respecto a ella el o los liquidadores, las funciones que en la vida normal de la sociedad corresponden al consejo de administración.</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u w:val="single" w:color="auto"/>
          <w:color w:val="auto"/>
        </w:rPr>
        <w:t>ARTICULO 41o. DISPOSICIONES GENERALES</w:t>
      </w:r>
      <w:r>
        <w:rPr>
          <w:rFonts w:ascii="Arial" w:cs="Arial" w:eastAsia="Arial" w:hAnsi="Arial"/>
          <w:sz w:val="16"/>
          <w:szCs w:val="16"/>
          <w:color w:val="auto"/>
        </w:rPr>
        <w:t>. En todo lo no previsto expresamente en estos estatutos, regirán las disposiciones de la Ley del</w:t>
      </w:r>
      <w:r>
        <w:rPr>
          <w:rFonts w:ascii="Arial" w:cs="Arial" w:eastAsia="Arial" w:hAnsi="Arial"/>
          <w:sz w:val="16"/>
          <w:szCs w:val="16"/>
          <w:b w:val="1"/>
          <w:bCs w:val="1"/>
          <w:color w:val="auto"/>
        </w:rPr>
        <w:t xml:space="preserve"> </w:t>
      </w:r>
      <w:r>
        <w:rPr>
          <w:rFonts w:ascii="Arial" w:cs="Arial" w:eastAsia="Arial" w:hAnsi="Arial"/>
          <w:sz w:val="16"/>
          <w:szCs w:val="16"/>
          <w:color w:val="auto"/>
        </w:rPr>
        <w:t>Mercado de Valores y, en lo no previsto en dicha ley, lo señalado en la Ley General de Sociedades Mercantiles. Los términos utilizados en estos estatutos que se encuentren definidos en la Ley del Mercado de Valores, tendrán el significado que se les atribuye en dicho ordenamiento legal.</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274" w:right="39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8.1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100" w:type="dxa"/>
            <w:vAlign w:val="bottom"/>
          </w:tcPr>
          <w:p>
            <w:pPr>
              <w:ind w:left="3660"/>
              <w:spacing w:after="0"/>
              <w:rPr>
                <w:sz w:val="20"/>
                <w:szCs w:val="20"/>
                <w:color w:val="auto"/>
              </w:rPr>
            </w:pPr>
            <w:r>
              <w:rPr>
                <w:rFonts w:ascii="Arial" w:cs="Arial" w:eastAsia="Arial" w:hAnsi="Arial"/>
                <w:sz w:val="18"/>
                <w:szCs w:val="18"/>
                <w:b w:val="1"/>
                <w:bCs w:val="1"/>
                <w:color w:val="auto"/>
              </w:rPr>
              <w:t>Significant Subsidiaries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60" w:type="dxa"/>
            <w:vAlign w:val="bottom"/>
            <w:gridSpan w:val="3"/>
          </w:tcPr>
          <w:p>
            <w:pPr>
              <w:spacing w:after="0"/>
              <w:rPr>
                <w:sz w:val="20"/>
                <w:szCs w:val="20"/>
                <w:color w:val="auto"/>
              </w:rPr>
            </w:pPr>
            <w:r>
              <w:rPr>
                <w:rFonts w:ascii="Arial" w:cs="Arial" w:eastAsia="Arial" w:hAnsi="Arial"/>
                <w:sz w:val="18"/>
                <w:szCs w:val="18"/>
                <w:color w:val="auto"/>
              </w:rPr>
              <w:t>The following table sets forth our significant subsidiaries as of May 31, 2008:</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Jurisdiction of</w:t>
            </w:r>
          </w:p>
        </w:tc>
        <w:tc>
          <w:tcPr>
            <w:tcW w:w="2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9260" w:type="dxa"/>
            <w:vAlign w:val="bottom"/>
            <w:gridSpan w:val="3"/>
          </w:tcPr>
          <w:p>
            <w:pPr>
              <w:spacing w:after="0"/>
              <w:rPr>
                <w:sz w:val="20"/>
                <w:szCs w:val="20"/>
                <w:color w:val="auto"/>
              </w:rPr>
            </w:pPr>
            <w:r>
              <w:rPr>
                <w:rFonts w:ascii="Arial" w:cs="Arial" w:eastAsia="Arial" w:hAnsi="Arial"/>
                <w:sz w:val="14"/>
                <w:szCs w:val="14"/>
                <w:b w:val="1"/>
                <w:bCs w:val="1"/>
                <w:color w:val="auto"/>
              </w:rPr>
              <w:t>Name of Company</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Establishment</w:t>
            </w:r>
          </w:p>
        </w:tc>
        <w:tc>
          <w:tcPr>
            <w:tcW w:w="2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line="209" w:lineRule="exact"/>
              <w:rPr>
                <w:sz w:val="20"/>
                <w:szCs w:val="20"/>
                <w:color w:val="auto"/>
              </w:rPr>
            </w:pPr>
            <w:r>
              <w:rPr>
                <w:rFonts w:ascii="Arial" w:cs="Arial" w:eastAsia="Arial" w:hAnsi="Arial"/>
                <w:sz w:val="18"/>
                <w:szCs w:val="18"/>
                <w:b w:val="1"/>
                <w:bCs w:val="1"/>
                <w:color w:val="auto"/>
              </w:rPr>
              <w:t>CIBSA</w:t>
            </w:r>
            <w:r>
              <w:rPr>
                <w:rFonts w:ascii="Arial" w:cs="Arial" w:eastAsia="Arial" w:hAnsi="Arial"/>
                <w:sz w:val="22"/>
                <w:szCs w:val="22"/>
                <w:b w:val="1"/>
                <w:bCs w:val="1"/>
                <w:color w:val="auto"/>
                <w:vertAlign w:val="superscript"/>
              </w:rPr>
              <w:t>(1)</w:t>
            </w:r>
          </w:p>
        </w:tc>
        <w:tc>
          <w:tcPr>
            <w:tcW w:w="8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Mexico</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line="217" w:lineRule="exact"/>
              <w:rPr>
                <w:sz w:val="20"/>
                <w:szCs w:val="20"/>
                <w:color w:val="auto"/>
              </w:rPr>
            </w:pPr>
            <w:r>
              <w:rPr>
                <w:rFonts w:ascii="Arial" w:cs="Arial" w:eastAsia="Arial" w:hAnsi="Arial"/>
                <w:sz w:val="18"/>
                <w:szCs w:val="18"/>
                <w:b w:val="1"/>
                <w:bCs w:val="1"/>
                <w:color w:val="auto"/>
              </w:rPr>
              <w:t>Coca-Cola FEMSA</w:t>
            </w:r>
            <w:r>
              <w:rPr>
                <w:rFonts w:ascii="Arial" w:cs="Arial" w:eastAsia="Arial" w:hAnsi="Arial"/>
                <w:sz w:val="22"/>
                <w:szCs w:val="22"/>
                <w:b w:val="1"/>
                <w:bCs w:val="1"/>
                <w:color w:val="auto"/>
                <w:vertAlign w:val="superscript"/>
              </w:rPr>
              <w:t>(2)</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Controladora Interamericana de Bebidas, S.A. de C.V.</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Panamco México, S.A. de C.V.</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Refrescos Latinoamericanos, S.A. de C.V.</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Emprex Cerveza</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Desarrollo Comercial FEMSA, S.A. de C.V.</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FEMSA Cerveza</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Cervezas Cuauhtémoc Moctezuma, S.A. de C.V.</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Grupo Cuauhtémoc Moctezuma, S.A. de C.V.</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Mexico</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Compañía Internacional de Bebidas, S.A. de C.V., which we refer to as CIBSA.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Percentage of capital stock. FEMSA owns 63.0% of the capital stock with full voting rights.</w:t>
      </w:r>
    </w:p>
    <w:p>
      <w:pPr>
        <w:sectPr>
          <w:pgSz w:w="11900" w:h="16838" w:orient="portrait"/>
          <w:cols w:equalWidth="0" w:num="1">
            <w:col w:w="11420"/>
          </w:cols>
          <w:pgMar w:left="240" w:top="126"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José Antonio Fernández Carbajal, certify that:</w:t>
      </w:r>
    </w:p>
    <w:p>
      <w:pPr>
        <w:spacing w:after="0" w:line="90" w:lineRule="exact"/>
        <w:rPr>
          <w:sz w:val="20"/>
          <w:szCs w:val="20"/>
          <w:color w:val="auto"/>
        </w:rPr>
      </w:pPr>
    </w:p>
    <w:p>
      <w:pPr>
        <w:ind w:left="640" w:hanging="17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S.A.B de C.V.;</w:t>
      </w:r>
    </w:p>
    <w:p>
      <w:pPr>
        <w:spacing w:after="0" w:line="90" w:lineRule="exact"/>
        <w:rPr>
          <w:rFonts w:ascii="Arial" w:cs="Arial" w:eastAsia="Arial" w:hAnsi="Arial"/>
          <w:sz w:val="18"/>
          <w:szCs w:val="18"/>
          <w:color w:val="auto"/>
        </w:rPr>
      </w:pPr>
    </w:p>
    <w:p>
      <w:pPr>
        <w:ind w:left="460" w:right="260" w:firstLine="4"/>
        <w:spacing w:after="0" w:line="357" w:lineRule="auto"/>
        <w:tabs>
          <w:tab w:leader="none" w:pos="636" w:val="left"/>
        </w:tabs>
        <w:numPr>
          <w:ilvl w:val="0"/>
          <w:numId w:val="1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540" w:firstLine="4"/>
        <w:spacing w:after="0" w:line="332" w:lineRule="auto"/>
        <w:tabs>
          <w:tab w:leader="none" w:pos="63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460" w:right="80" w:firstLine="4"/>
        <w:spacing w:after="0" w:line="259" w:lineRule="auto"/>
        <w:tabs>
          <w:tab w:leader="none" w:pos="6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6"/>
          <w:szCs w:val="16"/>
          <w:color w:val="auto"/>
        </w:rPr>
      </w:pPr>
    </w:p>
    <w:p>
      <w:pPr>
        <w:ind w:left="920" w:right="240" w:firstLine="1"/>
        <w:spacing w:after="0" w:line="259" w:lineRule="auto"/>
        <w:tabs>
          <w:tab w:leader="none" w:pos="116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20" w:firstLine="1"/>
        <w:spacing w:after="0" w:line="357" w:lineRule="auto"/>
        <w:tabs>
          <w:tab w:leader="none" w:pos="1159" w:val="left"/>
        </w:tabs>
        <w:numPr>
          <w:ilvl w:val="1"/>
          <w:numId w:val="148"/>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32" w:lineRule="auto"/>
        <w:tabs>
          <w:tab w:leader="none" w:pos="1169" w:val="left"/>
        </w:tabs>
        <w:numPr>
          <w:ilvl w:val="1"/>
          <w:numId w:val="14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left="460" w:right="300" w:firstLine="4"/>
        <w:spacing w:after="0" w:line="332" w:lineRule="auto"/>
        <w:tabs>
          <w:tab w:leader="none" w:pos="63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20" w:right="180" w:firstLine="1"/>
        <w:spacing w:after="0" w:line="268" w:lineRule="auto"/>
        <w:tabs>
          <w:tab w:leader="none" w:pos="116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2008</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José Antonio Fernández Carbajal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José Antonio Fernández Carbajal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Javier Astaburuaga Sanjines, certify that:</w:t>
      </w:r>
    </w:p>
    <w:p>
      <w:pPr>
        <w:spacing w:after="0" w:line="90" w:lineRule="exact"/>
        <w:rPr>
          <w:sz w:val="20"/>
          <w:szCs w:val="20"/>
          <w:color w:val="auto"/>
        </w:rPr>
      </w:pPr>
    </w:p>
    <w:p>
      <w:pPr>
        <w:ind w:left="640" w:hanging="176"/>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S.A.B. de C.V.;</w:t>
      </w:r>
    </w:p>
    <w:p>
      <w:pPr>
        <w:spacing w:after="0" w:line="90" w:lineRule="exact"/>
        <w:rPr>
          <w:rFonts w:ascii="Arial" w:cs="Arial" w:eastAsia="Arial" w:hAnsi="Arial"/>
          <w:sz w:val="18"/>
          <w:szCs w:val="18"/>
          <w:color w:val="auto"/>
        </w:rPr>
      </w:pPr>
    </w:p>
    <w:p>
      <w:pPr>
        <w:ind w:left="460" w:right="260" w:firstLine="4"/>
        <w:spacing w:after="0" w:line="357" w:lineRule="auto"/>
        <w:tabs>
          <w:tab w:leader="none" w:pos="636" w:val="left"/>
        </w:tabs>
        <w:numPr>
          <w:ilvl w:val="0"/>
          <w:numId w:val="1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540" w:firstLine="4"/>
        <w:spacing w:after="0" w:line="332" w:lineRule="auto"/>
        <w:tabs>
          <w:tab w:leader="none" w:pos="63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460" w:right="80" w:firstLine="4"/>
        <w:spacing w:after="0" w:line="259" w:lineRule="auto"/>
        <w:tabs>
          <w:tab w:leader="none" w:pos="6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6"/>
          <w:szCs w:val="16"/>
          <w:color w:val="auto"/>
        </w:rPr>
      </w:pPr>
    </w:p>
    <w:p>
      <w:pPr>
        <w:ind w:left="920" w:right="240" w:firstLine="1"/>
        <w:spacing w:after="0" w:line="259" w:lineRule="auto"/>
        <w:tabs>
          <w:tab w:leader="none" w:pos="116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20" w:firstLine="1"/>
        <w:spacing w:after="0" w:line="357" w:lineRule="auto"/>
        <w:tabs>
          <w:tab w:leader="none" w:pos="1159" w:val="left"/>
        </w:tabs>
        <w:numPr>
          <w:ilvl w:val="1"/>
          <w:numId w:val="149"/>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32" w:lineRule="auto"/>
        <w:tabs>
          <w:tab w:leader="none" w:pos="1169"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left="460" w:right="300" w:firstLine="4"/>
        <w:spacing w:after="0" w:line="332" w:lineRule="auto"/>
        <w:tabs>
          <w:tab w:leader="none" w:pos="63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20" w:right="180" w:firstLine="1"/>
        <w:spacing w:after="0" w:line="268" w:lineRule="auto"/>
        <w:tabs>
          <w:tab w:leader="none" w:pos="116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2008</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Javier Astaburuaga Sanjines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Javier Astaburuaga Sanjines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Fomento Económico Mexicano, S.A.B d e C.V. (the “Company”), does hereby certify, to such officer’s knowledge, that:</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Annual Report on form 20-F for the year ended December 31, 2007 (the “Form 20-F”)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June 30,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José Antonio Fernández Carbajal</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José Antonio Fernández Carbajal</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36"/>
        </w:trPr>
        <w:tc>
          <w:tcPr>
            <w:tcW w:w="5960" w:type="dxa"/>
            <w:vAlign w:val="bottom"/>
          </w:tcPr>
          <w:p>
            <w:pPr>
              <w:spacing w:after="0"/>
              <w:rPr>
                <w:sz w:val="20"/>
                <w:szCs w:val="20"/>
                <w:color w:val="auto"/>
              </w:rPr>
            </w:pPr>
            <w:r>
              <w:rPr>
                <w:rFonts w:ascii="Arial" w:cs="Arial" w:eastAsia="Arial" w:hAnsi="Arial"/>
                <w:sz w:val="18"/>
                <w:szCs w:val="18"/>
                <w:color w:val="auto"/>
              </w:rPr>
              <w:t>Date: June 30,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Javier Astaburuaga Sanjines</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Javier Astaburuaga Sanjines</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1)"/>
      <w:numFmt w:val="decimal"/>
      <w:start w:val="1"/>
    </w:lvl>
  </w:abstractNum>
  <w:abstractNum w:abstractNumId="2">
    <w:nsid w:val="613EFDC5"/>
    <w:multiLevelType w:val="hybridMultilevel"/>
    <w:lvl w:ilvl="0">
      <w:lvlJc w:val="left"/>
      <w:lvlText w:val="(%1)"/>
      <w:numFmt w:val="decimal"/>
      <w:start w:val="1"/>
    </w:lvl>
  </w:abstractNum>
  <w:abstractNum w:abstractNumId="3">
    <w:nsid w:val="BF72B14"/>
    <w:multiLevelType w:val="hybridMultilevel"/>
    <w:lvl w:ilvl="0">
      <w:lvlJc w:val="left"/>
      <w:lvlText w:val="(%1)"/>
      <w:numFmt w:val="decimal"/>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1)"/>
      <w:numFmt w:val="decimal"/>
      <w:start w:val="4"/>
    </w:lvl>
  </w:abstractNum>
  <w:abstractNum w:abstractNumId="7">
    <w:nsid w:val="8F2B15E"/>
    <w:multiLevelType w:val="hybridMultilevel"/>
    <w:lvl w:ilvl="0">
      <w:lvlJc w:val="left"/>
      <w:lvlText w:val="(%1)"/>
      <w:numFmt w:val="decimal"/>
      <w:start w:val="1"/>
    </w:lvl>
  </w:abstractNum>
  <w:abstractNum w:abstractNumId="8">
    <w:nsid w:val="1A32234B"/>
    <w:multiLevelType w:val="hybridMultilevel"/>
    <w:lvl w:ilvl="0">
      <w:lvlJc w:val="left"/>
      <w:lvlText w:val="(%1)"/>
      <w:numFmt w:val="decimal"/>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1)"/>
      <w:numFmt w:val="decimal"/>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1)"/>
      <w:numFmt w:val="decimal"/>
      <w:start w:val="1"/>
    </w:lvl>
  </w:abstractNum>
  <w:abstractNum w:abstractNumId="14">
    <w:nsid w:val="14330624"/>
    <w:multiLevelType w:val="hybridMultilevel"/>
    <w:lvl w:ilvl="0">
      <w:lvlJc w:val="left"/>
      <w:lvlText w:val="(%1)"/>
      <w:numFmt w:val="decimal"/>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1)"/>
      <w:numFmt w:val="decimal"/>
      <w:start w:val="1"/>
    </w:lvl>
  </w:abstractNum>
  <w:abstractNum w:abstractNumId="17">
    <w:nsid w:val="71EA1109"/>
    <w:multiLevelType w:val="hybridMultilevel"/>
    <w:lvl w:ilvl="0">
      <w:lvlJc w:val="left"/>
      <w:lvlText w:val="(%1)"/>
      <w:numFmt w:val="decimal"/>
      <w:start w:val="1"/>
    </w:lvl>
  </w:abstractNum>
  <w:abstractNum w:abstractNumId="18">
    <w:nsid w:val="100F59DC"/>
    <w:multiLevelType w:val="hybridMultilevel"/>
    <w:lvl w:ilvl="0">
      <w:lvlJc w:val="left"/>
      <w:lvlText w:val="(%1)"/>
      <w:numFmt w:val="decimal"/>
      <w:start w:val="1"/>
    </w:lvl>
  </w:abstractNum>
  <w:abstractNum w:abstractNumId="19">
    <w:nsid w:val="7FB7E0AA"/>
    <w:multiLevelType w:val="hybridMultilevel"/>
    <w:lvl w:ilvl="0">
      <w:lvlJc w:val="left"/>
      <w:lvlText w:val="(%1)"/>
      <w:numFmt w:val="decimal"/>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1)"/>
      <w:numFmt w:val="decimal"/>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1)"/>
      <w:numFmt w:val="decimal"/>
      <w:start w:val="1"/>
    </w:lvl>
  </w:abstractNum>
  <w:abstractNum w:abstractNumId="37">
    <w:nsid w:val="43F18422"/>
    <w:multiLevelType w:val="hybridMultilevel"/>
    <w:lvl w:ilvl="0">
      <w:lvlJc w:val="left"/>
      <w:lvlText w:val="(%1)"/>
      <w:numFmt w:val="decimal"/>
      <w:start w:val="3"/>
    </w:lvl>
  </w:abstractNum>
  <w:abstractNum w:abstractNumId="38">
    <w:nsid w:val="60EF0119"/>
    <w:multiLevelType w:val="hybridMultilevel"/>
    <w:lvl w:ilvl="0">
      <w:lvlJc w:val="left"/>
      <w:lvlText w:val="(%1)"/>
      <w:numFmt w:val="decimal"/>
      <w:start w:val="1"/>
    </w:lvl>
  </w:abstractNum>
  <w:abstractNum w:abstractNumId="39">
    <w:nsid w:val="26F324BA"/>
    <w:multiLevelType w:val="hybridMultilevel"/>
    <w:lvl w:ilvl="0">
      <w:lvlJc w:val="left"/>
      <w:lvlText w:val="(%1)"/>
      <w:numFmt w:val="decimal"/>
      <w:start w:val="1"/>
    </w:lvl>
  </w:abstractNum>
  <w:abstractNum w:abstractNumId="40">
    <w:nsid w:val="7F01579B"/>
    <w:multiLevelType w:val="hybridMultilevel"/>
    <w:lvl w:ilvl="0">
      <w:lvlJc w:val="left"/>
      <w:lvlText w:val="(%1)"/>
      <w:numFmt w:val="decimal"/>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1)"/>
      <w:numFmt w:val="decimal"/>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1)"/>
      <w:numFmt w:val="decimal"/>
      <w:start w:val="1"/>
    </w:lvl>
  </w:abstractNum>
  <w:abstractNum w:abstractNumId="49">
    <w:nsid w:val="6FC75AF8"/>
    <w:multiLevelType w:val="hybridMultilevel"/>
    <w:lvl w:ilvl="0">
      <w:lvlJc w:val="left"/>
      <w:lvlText w:val="(%1)"/>
      <w:numFmt w:val="decimal"/>
      <w:start w:val="1"/>
    </w:lvl>
  </w:abstractNum>
  <w:abstractNum w:abstractNumId="50">
    <w:nsid w:val="6A5F7029"/>
    <w:multiLevelType w:val="hybridMultilevel"/>
    <w:lvl w:ilvl="0">
      <w:lvlJc w:val="left"/>
      <w:lvlText w:val="(%1)"/>
      <w:numFmt w:val="decimal"/>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1)"/>
      <w:numFmt w:val="decimal"/>
      <w:start w:val="1"/>
    </w:lvl>
  </w:abstractNum>
  <w:abstractNum w:abstractNumId="56">
    <w:nsid w:val="3FA62ACA"/>
    <w:multiLevelType w:val="hybridMultilevel"/>
    <w:lvl w:ilvl="0">
      <w:lvlJc w:val="left"/>
      <w:lvlText w:val="(%1)"/>
      <w:numFmt w:val="decimal"/>
      <w:start w:val="1"/>
    </w:lvl>
  </w:abstractNum>
  <w:abstractNum w:abstractNumId="57">
    <w:nsid w:val="14FCE74E"/>
    <w:multiLevelType w:val="hybridMultilevel"/>
    <w:lvl w:ilvl="0">
      <w:lvlJc w:val="left"/>
      <w:lvlText w:val="(%1)"/>
      <w:numFmt w:val="decimal"/>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1)"/>
      <w:numFmt w:val="lowerRoman"/>
      <w:start w:val="1"/>
    </w:lvl>
  </w:abstractNum>
  <w:abstractNum w:abstractNumId="64">
    <w:nsid w:val="1D545C4D"/>
    <w:multiLevelType w:val="hybridMultilevel"/>
    <w:lvl w:ilvl="0">
      <w:lvlJc w:val="left"/>
      <w:lvlText w:val="(%1)"/>
      <w:numFmt w:val="lowerRoman"/>
      <w:start w:val="5"/>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1)"/>
      <w:numFmt w:val="decimal"/>
      <w:start w:val="2"/>
    </w:lvl>
  </w:abstractNum>
  <w:abstractNum w:abstractNumId="69">
    <w:nsid w:val="97E1B4E"/>
    <w:multiLevelType w:val="hybridMultilevel"/>
    <w:lvl w:ilvl="0">
      <w:lvlJc w:val="left"/>
      <w:lvlText w:val="(%1)"/>
      <w:numFmt w:val="decimal"/>
      <w:start w:val="2"/>
    </w:lvl>
  </w:abstractNum>
  <w:abstractNum w:abstractNumId="70">
    <w:nsid w:val="51088277"/>
    <w:multiLevelType w:val="hybridMultilevel"/>
    <w:lvl w:ilvl="0">
      <w:lvlJc w:val="left"/>
      <w:lvlText w:val="(%1)"/>
      <w:numFmt w:val="decimal"/>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1)"/>
      <w:numFmt w:val="decimal"/>
      <w:start w:val="1"/>
    </w:lvl>
  </w:abstractNum>
  <w:abstractNum w:abstractNumId="77">
    <w:nsid w:val="5C10FE21"/>
    <w:multiLevelType w:val="hybridMultilevel"/>
    <w:lvl w:ilvl="0">
      <w:lvlJc w:val="left"/>
      <w:lvlText w:val="%1)"/>
      <w:numFmt w:val="lowerLetter"/>
      <w:start w:val="1"/>
    </w:lvl>
    <w:lvl w:ilvl="1">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1)"/>
      <w:numFmt w:val="lowerLetter"/>
      <w:start w:val="2"/>
    </w:lvl>
    <w:lvl w:ilvl="1">
      <w:lvlJc w:val="left"/>
      <w:lvlText w:val="•"/>
      <w:numFmt w:val="bullet"/>
      <w:start w:val="1"/>
    </w:lvl>
  </w:abstractNum>
  <w:abstractNum w:abstractNumId="80">
    <w:nsid w:val="4BD8591A"/>
    <w:multiLevelType w:val="hybridMultilevel"/>
    <w:lvl w:ilvl="0">
      <w:lvlJc w:val="left"/>
      <w:lvlText w:val="%1)"/>
      <w:numFmt w:val="lowerLetter"/>
      <w:start w:val="6"/>
    </w:lvl>
  </w:abstractNum>
  <w:abstractNum w:abstractNumId="81">
    <w:nsid w:val="78DF6A55"/>
    <w:multiLevelType w:val="hybridMultilevel"/>
    <w:lvl w:ilvl="0">
      <w:lvlJc w:val="left"/>
      <w:lvlText w:val="%1)"/>
      <w:numFmt w:val="lowerLetter"/>
      <w:start w:val="8"/>
    </w:lvl>
    <w:lvl w:ilvl="1">
      <w:lvlJc w:val="left"/>
      <w:lvlText w:val="•"/>
      <w:numFmt w:val="bullet"/>
      <w:start w:val="1"/>
    </w:lvl>
    <w:lvl w:ilvl="2">
      <w:lvlJc w:val="left"/>
      <w:lvlText w:val="•"/>
      <w:numFmt w:val="bullet"/>
      <w:start w:val="1"/>
    </w:lvl>
  </w:abstractNum>
  <w:abstractNum w:abstractNumId="82">
    <w:nsid w:val="39B7AAA2"/>
    <w:multiLevelType w:val="hybridMultilevel"/>
    <w:lvl w:ilvl="0">
      <w:lvlJc w:val="left"/>
      <w:lvlText w:val="%1)"/>
      <w:numFmt w:val="lowerRoman"/>
    </w:lvl>
    <w:lvl w:ilvl="1">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1)"/>
      <w:numFmt w:val="lowerLetter"/>
      <w:start w:val="10"/>
    </w:lvl>
  </w:abstractNum>
  <w:abstractNum w:abstractNumId="85">
    <w:nsid w:val="379E21B5"/>
    <w:multiLevelType w:val="hybridMultilevel"/>
    <w:lvl w:ilvl="0">
      <w:lvlJc w:val="left"/>
      <w:lvlText w:val="%1)"/>
      <w:numFmt w:val="lowerLetter"/>
      <w:start w:val="11"/>
    </w:lvl>
    <w:lvl w:ilvl="1">
      <w:lvlJc w:val="left"/>
      <w:lvlText w:val="•"/>
      <w:numFmt w:val="bullet"/>
      <w:start w:val="1"/>
    </w:lvl>
  </w:abstractNum>
  <w:abstractNum w:abstractNumId="86">
    <w:nsid w:val="69E373"/>
    <w:multiLevelType w:val="hybridMultilevel"/>
    <w:lvl w:ilvl="0">
      <w:lvlJc w:val="left"/>
      <w:lvlText w:val="%1)"/>
      <w:numFmt w:val="lowerLetter"/>
      <w:start w:val="14"/>
    </w:lvl>
    <w:lvl w:ilvl="1">
      <w:lvlJc w:val="left"/>
      <w:lvlText w:val="•"/>
      <w:numFmt w:val="bullet"/>
      <w:start w:val="1"/>
    </w:lvl>
  </w:abstractNum>
  <w:abstractNum w:abstractNumId="87">
    <w:nsid w:val="2C27173B"/>
    <w:multiLevelType w:val="hybridMultilevel"/>
    <w:lvl w:ilvl="0">
      <w:lvlJc w:val="left"/>
      <w:lvlText w:val="%1)"/>
      <w:numFmt w:val="lowerLetter"/>
      <w:start w:val="15"/>
    </w:lvl>
    <w:lvl w:ilvl="1">
      <w:lvlJc w:val="left"/>
      <w:lvlText w:val="•"/>
      <w:numFmt w:val="bullet"/>
      <w:start w:val="1"/>
    </w:lvl>
  </w:abstractNum>
  <w:abstractNum w:abstractNumId="88">
    <w:nsid w:val="4C9B0904"/>
    <w:multiLevelType w:val="hybridMultilevel"/>
    <w:lvl w:ilvl="0">
      <w:lvlJc w:val="left"/>
      <w:lvlText w:val="%1)"/>
      <w:numFmt w:val="lowerLetter"/>
      <w:start w:val="17"/>
    </w:lvl>
    <w:lvl w:ilvl="1">
      <w:lvlJc w:val="left"/>
      <w:lvlText w:val="•"/>
      <w:numFmt w:val="bullet"/>
      <w:start w:val="1"/>
    </w:lvl>
  </w:abstractNum>
  <w:abstractNum w:abstractNumId="89">
    <w:nsid w:val="6AA7B75C"/>
    <w:multiLevelType w:val="hybridMultilevel"/>
    <w:lvl w:ilvl="0">
      <w:lvlJc w:val="left"/>
      <w:lvlText w:val="%1)"/>
      <w:numFmt w:val="lowerLetter"/>
      <w:start w:val="20"/>
    </w:lvl>
  </w:abstractNum>
  <w:abstractNum w:abstractNumId="90">
    <w:nsid w:val="1DF029D3"/>
    <w:multiLevelType w:val="hybridMultilevel"/>
    <w:lvl w:ilvl="0">
      <w:lvlJc w:val="left"/>
      <w:lvlText w:val="%1)"/>
      <w:numFmt w:val="lowerLetter"/>
      <w:start w:val="1"/>
    </w:lvl>
    <w:lvl w:ilvl="1">
      <w:lvlJc w:val="left"/>
      <w:lvlText w:val="%2)"/>
      <w:numFmt w:val="lowerRoman"/>
      <w:start w:val="1"/>
    </w:lvl>
  </w:abstractNum>
  <w:abstractNum w:abstractNumId="91">
    <w:nsid w:val="5675FF36"/>
    <w:multiLevelType w:val="hybridMultilevel"/>
    <w:lvl w:ilvl="0">
      <w:lvlJc w:val="left"/>
      <w:lvlText w:val="%1)"/>
      <w:numFmt w:val="lowerRoman"/>
      <w:start w:val="2"/>
    </w:lvl>
  </w:abstractNum>
  <w:abstractNum w:abstractNumId="92">
    <w:nsid w:val="3DD15094"/>
    <w:multiLevelType w:val="hybridMultilevel"/>
    <w:lvl w:ilvl="0">
      <w:lvlJc w:val="left"/>
      <w:lvlText w:val="(%1)"/>
      <w:numFmt w:val="decimal"/>
      <w:start w:val="1"/>
    </w:lvl>
  </w:abstractNum>
  <w:abstractNum w:abstractNumId="93">
    <w:nsid w:val="3DB012B3"/>
    <w:multiLevelType w:val="hybridMultilevel"/>
    <w:lvl w:ilvl="0">
      <w:lvlJc w:val="left"/>
      <w:lvlText w:val="(%1)"/>
      <w:numFmt w:val="decimal"/>
      <w:start w:val="1"/>
    </w:lvl>
  </w:abstractNum>
  <w:abstractNum w:abstractNumId="94">
    <w:nsid w:val="2708C9AF"/>
    <w:multiLevelType w:val="hybridMultilevel"/>
    <w:lvl w:ilvl="0">
      <w:lvlJc w:val="left"/>
      <w:lvlText w:val="(%1)"/>
      <w:numFmt w:val="decimal"/>
      <w:start w:val="1"/>
    </w:lvl>
  </w:abstractNum>
  <w:abstractNum w:abstractNumId="95">
    <w:nsid w:val="5B25ACE2"/>
    <w:multiLevelType w:val="hybridMultilevel"/>
    <w:lvl w:ilvl="0">
      <w:lvlJc w:val="left"/>
      <w:lvlText w:val="(%1)"/>
      <w:numFmt w:val="decimal"/>
      <w:start w:val="1"/>
    </w:lvl>
  </w:abstractNum>
  <w:abstractNum w:abstractNumId="96">
    <w:nsid w:val="175DFCF0"/>
    <w:multiLevelType w:val="hybridMultilevel"/>
    <w:lvl w:ilvl="0">
      <w:lvlJc w:val="left"/>
      <w:lvlText w:val="%1)"/>
      <w:numFmt w:val="lowerLetter"/>
      <w:start w:val="1"/>
    </w:lvl>
  </w:abstractNum>
  <w:abstractNum w:abstractNumId="97">
    <w:nsid w:val="4F97E3E4"/>
    <w:multiLevelType w:val="hybridMultilevel"/>
    <w:lvl w:ilvl="0">
      <w:lvlJc w:val="left"/>
      <w:lvlText w:val="%1)"/>
      <w:numFmt w:val="lowerLetter"/>
      <w:start w:val="3"/>
    </w:lvl>
  </w:abstractNum>
  <w:abstractNum w:abstractNumId="98">
    <w:nsid w:val="53B0A9E"/>
    <w:multiLevelType w:val="hybridMultilevel"/>
    <w:lvl w:ilvl="0">
      <w:lvlJc w:val="left"/>
      <w:lvlText w:val="(%1)"/>
      <w:numFmt w:val="decimal"/>
      <w:start w:val="1"/>
    </w:lvl>
  </w:abstractNum>
  <w:abstractNum w:abstractNumId="99">
    <w:nsid w:val="34FD6B4F"/>
    <w:multiLevelType w:val="hybridMultilevel"/>
    <w:lvl w:ilvl="0">
      <w:lvlJc w:val="left"/>
      <w:lvlText w:val="%1)"/>
      <w:numFmt w:val="lowerLetter"/>
      <w:start w:val="5"/>
    </w:lvl>
  </w:abstractNum>
  <w:abstractNum w:abstractNumId="100">
    <w:nsid w:val="5915FF32"/>
    <w:multiLevelType w:val="hybridMultilevel"/>
    <w:lvl w:ilvl="0">
      <w:lvlJc w:val="left"/>
      <w:lvlText w:val="%1)"/>
      <w:numFmt w:val="lowerLetter"/>
      <w:start w:val="6"/>
    </w:lvl>
  </w:abstractNum>
  <w:abstractNum w:abstractNumId="101">
    <w:nsid w:val="56438D15"/>
    <w:multiLevelType w:val="hybridMultilevel"/>
    <w:lvl w:ilvl="0">
      <w:lvlJc w:val="left"/>
      <w:lvlText w:val="%1)"/>
      <w:numFmt w:val="lowerLetter"/>
      <w:start w:val="7"/>
    </w:lvl>
  </w:abstractNum>
  <w:abstractNum w:abstractNumId="102">
    <w:nsid w:val="519E3149"/>
    <w:multiLevelType w:val="hybridMultilevel"/>
    <w:lvl w:ilvl="0">
      <w:lvlJc w:val="left"/>
      <w:lvlText w:val="(%1)"/>
      <w:numFmt w:val="decimal"/>
      <w:start w:val="1"/>
    </w:lvl>
  </w:abstractNum>
  <w:abstractNum w:abstractNumId="103">
    <w:nsid w:val="2C6E4AFD"/>
    <w:multiLevelType w:val="hybridMultilevel"/>
    <w:lvl w:ilvl="0">
      <w:lvlJc w:val="left"/>
      <w:lvlText w:val="%1)"/>
      <w:numFmt w:val="lowerLetter"/>
      <w:start w:val="1"/>
    </w:lvl>
  </w:abstractNum>
  <w:abstractNum w:abstractNumId="104">
    <w:nsid w:val="17A1B582"/>
    <w:multiLevelType w:val="hybridMultilevel"/>
    <w:lvl w:ilvl="0">
      <w:lvlJc w:val="left"/>
      <w:lvlText w:val="%1)"/>
      <w:numFmt w:val="lowerLetter"/>
      <w:start w:val="2"/>
    </w:lvl>
  </w:abstractNum>
  <w:abstractNum w:abstractNumId="105">
    <w:nsid w:val="4DF72E4E"/>
    <w:multiLevelType w:val="hybridMultilevel"/>
    <w:lvl w:ilvl="0">
      <w:lvlJc w:val="left"/>
      <w:lvlText w:val="%1)"/>
      <w:numFmt w:val="lowerLetter"/>
      <w:start w:val="3"/>
    </w:lvl>
  </w:abstractNum>
  <w:abstractNum w:abstractNumId="106">
    <w:nsid w:val="5046B5A9"/>
    <w:multiLevelType w:val="hybridMultilevel"/>
    <w:lvl w:ilvl="0">
      <w:lvlJc w:val="left"/>
      <w:lvlText w:val="%1)"/>
      <w:numFmt w:val="lowerLetter"/>
      <w:start w:val="5"/>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
      <w:numFmt w:val="bullet"/>
      <w:start w:val="1"/>
    </w:lvl>
  </w:abstractNum>
  <w:abstractNum w:abstractNumId="110">
    <w:nsid w:val="19E21BB2"/>
    <w:multiLevelType w:val="hybridMultilevel"/>
    <w:lvl w:ilvl="0">
      <w:lvlJc w:val="left"/>
      <w:lvlText w:val="•"/>
      <w:numFmt w:val="bullet"/>
      <w:start w:val="1"/>
    </w:lvl>
  </w:abstractNum>
  <w:abstractNum w:abstractNumId="111">
    <w:nsid w:val="75E0858A"/>
    <w:multiLevelType w:val="hybridMultilevel"/>
    <w:lvl w:ilvl="0">
      <w:lvlJc w:val="left"/>
      <w:lvlText w:val="%1)"/>
      <w:numFmt w:val="lowerLetter"/>
      <w:start w:val="1"/>
    </w:lvl>
  </w:abstractNum>
  <w:abstractNum w:abstractNumId="112">
    <w:nsid w:val="57A61A29"/>
    <w:multiLevelType w:val="hybridMultilevel"/>
    <w:lvl w:ilvl="0">
      <w:lvlJc w:val="left"/>
      <w:lvlText w:val="%1)"/>
      <w:numFmt w:val="lowerLetter"/>
      <w:start w:val="2"/>
    </w:lvl>
  </w:abstractNum>
  <w:abstractNum w:abstractNumId="113">
    <w:nsid w:val="5399C654"/>
    <w:multiLevelType w:val="hybridMultilevel"/>
    <w:lvl w:ilvl="0">
      <w:lvlJc w:val="left"/>
      <w:lvlText w:val="%1)"/>
      <w:numFmt w:val="lowerLetter"/>
      <w:start w:val="6"/>
    </w:lvl>
  </w:abstractNum>
  <w:abstractNum w:abstractNumId="114">
    <w:nsid w:val="20EE1348"/>
    <w:multiLevelType w:val="hybridMultilevel"/>
    <w:lvl w:ilvl="0">
      <w:lvlJc w:val="left"/>
      <w:lvlText w:val="%1)"/>
      <w:numFmt w:val="lowerLetter"/>
      <w:start w:val="7"/>
    </w:lvl>
  </w:abstractNum>
  <w:abstractNum w:abstractNumId="115">
    <w:nsid w:val="4427069A"/>
    <w:multiLevelType w:val="hybridMultilevel"/>
    <w:lvl w:ilvl="0">
      <w:lvlJc w:val="left"/>
      <w:lvlText w:val="%1)"/>
      <w:numFmt w:val="lowerLetter"/>
      <w:start w:val="1"/>
    </w:lvl>
  </w:abstractNum>
  <w:abstractNum w:abstractNumId="116">
    <w:nsid w:val="B37E80A"/>
    <w:multiLevelType w:val="hybridMultilevel"/>
    <w:lvl w:ilvl="0">
      <w:lvlJc w:val="left"/>
      <w:lvlText w:val="%1)"/>
      <w:numFmt w:val="lowerLetter"/>
      <w:start w:val="2"/>
    </w:lvl>
  </w:abstractNum>
  <w:abstractNum w:abstractNumId="117">
    <w:nsid w:val="2157F6BC"/>
    <w:multiLevelType w:val="hybridMultilevel"/>
    <w:lvl w:ilvl="0">
      <w:lvlJc w:val="left"/>
      <w:lvlText w:val="%1)"/>
      <w:numFmt w:val="lowerLetter"/>
      <w:start w:val="3"/>
    </w:lvl>
  </w:abstractNum>
  <w:abstractNum w:abstractNumId="118">
    <w:nsid w:val="704E1DD5"/>
    <w:multiLevelType w:val="hybridMultilevel"/>
    <w:lvl w:ilvl="0">
      <w:lvlJc w:val="left"/>
      <w:lvlText w:val="(%1)"/>
      <w:numFmt w:val="decimal"/>
      <w:start w:val="1"/>
    </w:lvl>
  </w:abstractNum>
  <w:abstractNum w:abstractNumId="119">
    <w:nsid w:val="57D2F10E"/>
    <w:multiLevelType w:val="hybridMultilevel"/>
    <w:lvl w:ilvl="0">
      <w:lvlJc w:val="left"/>
      <w:lvlText w:val="%1)"/>
      <w:numFmt w:val="lowerLetter"/>
      <w:start w:val="2"/>
    </w:lvl>
  </w:abstractNum>
  <w:abstractNum w:abstractNumId="120">
    <w:nsid w:val="BFFAE18"/>
    <w:multiLevelType w:val="hybridMultilevel"/>
    <w:lvl w:ilvl="0">
      <w:lvlJc w:val="left"/>
      <w:lvlText w:val="(%1)"/>
      <w:numFmt w:val="decimal"/>
      <w:start w:val="1"/>
    </w:lvl>
  </w:abstractNum>
  <w:abstractNum w:abstractNumId="121">
    <w:nsid w:val="E3E47A8"/>
    <w:multiLevelType w:val="hybridMultilevel"/>
    <w:lvl w:ilvl="0">
      <w:lvlJc w:val="left"/>
      <w:lvlText w:val="%1)"/>
      <w:numFmt w:val="lowerLetter"/>
      <w:start w:val="1"/>
    </w:lvl>
    <w:lvl w:ilvl="1">
      <w:lvlJc w:val="left"/>
      <w:lvlText w:val="•"/>
      <w:numFmt w:val="bullet"/>
      <w:start w:val="1"/>
    </w:lvl>
  </w:abstractNum>
  <w:abstractNum w:abstractNumId="122">
    <w:nsid w:val="2E48F044"/>
    <w:multiLevelType w:val="hybridMultilevel"/>
    <w:lvl w:ilvl="0">
      <w:lvlJc w:val="left"/>
      <w:lvlText w:val="%1)"/>
      <w:numFmt w:val="lowerLetter"/>
      <w:start w:val="2"/>
    </w:lvl>
    <w:lvl w:ilvl="1">
      <w:lvlJc w:val="left"/>
      <w:lvlText w:val="•"/>
      <w:numFmt w:val="bullet"/>
      <w:start w:val="1"/>
    </w:lvl>
  </w:abstractNum>
  <w:abstractNum w:abstractNumId="123">
    <w:nsid w:val="49D0FEAC"/>
    <w:multiLevelType w:val="hybridMultilevel"/>
    <w:lvl w:ilvl="0">
      <w:lvlJc w:val="left"/>
      <w:lvlText w:val="%1)"/>
      <w:numFmt w:val="lowerLetter"/>
      <w:start w:val="8"/>
    </w:lvl>
    <w:lvl w:ilvl="1">
      <w:lvlJc w:val="left"/>
      <w:lvlText w:val="•"/>
      <w:numFmt w:val="bullet"/>
      <w:start w:val="1"/>
    </w:lvl>
  </w:abstractNum>
  <w:abstractNum w:abstractNumId="124">
    <w:nsid w:val="4BEE5A5B"/>
    <w:multiLevelType w:val="hybridMultilevel"/>
    <w:lvl w:ilvl="0">
      <w:lvlJc w:val="left"/>
      <w:lvlText w:val="%1)"/>
      <w:numFmt w:val="lowerLetter"/>
      <w:start w:val="11"/>
    </w:lvl>
  </w:abstractNum>
  <w:abstractNum w:abstractNumId="125">
    <w:nsid w:val="5551B9F3"/>
    <w:multiLevelType w:val="hybridMultilevel"/>
    <w:lvl w:ilvl="0">
      <w:lvlJc w:val="left"/>
      <w:lvlText w:val="%1)"/>
      <w:numFmt w:val="lowerLetter"/>
      <w:start w:val="12"/>
    </w:lvl>
  </w:abstractNum>
  <w:abstractNum w:abstractNumId="126">
    <w:nsid w:val="24F6AB8E"/>
    <w:multiLevelType w:val="hybridMultilevel"/>
    <w:lvl w:ilvl="0">
      <w:lvlJc w:val="left"/>
      <w:lvlText w:val="%1)"/>
      <w:numFmt w:val="lowerLetter"/>
      <w:start w:val="13"/>
    </w:lvl>
  </w:abstractNum>
  <w:abstractNum w:abstractNumId="127">
    <w:nsid w:val="634C574C"/>
    <w:multiLevelType w:val="hybridMultilevel"/>
    <w:lvl w:ilvl="0">
      <w:lvlJc w:val="left"/>
      <w:lvlText w:val="%1)"/>
      <w:numFmt w:val="lowerLetter"/>
      <w:start w:val="15"/>
    </w:lvl>
  </w:abstractNum>
  <w:abstractNum w:abstractNumId="128">
    <w:nsid w:val="24E99DD7"/>
    <w:multiLevelType w:val="hybridMultilevel"/>
    <w:lvl w:ilvl="0">
      <w:lvlJc w:val="left"/>
      <w:lvlText w:val="(%1)"/>
      <w:numFmt w:val="decimal"/>
      <w:start w:val="1"/>
    </w:lvl>
  </w:abstractNum>
  <w:abstractNum w:abstractNumId="129">
    <w:nsid w:val="2A31B62D"/>
    <w:multiLevelType w:val="hybridMultilevel"/>
    <w:lvl w:ilvl="0">
      <w:lvlJc w:val="left"/>
      <w:lvlText w:val="%1)"/>
      <w:numFmt w:val="lowerLetter"/>
      <w:start w:val="2"/>
    </w:lvl>
  </w:abstractNum>
  <w:abstractNum w:abstractNumId="130">
    <w:nsid w:val="1849C29B"/>
    <w:multiLevelType w:val="hybridMultilevel"/>
    <w:lvl w:ilvl="0">
      <w:lvlJc w:val="left"/>
      <w:lvlText w:val="%1)"/>
      <w:numFmt w:val="lowerLetter"/>
      <w:start w:val="1"/>
    </w:lvl>
    <w:lvl w:ilvl="1">
      <w:lvlJc w:val="left"/>
      <w:lvlText w:val="•"/>
      <w:numFmt w:val="bullet"/>
      <w:start w:val="1"/>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
      <w:numFmt w:val="bullet"/>
      <w:start w:val="1"/>
    </w:lvl>
  </w:abstractNum>
  <w:abstractNum w:abstractNumId="133">
    <w:nsid w:val="69E7F3E5"/>
    <w:multiLevelType w:val="hybridMultilevel"/>
    <w:lvl w:ilvl="0">
      <w:lvlJc w:val="left"/>
      <w:lvlText w:val="•"/>
      <w:numFmt w:val="bullet"/>
      <w:start w:val="1"/>
    </w:lvl>
  </w:abstractNum>
  <w:abstractNum w:abstractNumId="134">
    <w:nsid w:val="2A6DE80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5">
    <w:nsid w:val="1816F8C4"/>
    <w:multiLevelType w:val="hybridMultilevel"/>
    <w:lvl w:ilvl="0">
      <w:lvlJc w:val="left"/>
      <w:lvlText w:val="%1)"/>
      <w:numFmt w:val="lowerLetter"/>
      <w:start w:val="2"/>
    </w:lvl>
  </w:abstractNum>
  <w:abstractNum w:abstractNumId="136">
    <w:nsid w:val="37DF2233"/>
    <w:multiLevelType w:val="hybridMultilevel"/>
    <w:lvl w:ilvl="0">
      <w:lvlJc w:val="left"/>
      <w:lvlText w:val="•"/>
      <w:numFmt w:val="bullet"/>
      <w:start w:val="1"/>
    </w:lvl>
  </w:abstractNum>
  <w:abstractNum w:abstractNumId="137">
    <w:nsid w:val="7AB49DAF"/>
    <w:multiLevelType w:val="hybridMultilevel"/>
    <w:lvl w:ilvl="0">
      <w:lvlJc w:val="left"/>
      <w:lvlText w:val="•"/>
      <w:numFmt w:val="bullet"/>
      <w:start w:val="1"/>
    </w:lvl>
  </w:abstractNum>
  <w:abstractNum w:abstractNumId="138">
    <w:nsid w:val="759F82CD"/>
    <w:multiLevelType w:val="hybridMultilevel"/>
    <w:lvl w:ilvl="0">
      <w:lvlJc w:val="left"/>
      <w:lvlText w:val="•"/>
      <w:numFmt w:val="bullet"/>
      <w:start w:val="1"/>
    </w:lvl>
  </w:abstractNum>
  <w:abstractNum w:abstractNumId="139">
    <w:nsid w:val="61E74EA3"/>
    <w:multiLevelType w:val="hybridMultilevel"/>
    <w:lvl w:ilvl="0">
      <w:lvlJc w:val="left"/>
      <w:lvlText w:val="•"/>
      <w:numFmt w:val="bullet"/>
      <w:start w:val="1"/>
    </w:lvl>
  </w:abstractNum>
  <w:abstractNum w:abstractNumId="140">
    <w:nsid w:val="597B4D84"/>
    <w:multiLevelType w:val="hybridMultilevel"/>
    <w:lvl w:ilvl="0">
      <w:lvlJc w:val="left"/>
      <w:lvlText w:val="•"/>
      <w:numFmt w:val="bullet"/>
      <w:start w:val="1"/>
    </w:lvl>
  </w:abstractNum>
  <w:abstractNum w:abstractNumId="141">
    <w:nsid w:val="F819E7F"/>
    <w:multiLevelType w:val="hybridMultilevel"/>
    <w:lvl w:ilvl="0">
      <w:lvlJc w:val="left"/>
      <w:lvlText w:val="(%1)"/>
      <w:numFmt w:val="lowerLetter"/>
      <w:start w:val="1"/>
    </w:lvl>
  </w:abstractNum>
  <w:abstractNum w:abstractNumId="142">
    <w:nsid w:val="57C7D42D"/>
    <w:multiLevelType w:val="hybridMultilevel"/>
    <w:lvl w:ilvl="0">
      <w:lvlJc w:val="left"/>
      <w:lvlText w:val="(%1)"/>
      <w:numFmt w:val="lowerLetter"/>
      <w:start w:val="4"/>
    </w:lvl>
  </w:abstractNum>
  <w:abstractNum w:abstractNumId="143">
    <w:nsid w:val="312167AD"/>
    <w:multiLevelType w:val="hybridMultilevel"/>
    <w:lvl w:ilvl="0">
      <w:lvlJc w:val="left"/>
      <w:lvlText w:val="(%1)"/>
      <w:numFmt w:val="lowerRoman"/>
      <w:start w:val="2"/>
    </w:lvl>
  </w:abstractNum>
  <w:abstractNum w:abstractNumId="144">
    <w:nsid w:val="631B64D4"/>
    <w:multiLevelType w:val="hybridMultilevel"/>
    <w:lvl w:ilvl="0">
      <w:lvlJc w:val="left"/>
      <w:lvlText w:val="%1)"/>
      <w:numFmt w:val="lowerLetter"/>
      <w:start w:val="1"/>
    </w:lvl>
  </w:abstractNum>
  <w:abstractNum w:abstractNumId="145">
    <w:nsid w:val="78B5E776"/>
    <w:multiLevelType w:val="hybridMultilevel"/>
    <w:lvl w:ilvl="0">
      <w:lvlJc w:val="left"/>
      <w:lvlText w:val="%1)"/>
      <w:numFmt w:val="lowerLetter"/>
      <w:start w:val="2"/>
    </w:lvl>
  </w:abstractNum>
  <w:abstractNum w:abstractNumId="146">
    <w:nsid w:val="75486E47"/>
    <w:multiLevelType w:val="hybridMultilevel"/>
    <w:lvl w:ilvl="0">
      <w:lvlJc w:val="left"/>
      <w:lvlText w:val="(%1)"/>
      <w:numFmt w:val="decimal"/>
      <w:start w:val="1"/>
    </w:lvl>
  </w:abstractNum>
  <w:abstractNum w:abstractNumId="147">
    <w:nsid w:val="6E534CDE"/>
    <w:multiLevelType w:val="hybridMultilevel"/>
    <w:lvl w:ilvl="0">
      <w:lvlJc w:val="left"/>
      <w:lvlText w:val="%1."/>
      <w:numFmt w:val="decimal"/>
      <w:start w:val="1"/>
    </w:lvl>
    <w:lvl w:ilvl="1">
      <w:lvlJc w:val="left"/>
      <w:lvlText w:val="(%2)"/>
      <w:numFmt w:val="lowerLetter"/>
      <w:start w:val="1"/>
    </w:lvl>
  </w:abstractNum>
  <w:abstractNum w:abstractNumId="148">
    <w:nsid w:val="1A0DDE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2019-12-14T21:03:26Z</dcterms:created>
  <dcterms:modified xsi:type="dcterms:W3CDTF">2019-12-14T21:03:26Z</dcterms:modified>
</cp:coreProperties>
</file>