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6-K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 OF FOREIGN PRIVATE ISSUER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 13a-16 OR 15d-16 UNDER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April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FOMENTO ECONÓMICO MEXICANO, S.A.B. DE C.V.</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Mexican Economic Development,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Mexican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General Anaya No. 601 Pte.</w:t>
        <w:br/>
        <w:t>Colonia Bella Vista</w:t>
        <w:br/>
        <w:t xml:space="preserve">Monterrey, Nuevo León 64410 </w:t>
        <w:br/>
        <w:t>México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 cover of Form 20-F or Form 40-F: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permitted by Regulation S-T Rule 101(b)(1):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permitted by Regulation S-T Rule 101(b)(7):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by furnishing the information contained in this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the registrant is also thereby furnishing the information to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pursuant to Rule 12g3-2(b) under the Securities Exchange Act of 1934.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Yes ☐ No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connection with Rule 12g3-2(b): 82-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 has duly caused this report to be signed on its behalf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undersigned, thereunto duly authorized.</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t>
      </w:r>
    </w:p>
    <w:p>
      <w:pPr>
        <w:pStyle w:val="TextBody"/>
        <w:bidi w:val="0"/>
        <w:spacing w:lineRule="auto" w:line="288" w:before="0" w:after="0"/>
        <w:ind w:left="0" w:right="0" w:firstLine="720"/>
        <w:jc w:val="center"/>
        <w:rPr/>
      </w:pPr>
      <w:r>
        <w:rPr>
          <w:rFonts w:ascii="Times New Roman;serif" w:hAnsi="Times New Roman;serif"/>
          <w:b w:val="false"/>
          <w:color w:val="000000"/>
          <w:sz w:val="20"/>
        </w:rPr>
        <w:t>FOMENTO ECONÓMICO MEXICANO, S.A.B. DE C.V</w:t>
      </w:r>
      <w:r>
        <w:rPr>
          <w:rFonts w:ascii="Times New Roman;serif" w:hAnsi="Times New Roman;serif"/>
          <w:b w:val="false"/>
          <w:color w:val="000000"/>
          <w:sz w:val="24"/>
        </w:rPr>
        <w:t>.</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 xml:space="preserve">By: /s/ </w:t>
      </w:r>
      <w:r>
        <w:rPr>
          <w:rFonts w:ascii="Times New Roman;serif" w:hAnsi="Times New Roman;serif"/>
          <w:b w:val="false"/>
          <w:color w:val="000000"/>
          <w:sz w:val="20"/>
          <w:u w:val="single"/>
        </w:rPr>
        <w:t>Martin Felipe Arias Yaniz</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Martin Felipe Arias Yaniz</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of Finance and Corporate Development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571625" cy="342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71625" cy="342900"/>
                    </a:xfrm>
                    <a:prstGeom prst="rect">
                      <a:avLst/>
                    </a:prstGeom>
                  </pic:spPr>
                </pic:pic>
              </a:graphicData>
            </a:graphic>
          </wp:inline>
        </w:drawing>
      </w:r>
      <w:r>
        <w:rPr>
          <w:color w:val="000000"/>
        </w:rPr>
        <w:t>         </w:t>
      </w:r>
      <w:r>
        <w:rPr/>
        <w:drawing>
          <wp:inline distT="0" distB="0" distL="0" distR="0">
            <wp:extent cx="2667000" cy="314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0" cy="3143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Open Sans;sans-serif" w:hAnsi="Open Sans;sans-serif"/>
          <w:b/>
          <w:color w:val="862633"/>
          <w:sz w:val="36"/>
        </w:rPr>
      </w:pPr>
      <w:r>
        <w:rPr>
          <w:rFonts w:ascii="Open Sans;sans-serif" w:hAnsi="Open Sans;sans-serif"/>
          <w:b/>
          <w:color w:val="862633"/>
          <w:sz w:val="36"/>
        </w:rPr>
        <w:t>FEMSA Files 2025 SEC Annual Reports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56" w:before="0" w:after="0"/>
        <w:jc w:val="both"/>
        <w:rPr/>
      </w:pPr>
      <w:r>
        <w:rPr>
          <w:rFonts w:ascii="Open Sans;sans-serif" w:hAnsi="Open Sans;sans-serif"/>
          <w:b/>
          <w:color w:val="000000"/>
          <w:sz w:val="19"/>
        </w:rPr>
        <w:t xml:space="preserve">Monterrey, Mexico, April 24, 2026 — </w:t>
      </w:r>
      <w:r>
        <w:rPr>
          <w:rFonts w:ascii="Open Sans;sans-serif" w:hAnsi="Open Sans;sans-serif"/>
          <w:b w:val="false"/>
          <w:color w:val="000000"/>
          <w:sz w:val="18"/>
        </w:rPr>
        <w:t xml:space="preserve">Fomento Económico Mexicano, S.A.B. de C.V. (“FEMSA” or the “Company”) (NYSE: FMX; BMV: FEMSAUBD, FEMSAUB) has filed its annual report on Form 20-F for the fiscal year ended December 31, 2025 with the U.S. Securities and Exchange Commission (SEC) followed by its annual report, for the same period, with the Comisión Nacional Bancaria y de Valores (Mexican Banking and Securities Commission) and the Bolsa Mexicana de Valores (Mexican Stock Exchange). </w:t>
      </w:r>
    </w:p>
    <w:p>
      <w:pPr>
        <w:pStyle w:val="TextBody"/>
        <w:bidi w:val="0"/>
        <w:spacing w:before="0" w:after="0"/>
        <w:jc w:val="both"/>
        <w:rPr/>
      </w:pPr>
      <w:r>
        <w:rPr/>
      </w:r>
    </w:p>
    <w:p>
      <w:pPr>
        <w:pStyle w:val="TextBody"/>
        <w:bidi w:val="0"/>
        <w:spacing w:lineRule="auto" w:line="256" w:before="0" w:after="0"/>
        <w:jc w:val="left"/>
        <w:rPr/>
      </w:pPr>
      <w:r>
        <w:rPr>
          <w:rFonts w:ascii="Open Sans;sans-serif" w:hAnsi="Open Sans;sans-serif"/>
          <w:b w:val="false"/>
          <w:color w:val="000000"/>
          <w:sz w:val="18"/>
        </w:rPr>
        <w:t xml:space="preserve">These reports are available on FEMSA's investor relations website at </w:t>
      </w:r>
      <w:r>
        <w:rPr>
          <w:rFonts w:ascii="Open Sans;sans-serif" w:hAnsi="Open Sans;sans-serif"/>
          <w:b w:val="false"/>
          <w:color w:val="0563C1"/>
          <w:sz w:val="18"/>
        </w:rPr>
        <w:t>http://ir.femsa.com.</w:t>
      </w:r>
    </w:p>
    <w:p>
      <w:pPr>
        <w:pStyle w:val="TextBody"/>
        <w:bidi w:val="0"/>
        <w:spacing w:before="0" w:after="0"/>
        <w:jc w:val="both"/>
        <w:rPr/>
      </w:pPr>
      <w:r>
        <w:rPr/>
      </w:r>
    </w:p>
    <w:p>
      <w:pPr>
        <w:pStyle w:val="TextBody"/>
        <w:bidi w:val="0"/>
        <w:spacing w:lineRule="auto" w:line="256" w:before="0" w:after="0"/>
        <w:jc w:val="both"/>
        <w:rPr>
          <w:rFonts w:ascii="Open Sans;sans-serif" w:hAnsi="Open Sans;sans-serif"/>
          <w:b w:val="false"/>
          <w:color w:val="000000"/>
          <w:sz w:val="18"/>
        </w:rPr>
      </w:pPr>
      <w:r>
        <w:rPr>
          <w:rFonts w:ascii="Open Sans;sans-serif" w:hAnsi="Open Sans;sans-serif"/>
          <w:b w:val="false"/>
          <w:color w:val="000000"/>
          <w:sz w:val="18"/>
        </w:rPr>
        <w:t>Shareholders may receive a hard copy of the report, which includes FEMSA’s audited financial statements, free of charge through the contact listed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both"/>
        <w:rPr>
          <w:rFonts w:ascii="Open Sans;sans-serif" w:hAnsi="Open Sans;sans-serif"/>
          <w:b/>
          <w:color w:val="000000"/>
          <w:sz w:val="16"/>
        </w:rPr>
      </w:pPr>
      <w:r>
        <w:rPr>
          <w:rFonts w:ascii="Open Sans;sans-serif" w:hAnsi="Open Sans;sans-serif"/>
          <w:b/>
          <w:color w:val="000000"/>
          <w:sz w:val="16"/>
        </w:rPr>
        <w:t>About FEMSA</w:t>
      </w:r>
    </w:p>
    <w:p>
      <w:pPr>
        <w:pStyle w:val="TextBody"/>
        <w:bidi w:val="0"/>
        <w:spacing w:lineRule="auto" w:line="256" w:before="0" w:after="0"/>
        <w:jc w:val="left"/>
        <w:rPr>
          <w:rFonts w:ascii="Open Sans;sans-serif" w:hAnsi="Open Sans;sans-serif"/>
          <w:b w:val="false"/>
          <w:color w:val="000000"/>
          <w:sz w:val="16"/>
        </w:rPr>
      </w:pPr>
      <w:r>
        <w:rPr>
          <w:rFonts w:ascii="Open Sans;sans-serif" w:hAnsi="Open Sans;sans-serif"/>
          <w:b w:val="false"/>
          <w:color w:val="000000"/>
          <w:sz w:val="16"/>
        </w:rPr>
        <w:t>FEMSA is a company that creates economic and social value through companies and institutions and strives to be the best employer and neighbor to the communities in which it operates. It participates in the retail industry through a Proximity Americas Division operating OXXO, a small-format store chain, and other related retail formats, and Proximity Europe which includes Valora, our European retail unit which operates convenience and foodvenience formats. In the retail industry it also participates though a Health Division, which includes drugstores and related activities and Spin, which includes Spin by OXXO and Spin Premia, among other digital financial services initiatives. In the beverage industry, it participates through Coca-Cola FEMSA, the largest franchise bottler of Coca-Cola products in the world by volume. Across its business units, FEMSA has more than 392,000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85520"/>
                <wp:effectExtent l="0" t="0" r="0" b="0"/>
                <wp:wrapNone/>
                <wp:docPr id="5" name="Frame3"/>
                <a:graphic xmlns:a="http://schemas.openxmlformats.org/drawingml/2006/main">
                  <a:graphicData uri="http://schemas.microsoft.com/office/word/2010/wordprocessingShape">
                    <wps:wsp>
                      <wps:cNvSpPr txBox="1"/>
                      <wps:spPr>
                        <a:xfrm>
                          <a:off x="0" y="0"/>
                          <a:ext cx="6480175" cy="985520"/>
                        </a:xfrm>
                        <a:prstGeom prst="rect"/>
                        <a:solidFill>
                          <a:srgbClr val="FFFFFF"/>
                        </a:solidFill>
                      </wps:spPr>
                      <wps:txbx>
                        <w:txbxContent>
                          <w:tbl>
                            <w:tblPr>
                              <w:tblW w:w="7690" w:type="dxa"/>
                              <w:jc w:val="left"/>
                              <w:tblInd w:w="0" w:type="dxa"/>
                              <w:tblLayout w:type="fixed"/>
                              <w:tblCellMar>
                                <w:top w:w="28" w:type="dxa"/>
                                <w:left w:w="28" w:type="dxa"/>
                                <w:bottom w:w="28" w:type="dxa"/>
                                <w:right w:w="28" w:type="dxa"/>
                              </w:tblCellMar>
                            </w:tblPr>
                            <w:tblGrid>
                              <w:gridCol w:w="805"/>
                              <w:gridCol w:w="707"/>
                              <w:gridCol w:w="709"/>
                              <w:gridCol w:w="109"/>
                              <w:gridCol w:w="109"/>
                              <w:gridCol w:w="109"/>
                              <w:gridCol w:w="890"/>
                              <w:gridCol w:w="890"/>
                              <w:gridCol w:w="891"/>
                              <w:gridCol w:w="109"/>
                              <w:gridCol w:w="109"/>
                              <w:gridCol w:w="109"/>
                              <w:gridCol w:w="419"/>
                              <w:gridCol w:w="419"/>
                              <w:gridCol w:w="422"/>
                              <w:gridCol w:w="258"/>
                              <w:gridCol w:w="258"/>
                              <w:gridCol w:w="368"/>
                            </w:tblGrid>
                            <w:tr>
                              <w:trPr/>
                              <w:tc>
                                <w:tcPr>
                                  <w:tcW w:w="805" w:type="dxa"/>
                                  <w:tcBorders/>
                                  <w:vAlign w:val="center"/>
                                </w:tcPr>
                                <w:p>
                                  <w:pPr>
                                    <w:pStyle w:val="TableContents"/>
                                    <w:bidi w:val="0"/>
                                    <w:spacing w:before="0" w:after="283"/>
                                    <w:jc w:val="left"/>
                                    <w:rPr>
                                      <w:sz w:val="4"/>
                                      <w:szCs w:val="4"/>
                                    </w:rPr>
                                  </w:pPr>
                                  <w:r>
                                    <w:rPr>
                                      <w:sz w:val="4"/>
                                      <w:szCs w:val="4"/>
                                    </w:rPr>
                                  </w:r>
                                  <w:r>
                                    <w:br w:type="page"/>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Investor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818-328-6000</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investor@femsa.com.mx</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femsa.gcs-web.com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Media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555-249-6843</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comunicacion@femsa.com.mx</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 Light;sans-serif" w:hAnsi="Open Sans Light;sans-serif"/>
                                      <w:b w:val="false"/>
                                      <w:color w:val="000000"/>
                                      <w:sz w:val="16"/>
                                    </w:rPr>
                                  </w:pPr>
                                  <w:r>
                                    <w:rPr>
                                      <w:rFonts w:ascii="Open Sans Light;sans-serif" w:hAnsi="Open Sans Light;sans-serif"/>
                                      <w:b w:val="false"/>
                                      <w:color w:val="000000"/>
                                      <w:sz w:val="16"/>
                                    </w:rPr>
                                    <w:t>April 24, 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 Light;sans-serif" w:hAnsi="Open Sans Light;sans-serif"/>
                                      <w:b w:val="false"/>
                                      <w:color w:val="000000"/>
                                      <w:sz w:val="16"/>
                                    </w:rPr>
                                    <w:t>| 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6pt;mso-wrap-distance-left:0pt;mso-wrap-distance-right:0pt;mso-wrap-distance-top:0pt;mso-wrap-distance-bottom:0pt;margin-top:0pt;mso-position-vertical:top;mso-position-vertical-relative:text;margin-left:0pt;mso-position-horizontal:left;mso-position-horizontal-relative:text">
                <v:textbox>
                  <w:txbxContent>
                    <w:tbl>
                      <w:tblPr>
                        <w:tblW w:w="7690" w:type="dxa"/>
                        <w:jc w:val="left"/>
                        <w:tblInd w:w="0" w:type="dxa"/>
                        <w:tblLayout w:type="fixed"/>
                        <w:tblCellMar>
                          <w:top w:w="28" w:type="dxa"/>
                          <w:left w:w="28" w:type="dxa"/>
                          <w:bottom w:w="28" w:type="dxa"/>
                          <w:right w:w="28" w:type="dxa"/>
                        </w:tblCellMar>
                      </w:tblPr>
                      <w:tblGrid>
                        <w:gridCol w:w="805"/>
                        <w:gridCol w:w="707"/>
                        <w:gridCol w:w="709"/>
                        <w:gridCol w:w="109"/>
                        <w:gridCol w:w="109"/>
                        <w:gridCol w:w="109"/>
                        <w:gridCol w:w="890"/>
                        <w:gridCol w:w="890"/>
                        <w:gridCol w:w="891"/>
                        <w:gridCol w:w="109"/>
                        <w:gridCol w:w="109"/>
                        <w:gridCol w:w="109"/>
                        <w:gridCol w:w="419"/>
                        <w:gridCol w:w="419"/>
                        <w:gridCol w:w="422"/>
                        <w:gridCol w:w="258"/>
                        <w:gridCol w:w="258"/>
                        <w:gridCol w:w="368"/>
                      </w:tblGrid>
                      <w:tr>
                        <w:trPr/>
                        <w:tc>
                          <w:tcPr>
                            <w:tcW w:w="8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Investor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818-328-6000</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investor@femsa.com.mx</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femsa.gcs-web.com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Media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555-249-6843</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comunicacion@femsa.com.mx</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 Light;sans-serif" w:hAnsi="Open Sans Light;sans-serif"/>
                                <w:b w:val="false"/>
                                <w:color w:val="000000"/>
                                <w:sz w:val="16"/>
                              </w:rPr>
                            </w:pPr>
                            <w:r>
                              <w:rPr>
                                <w:rFonts w:ascii="Open Sans Light;sans-serif" w:hAnsi="Open Sans Light;sans-serif"/>
                                <w:b w:val="false"/>
                                <w:color w:val="000000"/>
                                <w:sz w:val="16"/>
                              </w:rPr>
                              <w:t>April 24, 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 Light;sans-serif" w:hAnsi="Open Sans Light;sans-serif"/>
                                <w:b w:val="false"/>
                                <w:color w:val="000000"/>
                                <w:sz w:val="16"/>
                              </w:rPr>
                              <w:t>| Page 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 w:name="Open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584</Words>
  <Characters>3232</Characters>
  <CharactersWithSpaces>3824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